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D97706"/>
          <w:spacing w:val="40"/>
          <w:sz w:val="22"/>
          <w:szCs w:val="22"/>
        </w:rPr>
        <w:t xml:space="preserve">RESEARCH NOTE · TWO INNOVATIONS TESTED · VERSION 2</w:t>
      </w:r>
    </w:p>
    <w:p>
      <w:pPr>
        <w:pBdr>
          <w:bottom w:val="single" w:color="1F3864" w:sz="12" w:space="8"/>
        </w:pBdr>
        <w:spacing w:after="240"/>
      </w:pPr>
      <w:r>
        <w:rPr>
          <w:b/>
          <w:bCs/>
          <w:color w:val="1F3864"/>
          <w:sz w:val="52"/>
          <w:szCs w:val="52"/>
        </w:rPr>
        <w:t xml:space="preserve">PRAG-GO and PRAG-MAR at Fushë-Kuqe</w:t>
      </w:r>
    </w:p>
    <w:p>
      <w:pPr>
        <w:spacing w:after="360"/>
      </w:pPr>
      <w:r>
        <w:rPr>
          <w:color w:val="3A4350"/>
          <w:sz w:val="26"/>
          <w:szCs w:val="26"/>
        </w:rPr>
        <w:t xml:space="preserve">Monitoring and managed aquifer recharge oriented to the intrusion risk of supply wells, recomputed with the geolocated sea boundary</w:t>
      </w:r>
    </w:p>
    <w:p>
      <w:pPr>
        <w:spacing w:after="360"/>
      </w:pPr>
      <w:r>
        <w:rPr>
          <w:b/>
          <w:bCs/>
          <w:color w:val="92400E"/>
          <w:sz w:val="22"/>
          <w:szCs w:val="22"/>
        </w:rPr>
        <w:t xml:space="preserve">Coastal sector 221.6 km² · Adriatic contact 23 km · two pumped supply wells · all 4 368 five-well designs scored exactly</w:t>
      </w:r>
    </w:p>
    <w:p>
      <w:pPr>
        <w:pBdr>
          <w:left w:val="single" w:color="1F3864" w:sz="24" w:space="6"/>
        </w:pBdr>
        <w:shd w:fill="EEF3FA" w:color="auto" w:val="clear"/>
        <w:spacing w:after="220" w:before="120" w:line="276" w:lineRule="auto"/>
        <w:ind w:left="140" w:right="60"/>
        <w:jc w:val="both"/>
      </w:pPr>
      <w:r>
        <w:rPr>
          <w:b/>
          <w:bCs/>
          <w:color w:val="1F3864"/>
        </w:rPr>
        <w:t xml:space="preserve">SUMMARY  </w:t>
      </w:r>
      <w:r>
        <w:rPr>
          <w:b/>
          <w:bCs/>
        </w:rPr>
        <w:t xml:space="preserve">Question:</w:t>
      </w:r>
      <w:r>
        <w:t xml:space="preserve"> do the monitoring wells and recharge sites chosen for the intruded area also serve the regulatory question “will the supply wells be salinized?” </w:t>
      </w:r>
      <w:r>
        <w:rPr>
          <w:b/>
          <w:bCs/>
        </w:rPr>
        <w:t xml:space="preserve">Method:</w:t>
      </w:r>
      <w:r>
        <w:t xml:space="preserve"> the project's field model with the sea contact geolocated against the GLOBE shoreline (northern 23 km only), two pumped wells of the Fushë-Kuqe well field (A1, P10) as supply wells, and the exact EIG over every design of the 16 candidate wells. </w:t>
      </w:r>
      <w:r>
        <w:rPr>
          <w:b/>
          <w:bCs/>
        </w:rPr>
        <w:t xml:space="preserve">Result:</w:t>
      </w:r>
      <w:r>
        <w:t xml:space="preserve"> the area design captures 74% of the information on the risk at A1 and 52% on “A1 or P10”; PRAG-GO selects the exact optimum. PRAG-MAR lowers the probability that either well is intruded from 0.56 to 0.06 with the same water, against 0.30 for area-sited recharge and 0.53 for the published sites. </w:t>
      </w:r>
      <w:r>
        <w:rPr>
          <w:b/>
          <w:bCs/>
        </w:rPr>
        <w:t xml:space="preserve">This version replaces the version of 12 October 2026</w:t>
      </w:r>
      <w:r>
        <w:t xml:space="preserve">, whose full-margin results (0.79 → 0.04) do not carry over to the real coast.</w:t>
      </w:r>
    </w:p>
    <w:p>
      <w:pPr>
        <w:spacing w:after="80" w:before="240"/>
      </w:pPr>
      <w:r>
        <w:rPr>
          <w:b/>
          <w:bCs/>
          <w:color w:val="1F3864"/>
        </w:rPr>
        <w:t xml:space="preserve">Contents</w:t>
      </w:r>
    </w:p>
    <w:p>
      <w:pPr>
        <w:pStyle w:val="ListParagraph"/>
        <w:numPr>
          <w:ilvl w:val="0"/>
          <w:numId w:val="2"/>
        </w:numPr>
        <w:spacing w:after="60"/>
        <w:jc w:val="both"/>
      </w:pPr>
      <w:r>
        <w:rPr>
          <w:b/>
          <w:bCs/>
        </w:rPr>
        <w:t xml:space="preserve">Model:</w:t>
      </w:r>
      <w:r>
        <w:t xml:space="preserve"> the field model and its geolocated sea boundary.</w:t>
      </w:r>
    </w:p>
    <w:p>
      <w:pPr>
        <w:pStyle w:val="ListParagraph"/>
        <w:numPr>
          <w:ilvl w:val="0"/>
          <w:numId w:val="2"/>
        </w:numPr>
        <w:spacing w:after="60"/>
        <w:jc w:val="both"/>
      </w:pPr>
      <w:r>
        <w:rPr>
          <w:b/>
          <w:bCs/>
        </w:rPr>
        <w:t xml:space="preserve">Experiment:</w:t>
      </w:r>
      <w:r>
        <w:t xml:space="preserve"> supply wells, pumping, three binary goals, eight criteria and the exact estimator.</w:t>
      </w:r>
    </w:p>
    <w:p>
      <w:pPr>
        <w:pStyle w:val="ListParagraph"/>
        <w:numPr>
          <w:ilvl w:val="0"/>
          <w:numId w:val="2"/>
        </w:numPr>
        <w:spacing w:after="60"/>
        <w:jc w:val="both"/>
      </w:pPr>
      <w:r>
        <w:rPr>
          <w:b/>
          <w:bCs/>
        </w:rPr>
        <w:t xml:space="preserve">Results:</w:t>
      </w:r>
      <w:r>
        <w:t xml:space="preserve"> PRAG-GO over all 2-, 3- and 5-well designs; PRAG-MAR against the area adjoint and the exact optimum.</w:t>
      </w:r>
    </w:p>
    <w:p>
      <w:pPr>
        <w:pStyle w:val="ListParagraph"/>
        <w:numPr>
          <w:ilvl w:val="0"/>
          <w:numId w:val="2"/>
        </w:numPr>
        <w:spacing w:after="60"/>
        <w:jc w:val="both"/>
      </w:pPr>
      <w:r>
        <w:rPr>
          <w:b/>
          <w:bCs/>
        </w:rPr>
        <w:t xml:space="preserve">Comparison:</w:t>
      </w:r>
      <w:r>
        <w:t xml:space="preserve"> what changed from the first version and what holds.</w:t>
      </w:r>
    </w:p>
    <w:p>
      <w:pPr>
        <w:spacing w:before="600"/>
      </w:pPr>
      <w:r>
        <w:rPr>
          <w:color w:val="5B6573"/>
          <w:sz w:val="20"/>
          <w:szCs w:val="20"/>
        </w:rPr>
        <w:t xml:space="preserve">Version 2: October 19, 2026 (replaces the version of October 12, 2026)  ·  Follow-up to the note “PRAG-GO on the Henry problem”</w:t>
      </w:r>
    </w:p>
    <w:p>
      <w:pPr>
        <w:pStyle w:val="Heading1"/>
        <w:pageBreakBefore/>
      </w:pPr>
      <w:r>
        <w:rPr>
          <w:color w:val="1F3864"/>
        </w:rPr>
        <w:t xml:space="preserve">1. The question and the short answer</w:t>
      </w:r>
    </w:p>
    <w:p>
      <w:pPr>
        <w:spacing w:after="120"/>
        <w:jc w:val="both"/>
      </w:pPr>
      <w:r>
        <w:t xml:space="preserve">The first version of this note (12 October 2026) tested PRAG-GO and PRAG-MAR on the field model of the companion study (Zeqiraj, 2026), in which every row of the aquifer polygon drains to the sea at its western edge. The chloride study of Fushë-Kuqe has since geolocated the Adriatic contact against the GLOBE shoreline. Only the northern 23 km of the western margin touch the sea; south of the Ishëm mouth the margin runs 5–15 km inland, behind the hills of Lalëz Bay. This version repeats both tests with that boundary. The physics of the model is unchanged, but the boundary moves the intrusion, the wells at risk and therefore every site-specific design. The questions are the same:</w:t>
      </w:r>
    </w:p>
    <w:p>
      <w:pPr>
        <w:pStyle w:val="ListParagraph"/>
        <w:numPr>
          <w:ilvl w:val="0"/>
          <w:numId w:val="3"/>
        </w:numPr>
        <w:spacing w:after="60"/>
        <w:jc w:val="both"/>
      </w:pPr>
      <w:r>
        <w:rPr>
          <w:b/>
          <w:bCs/>
        </w:rPr>
        <w:t xml:space="preserve">Does the monitoring design for the intruded area also inform the risk at the supply wells?</w:t>
      </w:r>
      <w:r>
        <w:t xml:space="preserve"> The regulatory question is whether the saltwater interface reaches the aquifer base beneath a supply well.</w:t>
      </w:r>
    </w:p>
    <w:p>
      <w:pPr>
        <w:pStyle w:val="ListParagraph"/>
        <w:numPr>
          <w:ilvl w:val="0"/>
          <w:numId w:val="3"/>
        </w:numPr>
        <w:spacing w:after="60"/>
        <w:jc w:val="both"/>
      </w:pPr>
      <w:r>
        <w:rPr>
          <w:b/>
          <w:bCs/>
        </w:rPr>
        <w:t xml:space="preserve">Does PRAG-GO find the exact optimal design in the field?</w:t>
      </w:r>
      <w:r>
        <w:t xml:space="preserve"> All designs are scored by their exact expected information gain (EIG), without linearization.</w:t>
      </w:r>
    </w:p>
    <w:p>
      <w:pPr>
        <w:pStyle w:val="ListParagraph"/>
        <w:numPr>
          <w:ilvl w:val="0"/>
          <w:numId w:val="3"/>
        </w:numPr>
        <w:spacing w:after="60"/>
        <w:jc w:val="both"/>
      </w:pPr>
      <w:r>
        <w:rPr>
          <w:b/>
          <w:bCs/>
        </w:rPr>
        <w:t xml:space="preserve">Where should recharge go when its purpose is to protect the supply wells?</w:t>
      </w:r>
      <w:r>
        <w:t xml:space="preserve"> PRAG-MAR answers this with two adjoint solves.</w:t>
      </w:r>
    </w:p>
    <w:p>
      <w:pPr>
        <w:pStyle w:val="ListParagraph"/>
        <w:numPr>
          <w:ilvl w:val="0"/>
          <w:numId w:val="3"/>
        </w:numPr>
        <w:spacing w:after="60"/>
        <w:jc w:val="both"/>
      </w:pPr>
      <w:r>
        <w:rPr>
          <w:b/>
          <w:bCs/>
        </w:rPr>
        <w:t xml:space="preserve">What remains of the first version?</w:t>
      </w:r>
      <w:r>
        <w:t xml:space="preserve"> Section 6 compares the two versions result by result.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With the geolocated sea boundary, the risk sits at the Fushë-Kuqe well field: two pumped supply wells, A1 and P10. The three monitoring wells chosen for the intruded area, as in the published pipeline, capture 74% of the information on whether A1 is intruded and 52% on whether A1 or P10 is intruded; PRAG-GO picks the exact optimum (100%), and with five wells 99.6% against 48%. PRAG-MAR, recharge sited by a closed-form formula with two adjoint solves, lowers the probability that either well is intruded from 0.56 to 0.06 with 5 000 m³/day at each of three sites, close to the exact optimum (0.04). Sites chosen for the intruded area reach 0.30, and the published sites 0.53.</w:t>
      </w:r>
    </w:p>
    <w:p>
      <w:pPr>
        <w:spacing w:after="240"/>
      </w:pPr>
    </w:p>
    <w:p>
      <w:pPr>
        <w:pStyle w:val="Heading1"/>
      </w:pPr>
      <w:r>
        <w:rPr>
          <w:color w:val="1F3864"/>
        </w:rPr>
        <w:t xml:space="preserve">2. The field model and the geolocated sea boundary</w:t>
      </w:r>
    </w:p>
    <w:p>
      <w:pPr>
        <w:spacing w:after="120"/>
        <w:jc w:val="both"/>
      </w:pPr>
      <w:r>
        <w:t xml:space="preserve">The model is the Python port of the project script src/fushe_kuqe_field_design.m used in the first version. With its original boundary it reproduces the published numbers exactly: 5 589 active cells of 0.25 km (349.3 km²), an intruded area of 92.7 km², monitoring wells P21, A12, A13, A21, A10 and MAR sites A18, P21, P16. The hydraulic conductivity </w:t>
      </w:r>
      <m:oMath>
        <m:sSub>
          <m:e>
            <m:r>
              <m:t>K</m:t>
            </m:r>
          </m:e>
          <m:sub>
            <m:r>
              <m:t>0</m:t>
            </m:r>
          </m:sub>
        </m:sSub>
      </m:oMath>
      <w:r>
        <w:t xml:space="preserve"> is interpolated by IDW from the 43 wells with </w:t>
      </w:r>
      <m:oMath>
        <m:r>
          <m:t>K</m:t>
        </m:r>
      </m:oMath>
      <w:r>
        <w:t xml:space="preserve"> measurements. Flow is steady in a confined aquifer of thickness </w:t>
      </w:r>
      <m:oMath>
        <m:r>
          <m:t>b</m:t>
        </m:r>
        <m:r>
          <m:rPr>
            <m:sty m:val="p"/>
          </m:rPr>
          <m:t>=</m:t>
        </m:r>
        <m:r>
          <m:t>30</m:t>
        </m:r>
      </m:oMath>
      <w:r>
        <w:t xml:space="preserve"> m with recharge </w:t>
      </w:r>
      <m:oMath>
        <m:r>
          <m:t>R</m:t>
        </m:r>
        <m:r>
          <m:rPr>
            <m:sty m:val="p"/>
          </m:rPr>
          <m:t>=</m:t>
        </m:r>
        <m:r>
          <m:t>5</m:t>
        </m:r>
        <m:r>
          <m:rPr>
            <m:sty m:val="p"/>
          </m:rPr>
          <m:t>⋅</m:t>
        </m:r>
        <m:sSup>
          <m:e>
            <m:r>
              <m:t>10</m:t>
            </m:r>
          </m:e>
          <m:sup>
            <m:r>
              <m:rPr>
                <m:sty m:val="p"/>
              </m:rPr>
              <m:t>−</m:t>
            </m:r>
            <m:r>
              <m:t>4</m:t>
            </m:r>
          </m:sup>
        </m:sSup>
      </m:oMath>
      <w:r>
        <w:t xml:space="preserve"> m/day:</w:t>
      </w:r>
    </w:p>
    <w:p>
      <w:pPr>
        <w:pStyle w:val="Equation"/>
      </w:pPr>
      <m:oMathPara>
        <m:oMathParaPr>
          <m:jc m:val="center"/>
        </m:oMathParaPr>
        <m:oMath>
          <m:r>
            <m:rPr>
              <m:sty m:val="p"/>
            </m:rPr>
            <m:t>∇</m:t>
          </m:r>
          <m:r>
            <m:rPr>
              <m:sty m:val="p"/>
            </m:rPr>
            <m:t>⋅</m:t>
          </m:r>
          <m:d>
            <m:dPr>
              <m:begChr m:val="("/>
              <m:sepChr m:val=""/>
              <m:endChr m:val=")"/>
              <m:grow/>
            </m:dPr>
            <m:e>
              <m:r>
                <m:t>T</m:t>
              </m:r>
              <m:r>
                <m:rPr>
                  <m:sty m:val="p"/>
                </m:rPr>
                <m:t>∇</m:t>
              </m:r>
              <m:r>
                <m:t>h</m:t>
              </m:r>
            </m:e>
          </m:d>
          <m:r>
            <m:rPr>
              <m:sty m:val="p"/>
            </m:rPr>
            <m:t>=</m:t>
          </m:r>
          <m:r>
            <m:rPr>
              <m:sty m:val="p"/>
            </m:rPr>
            <m:t>−</m:t>
          </m:r>
          <m:r>
            <m:t>R</m:t>
          </m:r>
          <m:r>
            <m:rPr>
              <m:sty m:val="p"/>
            </m:rPr>
            <m:t>,</m:t>
          </m:r>
          <m:r>
            <m:t>  </m:t>
          </m:r>
          <m:r>
            <m:t>T</m:t>
          </m:r>
          <m:r>
            <m:rPr>
              <m:sty m:val="p"/>
            </m:rPr>
            <m:t>=</m:t>
          </m:r>
          <m:sSub>
            <m:e>
              <m:r>
                <m:t>K</m:t>
              </m:r>
            </m:e>
            <m:sub>
              <m:r>
                <m:t>0</m:t>
              </m:r>
            </m:sub>
          </m:sSub>
          <m:r>
            <m:t> </m:t>
          </m:r>
          <m:r>
            <m:t>b</m:t>
          </m:r>
          <m:r>
            <m:t> </m:t>
          </m:r>
          <m:sSup>
            <m:e>
              <m:r>
                <m:t>e</m:t>
              </m:r>
            </m:e>
            <m:sup>
              <m:sSub>
                <m:e>
                  <m:r>
                    <m:t>θ</m:t>
                  </m:r>
                </m:e>
                <m:sub>
                  <m:r>
                    <m:t>z</m:t>
                  </m:r>
                </m:sub>
              </m:sSub>
            </m:sup>
          </m:sSup>
        </m:oMath>
      </m:oMathPara>
    </w:p>
    <w:p>
      <w:pPr>
        <w:spacing w:after="120"/>
        <w:jc w:val="both"/>
      </w:pPr>
      <w:r>
        <w:t xml:space="preserve">Here </w:t>
      </w:r>
      <m:oMath>
        <m:sSub>
          <m:e>
            <m:r>
              <m:t>θ</m:t>
            </m:r>
          </m:e>
          <m:sub>
            <m:r>
              <m:t>z</m:t>
            </m:r>
          </m:sub>
        </m:sSub>
      </m:oMath>
      <w:r>
        <w:t xml:space="preserve"> is the log-multiplier of pilot zone </w:t>
      </w:r>
      <m:oMath>
        <m:r>
          <m:t>z</m:t>
        </m:r>
      </m:oMath>
      <w:r>
        <w:t xml:space="preserve">. The prior has 12 pilot zones, 4 of coarse and 8 of medium gravel, with covariance </w:t>
      </w:r>
      <m:oMath>
        <m:sSub>
          <m:e>
            <m:d>
              <m:dPr>
                <m:begChr m:val="("/>
                <m:sepChr m:val=""/>
                <m:endChr m:val=")"/>
                <m:grow/>
              </m:dPr>
              <m:e>
                <m:sSub>
                  <m:e>
                    <m:r>
                      <m:t>Γ</m:t>
                    </m:r>
                  </m:e>
                  <m:sub>
                    <m:r>
                      <m:t>F</m:t>
                    </m:r>
                  </m:sub>
                </m:sSub>
              </m:e>
            </m:d>
          </m:e>
          <m:sub>
            <m:r>
              <m:t>i</m:t>
            </m:r>
            <m:r>
              <m:t>j</m:t>
            </m:r>
          </m:sub>
        </m:sSub>
        <m:r>
          <m:rPr>
            <m:sty m:val="p"/>
          </m:rPr>
          <m:t>=</m:t>
        </m:r>
        <m:sSub>
          <m:e>
            <m:r>
              <m:t>s</m:t>
            </m:r>
          </m:e>
          <m:sub>
            <m:r>
              <m:t>i</m:t>
            </m:r>
          </m:sub>
        </m:sSub>
        <m:sSub>
          <m:e>
            <m:r>
              <m:t>s</m:t>
            </m:r>
          </m:e>
          <m:sub>
            <m:r>
              <m:t>j</m:t>
            </m:r>
          </m:sub>
        </m:sSub>
        <m:r>
          <m:t> </m:t>
        </m:r>
        <m:sSup>
          <m:e>
            <m:r>
              <m:t>e</m:t>
            </m:r>
          </m:e>
          <m:sup>
            <m:r>
              <m:rPr>
                <m:sty m:val="p"/>
              </m:rPr>
              <m:t>−</m:t>
            </m:r>
            <m:sSub>
              <m:e>
                <m:r>
                  <m:t>d</m:t>
                </m:r>
              </m:e>
              <m:sub>
                <m:r>
                  <m:t>i</m:t>
                </m:r>
                <m:r>
                  <m:t>j</m:t>
                </m:r>
              </m:sub>
            </m:sSub>
            <m:r>
              <m:rPr>
                <m:sty m:val="p"/>
              </m:rPr>
              <m:t>/</m:t>
            </m:r>
            <m:sSub>
              <m:e>
                <m:r>
                  <m:t>L</m:t>
                </m:r>
              </m:e>
              <m:sub>
                <m:r>
                  <m:t>c</m:t>
                </m:r>
              </m:sub>
            </m:sSub>
          </m:sup>
        </m:sSup>
        <m:sSub>
          <m:e>
            <m:r>
              <m:t>ρ</m:t>
            </m:r>
          </m:e>
          <m:sub>
            <m:r>
              <m:t>i</m:t>
            </m:r>
            <m:r>
              <m:t>j</m:t>
            </m:r>
          </m:sub>
        </m:sSub>
      </m:oMath>
      <w:r>
        <w:t xml:space="preserve">, </w:t>
      </w:r>
      <m:oMath>
        <m:sSub>
          <m:e>
            <m:r>
              <m:t>L</m:t>
            </m:r>
          </m:e>
          <m:sub>
            <m:r>
              <m:t>c</m:t>
            </m:r>
          </m:sub>
        </m:sSub>
        <m:r>
          <m:rPr>
            <m:sty m:val="p"/>
          </m:rPr>
          <m:t>=</m:t>
        </m:r>
        <m:r>
          <m:t>8</m:t>
        </m:r>
      </m:oMath>
      <w:r>
        <w:t xml:space="preserve"> km, </w:t>
      </w:r>
      <m:oMath>
        <m:r>
          <m:t>s</m:t>
        </m:r>
        <m:r>
          <m:rPr>
            <m:sty m:val="p"/>
          </m:rPr>
          <m:t>=</m:t>
        </m:r>
        <m:r>
          <m:t>0.30</m:t>
        </m:r>
      </m:oMath>
      <w:r>
        <w:t xml:space="preserve">, </w:t>
      </w:r>
      <m:oMath>
        <m:r>
          <m:t>0.45</m:t>
        </m:r>
      </m:oMath>
      <w:r>
        <w:t xml:space="preserve"> or </w:t>
      </w:r>
      <m:oMath>
        <m:r>
          <m:t>0.60</m:t>
        </m:r>
      </m:oMath>
      <w:r>
        <w:t xml:space="preserve"> by facies and </w:t>
      </w:r>
      <m:oMath>
        <m:sSub>
          <m:e>
            <m:r>
              <m:t>ρ</m:t>
            </m:r>
          </m:e>
          <m:sub>
            <m:r>
              <m:t>i</m:t>
            </m:r>
            <m:r>
              <m:t>j</m:t>
            </m:r>
          </m:sub>
        </m:sSub>
        <m:r>
          <m:rPr>
            <m:sty m:val="p"/>
          </m:rPr>
          <m:t>=</m:t>
        </m:r>
        <m:sSub>
          <m:e>
            <m:r>
              <m:t>ρ</m:t>
            </m:r>
          </m:e>
          <m:sub>
            <m:r>
              <m:t>F</m:t>
            </m:r>
          </m:sub>
        </m:sSub>
        <m:r>
          <m:rPr>
            <m:sty m:val="p"/>
          </m:rPr>
          <m:t>=</m:t>
        </m:r>
        <m:r>
          <m:t>0.6</m:t>
        </m:r>
      </m:oMath>
      <w:r>
        <w:t xml:space="preserve"> between facies. Intrusion follows the Ghyben–Herzberg criterion: the interface lies at depth </w:t>
      </w:r>
      <m:oMath>
        <m:r>
          <m:t>ζ</m:t>
        </m:r>
        <m:r>
          <m:rPr>
            <m:sty m:val="p"/>
          </m:rPr>
          <m:t>=</m:t>
        </m:r>
        <m:r>
          <m:t>h</m:t>
        </m:r>
        <m:r>
          <m:rPr>
            <m:sty m:val="p"/>
          </m:rPr>
          <m:t>/</m:t>
        </m:r>
        <m:r>
          <m:t>δ</m:t>
        </m:r>
      </m:oMath>
      <w:r>
        <w:t xml:space="preserve"> below sea level and reaches the aquifer base, at </w:t>
      </w:r>
      <m:oMath>
        <m:sSub>
          <m:e>
            <m:r>
              <m:t>b</m:t>
            </m:r>
          </m:e>
          <m:sub>
            <m:r>
              <m:t>0</m:t>
            </m:r>
          </m:sub>
        </m:sSub>
        <m:r>
          <m:rPr>
            <m:sty m:val="p"/>
          </m:rPr>
          <m:t>=</m:t>
        </m:r>
        <m:r>
          <m:t>40</m:t>
        </m:r>
      </m:oMath>
      <w:r>
        <w:t xml:space="preserve"> m, when (in metres)</w:t>
      </w:r>
    </w:p>
    <w:p>
      <w:pPr>
        <w:pStyle w:val="Equation"/>
      </w:pPr>
      <m:oMathPara>
        <m:oMathParaPr>
          <m:jc m:val="center"/>
        </m:oMathParaPr>
        <m:oMath>
          <m:sSub>
            <m:e>
              <m:r>
                <m:t>q</m:t>
              </m:r>
            </m:e>
            <m:sub>
              <m:r>
                <m:t>w</m:t>
              </m:r>
            </m:sub>
          </m:sSub>
          <m:r>
            <m:rPr>
              <m:sty m:val="p"/>
            </m:rPr>
            <m:t>=</m:t>
          </m:r>
          <m:r>
            <m:rPr>
              <m:sty m:val="p"/>
            </m:rPr>
            <m:t>I</m:t>
          </m:r>
          <m:d>
            <m:dPr>
              <m:begChr m:val="("/>
              <m:sepChr m:val=""/>
              <m:endChr m:val=")"/>
              <m:grow/>
            </m:dPr>
            <m:e>
              <m:sSub>
                <m:e>
                  <m:r>
                    <m:t>ζ</m:t>
                  </m:r>
                </m:e>
                <m:sub>
                  <m:r>
                    <m:t>w</m:t>
                  </m:r>
                </m:sub>
              </m:sSub>
              <m:r>
                <m:rPr>
                  <m:sty m:val="p"/>
                </m:rPr>
                <m:t>&lt;</m:t>
              </m:r>
              <m:sSub>
                <m:e>
                  <m:r>
                    <m:t>b</m:t>
                  </m:r>
                </m:e>
                <m:sub>
                  <m:r>
                    <m:t>0</m:t>
                  </m:r>
                </m:sub>
              </m:sSub>
            </m:e>
          </m:d>
          <m:r>
            <m:rPr>
              <m:sty m:val="p"/>
            </m:rPr>
            <m:t>=</m:t>
          </m:r>
          <m:r>
            <m:rPr>
              <m:sty m:val="p"/>
            </m:rPr>
            <m:t>I</m:t>
          </m:r>
          <m:d>
            <m:dPr>
              <m:begChr m:val="("/>
              <m:sepChr m:val=""/>
              <m:endChr m:val=")"/>
              <m:grow/>
            </m:dPr>
            <m:e>
              <m:sSub>
                <m:e>
                  <m:r>
                    <m:t>h</m:t>
                  </m:r>
                </m:e>
                <m:sub>
                  <m:r>
                    <m:t>w</m:t>
                  </m:r>
                </m:sub>
              </m:sSub>
              <m:r>
                <m:rPr>
                  <m:sty m:val="p"/>
                </m:rPr>
                <m:t>&lt;</m:t>
              </m:r>
              <m:sSub>
                <m:e>
                  <m:r>
                    <m:t>h</m:t>
                  </m:r>
                </m:e>
                <m:sub>
                  <m:r>
                    <m:t>c</m:t>
                  </m:r>
                </m:sub>
              </m:sSub>
            </m:e>
          </m:d>
          <m:r>
            <m:rPr>
              <m:sty m:val="p"/>
            </m:rPr>
            <m:t>,</m:t>
          </m:r>
          <m:r>
            <m:t>  </m:t>
          </m:r>
          <m:sSub>
            <m:e>
              <m:r>
                <m:t>h</m:t>
              </m:r>
            </m:e>
            <m:sub>
              <m:r>
                <m:t>c</m:t>
              </m:r>
            </m:sub>
          </m:sSub>
          <m:r>
            <m:rPr>
              <m:sty m:val="p"/>
            </m:rPr>
            <m:t>=</m:t>
          </m:r>
          <m:r>
            <m:t>δ</m:t>
          </m:r>
          <m:r>
            <m:t> </m:t>
          </m:r>
          <m:sSub>
            <m:e>
              <m:r>
                <m:t>b</m:t>
              </m:r>
            </m:e>
            <m:sub>
              <m:r>
                <m:t>0</m:t>
              </m:r>
            </m:sub>
          </m:sSub>
          <m:r>
            <m:rPr>
              <m:sty m:val="p"/>
            </m:rPr>
            <m:t>=</m:t>
          </m:r>
          <m:r>
            <m:t>0.025</m:t>
          </m:r>
          <m:r>
            <m:rPr>
              <m:sty m:val="p"/>
            </m:rPr>
            <m:t>⋅</m:t>
          </m:r>
          <m:r>
            <m:t>40</m:t>
          </m:r>
          <m:r>
            <m:rPr>
              <m:sty m:val="p"/>
            </m:rPr>
            <m:t>=</m:t>
          </m:r>
          <m:r>
            <m:t>1.0</m:t>
          </m:r>
        </m:oMath>
      </m:oMathPara>
    </w:p>
    <w:p>
      <w:pPr>
        <w:spacing w:after="120"/>
        <w:jc w:val="both"/>
      </w:pPr>
      <w:r>
        <w:rPr>
          <w:b/>
          <w:bCs/>
        </w:rPr>
        <w:t xml:space="preserve">The new boundary.</w:t>
      </w:r>
      <w:r>
        <w:t xml:space="preserve"> The script fk_geo.py changes only the boundary, exactly as in the chloride model. The western-edge cell of each of the 92 rows north of </w:t>
      </w:r>
      <m:oMath>
        <m:r>
          <m:t>y</m:t>
        </m:r>
        <m:r>
          <m:rPr>
            <m:sty m:val="p"/>
          </m:rPr>
          <m:t>=</m:t>
        </m:r>
        <m:r>
          <m:t>29.5</m:t>
        </m:r>
      </m:oMath>
      <w:r>
        <w:t xml:space="preserve"> km drains to </w:t>
      </w:r>
      <m:oMath>
        <m:r>
          <m:t>h</m:t>
        </m:r>
        <m:r>
          <m:rPr>
            <m:sty m:val="p"/>
          </m:rPr>
          <m:t>=</m:t>
        </m:r>
        <m:r>
          <m:t>0</m:t>
        </m:r>
      </m:oMath>
      <w:r>
        <w:t xml:space="preserve"> at the shoreline through a link across the gap </w:t>
      </w:r>
      <m:oMath>
        <m:sSub>
          <m:e>
            <m:r>
              <m:t>g</m:t>
            </m:r>
          </m:e>
          <m:sub>
            <m:r>
              <m:t>k</m:t>
            </m:r>
          </m:sub>
        </m:sSub>
      </m:oMath>
      <w:r>
        <w:t xml:space="preserve"> between the polygon and the GLOBE shoreline:</w:t>
      </w:r>
    </w:p>
    <w:p>
      <w:pPr>
        <w:pStyle w:val="Equation"/>
      </w:pPr>
      <m:oMathPara>
        <m:oMathParaPr>
          <m:jc m:val="center"/>
        </m:oMathParaPr>
        <m:oMath>
          <m:sSub>
            <m:e>
              <m:r>
                <m:t>q</m:t>
              </m:r>
            </m:e>
            <m:sub>
              <m:r>
                <m:rPr>
                  <m:sty m:val="p"/>
                </m:rPr>
                <m:t>s</m:t>
              </m:r>
              <m:r>
                <m:rPr>
                  <m:sty m:val="p"/>
                </m:rPr>
                <m:t>e</m:t>
              </m:r>
              <m:r>
                <m:rPr>
                  <m:sty m:val="p"/>
                </m:rPr>
                <m:t>a</m:t>
              </m:r>
              <m:r>
                <m:rPr>
                  <m:sty m:val="p"/>
                </m:rPr>
                <m:t>,</m:t>
              </m:r>
              <m:r>
                <m:t>k</m:t>
              </m:r>
            </m:sub>
          </m:sSub>
          <m:r>
            <m:rPr>
              <m:sty m:val="p"/>
            </m:rPr>
            <m:t>=</m:t>
          </m:r>
          <m:f>
            <m:fPr>
              <m:type m:val="bar"/>
            </m:fPr>
            <m:num>
              <m:sSub>
                <m:e>
                  <m:r>
                    <m:t>T</m:t>
                  </m:r>
                </m:e>
                <m:sub>
                  <m:r>
                    <m:t>k</m:t>
                  </m:r>
                </m:sub>
              </m:sSub>
              <m:r>
                <m:t> </m:t>
              </m:r>
              <m:r>
                <m:t>Δ</m:t>
              </m:r>
              <m:r>
                <m:t>x</m:t>
              </m:r>
            </m:num>
            <m:den>
              <m:sSub>
                <m:e>
                  <m:r>
                    <m:t>g</m:t>
                  </m:r>
                </m:e>
                <m:sub>
                  <m:r>
                    <m:t>k</m:t>
                  </m:r>
                </m:sub>
              </m:sSub>
              <m:r>
                <m:rPr>
                  <m:sty m:val="p"/>
                </m:rPr>
                <m:t>+</m:t>
              </m:r>
              <m:r>
                <m:t>Δ</m:t>
              </m:r>
              <m:r>
                <m:t>x</m:t>
              </m:r>
              <m:r>
                <m:rPr>
                  <m:sty m:val="p"/>
                </m:rPr>
                <m:t>/</m:t>
              </m:r>
              <m:r>
                <m:t>2</m:t>
              </m:r>
            </m:den>
          </m:f>
          <m:r>
            <m:t> </m:t>
          </m:r>
          <m:sSub>
            <m:e>
              <m:r>
                <m:t>h</m:t>
              </m:r>
            </m:e>
            <m:sub>
              <m:r>
                <m:t>k</m:t>
              </m:r>
            </m:sub>
          </m:sSub>
          <m:r>
            <m:rPr>
              <m:sty m:val="p"/>
            </m:rPr>
            <m:t>,</m:t>
          </m:r>
          <m:r>
            <m:t>  </m:t>
          </m:r>
          <m:r>
            <m:t>k</m:t>
          </m:r>
          <m:r>
            <m:rPr>
              <m:sty m:val="p"/>
            </m:rPr>
            <m:t>∈</m:t>
          </m:r>
          <m:r>
            <m:rPr>
              <m:scr m:val="script"/>
              <m:sty m:val="p"/>
            </m:rPr>
            <m:t>C</m:t>
          </m:r>
          <m:r>
            <m:rPr>
              <m:sty m:val="p"/>
            </m:rPr>
            <m:t>,</m:t>
          </m:r>
          <m:r>
            <m:t>  </m:t>
          </m:r>
          <m:d>
            <m:dPr>
              <m:begChr m:val="|"/>
              <m:sepChr m:val=""/>
              <m:endChr m:val="|"/>
              <m:grow/>
            </m:dPr>
            <m:e>
              <m:r>
                <m:rPr>
                  <m:scr m:val="script"/>
                  <m:sty m:val="p"/>
                </m:rPr>
                <m:t>C</m:t>
              </m:r>
            </m:e>
          </m:d>
          <m:r>
            <m:rPr>
              <m:sty m:val="p"/>
            </m:rPr>
            <m:t>=</m:t>
          </m:r>
          <m:r>
            <m:t>92</m:t>
          </m:r>
        </m:oMath>
      </m:oMathPara>
    </w:p>
    <w:p>
      <w:pPr>
        <w:spacing w:after="120"/>
        <w:jc w:val="both"/>
      </w:pPr>
      <w:r>
        <w:t xml:space="preserve">The model covers the coastal sector </w:t>
      </w:r>
      <m:oMath>
        <m:r>
          <m:t>y</m:t>
        </m:r>
        <m:r>
          <m:rPr>
            <m:sty m:val="p"/>
          </m:rPr>
          <m:t>≥</m:t>
        </m:r>
        <m:r>
          <m:t>24</m:t>
        </m:r>
      </m:oMath>
      <w:r>
        <w:t xml:space="preserve"> km (3 545 cells, 221.6 km²), which contains all of the sea contact; the southern cut and every other margin are no-flow. Without the cut, the recharge of the southern plain would have to leave through the northern coast; in reality it drains to the Ishëm and Erzen rivers.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3238"/>
        <w:gridCol w:w="3200"/>
        <w:gridCol w:w="3200"/>
      </w:tblGrid>
      <w:tr>
        <w:trPr>
          <w:cantSplit/>
          <w:tblHeader/>
        </w:trPr>
        <w:tc>
          <w:tcPr>
            <w:tcW w:type="dxa" w:w="3238"/>
            <w:shd w:fill="1F3864" w:color="auto" w:val="clear"/>
            <w:tcMar>
              <w:top w:type="dxa" w:w="60"/>
              <w:left w:type="dxa" w:w="100"/>
              <w:bottom w:type="dxa" w:w="60"/>
              <w:right w:type="dxa" w:w="100"/>
            </w:tcMar>
            <w:vAlign w:val="top"/>
          </w:tcPr>
          <w:p>
            <w:r>
              <w:rPr>
                <w:b/>
                <w:bCs/>
                <w:color w:val="FFFFFF"/>
                <w:sz w:val="17"/>
                <w:szCs w:val="17"/>
              </w:rPr>
              <w:t xml:space="preserve">Quantity</w:t>
            </w:r>
          </w:p>
        </w:tc>
        <w:tc>
          <w:tcPr>
            <w:tcW w:type="dxa" w:w="3200"/>
            <w:shd w:fill="1F3864" w:color="auto" w:val="clear"/>
            <w:tcMar>
              <w:top w:type="dxa" w:w="60"/>
              <w:left w:type="dxa" w:w="100"/>
              <w:bottom w:type="dxa" w:w="60"/>
              <w:right w:type="dxa" w:w="100"/>
            </w:tcMar>
            <w:vAlign w:val="top"/>
          </w:tcPr>
          <w:p>
            <w:r>
              <w:rPr>
                <w:b/>
                <w:bCs/>
                <w:color w:val="FFFFFF"/>
                <w:sz w:val="17"/>
                <w:szCs w:val="17"/>
              </w:rPr>
              <w:t xml:space="preserve">First version (full margin)</w:t>
            </w:r>
          </w:p>
        </w:tc>
        <w:tc>
          <w:tcPr>
            <w:tcW w:type="dxa" w:w="3200"/>
            <w:shd w:fill="1F3864" w:color="auto" w:val="clear"/>
            <w:tcMar>
              <w:top w:type="dxa" w:w="60"/>
              <w:left w:type="dxa" w:w="100"/>
              <w:bottom w:type="dxa" w:w="60"/>
              <w:right w:type="dxa" w:w="100"/>
            </w:tcMar>
            <w:vAlign w:val="top"/>
          </w:tcPr>
          <w:p>
            <w:r>
              <w:rPr>
                <w:b/>
                <w:bCs/>
                <w:color w:val="FFFFFF"/>
                <w:sz w:val="17"/>
                <w:szCs w:val="17"/>
              </w:rPr>
              <w:t xml:space="preserve">This version (geolocated)</w:t>
            </w:r>
          </w:p>
        </w:tc>
      </w:tr>
      <w:tr>
        <w:trPr>
          <w:cantSplit/>
        </w:trPr>
        <w:tc>
          <w:tcPr>
            <w:tcW w:type="dxa" w:w="3238"/>
            <w:tcMar>
              <w:top w:type="dxa" w:w="60"/>
              <w:left w:type="dxa" w:w="100"/>
              <w:bottom w:type="dxa" w:w="60"/>
              <w:right w:type="dxa" w:w="100"/>
            </w:tcMar>
            <w:vAlign w:val="top"/>
          </w:tcPr>
          <w:p>
            <w:r>
              <w:rPr>
                <w:sz w:val="17"/>
                <w:szCs w:val="17"/>
              </w:rPr>
              <w:t xml:space="preserve">Sea boundary</w:t>
            </w:r>
          </w:p>
        </w:tc>
        <w:tc>
          <w:tcPr>
            <w:tcW w:type="dxa" w:w="3200"/>
            <w:tcMar>
              <w:top w:type="dxa" w:w="60"/>
              <w:left w:type="dxa" w:w="100"/>
              <w:bottom w:type="dxa" w:w="60"/>
              <w:right w:type="dxa" w:w="100"/>
            </w:tcMar>
            <w:vAlign w:val="top"/>
          </w:tcPr>
          <w:p>
            <w:r>
              <w:rPr>
                <w:sz w:val="17"/>
                <w:szCs w:val="17"/>
              </w:rPr>
              <w:t xml:space="preserve">whole western margin, 52 km</w:t>
            </w:r>
          </w:p>
        </w:tc>
        <w:tc>
          <w:tcPr>
            <w:tcW w:type="dxa" w:w="3200"/>
            <w:tcMar>
              <w:top w:type="dxa" w:w="60"/>
              <w:left w:type="dxa" w:w="100"/>
              <w:bottom w:type="dxa" w:w="60"/>
              <w:right w:type="dxa" w:w="100"/>
            </w:tcMar>
            <w:vAlign w:val="top"/>
          </w:tcPr>
          <w:p>
            <w:r>
              <w:rPr>
                <w:sz w:val="17"/>
                <w:szCs w:val="17"/>
              </w:rPr>
              <w:t xml:space="preserve">northern 23 km (92 rows, y &gt; 29.5 km)</w:t>
            </w:r>
          </w:p>
        </w:tc>
      </w:tr>
      <w:tr>
        <w:trPr>
          <w:cantSplit/>
        </w:trPr>
        <w:tc>
          <w:tcPr>
            <w:tcW w:type="dxa" w:w="3238"/>
            <w:shd w:fill="F7F9FC" w:color="auto" w:val="clear"/>
            <w:tcMar>
              <w:top w:type="dxa" w:w="60"/>
              <w:left w:type="dxa" w:w="100"/>
              <w:bottom w:type="dxa" w:w="60"/>
              <w:right w:type="dxa" w:w="100"/>
            </w:tcMar>
            <w:vAlign w:val="top"/>
          </w:tcPr>
          <w:p>
            <w:r>
              <w:rPr>
                <w:sz w:val="17"/>
                <w:szCs w:val="17"/>
              </w:rPr>
              <w:t xml:space="preserve">Model domain</w:t>
            </w:r>
          </w:p>
        </w:tc>
        <w:tc>
          <w:tcPr>
            <w:tcW w:type="dxa" w:w="3200"/>
            <w:shd w:fill="F7F9FC" w:color="auto" w:val="clear"/>
            <w:tcMar>
              <w:top w:type="dxa" w:w="60"/>
              <w:left w:type="dxa" w:w="100"/>
              <w:bottom w:type="dxa" w:w="60"/>
              <w:right w:type="dxa" w:w="100"/>
            </w:tcMar>
            <w:vAlign w:val="top"/>
          </w:tcPr>
          <w:p>
            <w:r>
              <w:rPr>
                <w:sz w:val="17"/>
                <w:szCs w:val="17"/>
              </w:rPr>
              <w:t xml:space="preserve">polygon, 349.3 km²</w:t>
            </w:r>
          </w:p>
        </w:tc>
        <w:tc>
          <w:tcPr>
            <w:tcW w:type="dxa" w:w="3200"/>
            <w:shd w:fill="F7F9FC" w:color="auto" w:val="clear"/>
            <w:tcMar>
              <w:top w:type="dxa" w:w="60"/>
              <w:left w:type="dxa" w:w="100"/>
              <w:bottom w:type="dxa" w:w="60"/>
              <w:right w:type="dxa" w:w="100"/>
            </w:tcMar>
            <w:vAlign w:val="top"/>
          </w:tcPr>
          <w:p>
            <w:r>
              <w:rPr>
                <w:sz w:val="17"/>
                <w:szCs w:val="17"/>
              </w:rPr>
              <w:t xml:space="preserve">coastal sector y ≥ 24 km, 221.6 km²</w:t>
            </w:r>
          </w:p>
        </w:tc>
      </w:tr>
      <w:tr>
        <w:trPr>
          <w:cantSplit/>
        </w:trPr>
        <w:tc>
          <w:tcPr>
            <w:tcW w:type="dxa" w:w="3238"/>
            <w:tcMar>
              <w:top w:type="dxa" w:w="60"/>
              <w:left w:type="dxa" w:w="100"/>
              <w:bottom w:type="dxa" w:w="60"/>
              <w:right w:type="dxa" w:w="100"/>
            </w:tcMar>
            <w:vAlign w:val="top"/>
          </w:tcPr>
          <w:p>
            <w:r>
              <w:rPr>
                <w:sz w:val="17"/>
                <w:szCs w:val="17"/>
              </w:rPr>
              <w:t xml:space="preserve">Intruded area at the prior mean, no pumping</w:t>
            </w:r>
          </w:p>
        </w:tc>
        <w:tc>
          <w:tcPr>
            <w:tcW w:type="dxa" w:w="3200"/>
            <w:tcMar>
              <w:top w:type="dxa" w:w="60"/>
              <w:left w:type="dxa" w:w="100"/>
              <w:bottom w:type="dxa" w:w="60"/>
              <w:right w:type="dxa" w:w="100"/>
            </w:tcMar>
            <w:vAlign w:val="top"/>
          </w:tcPr>
          <w:p>
            <w:r>
              <w:rPr>
                <w:sz w:val="17"/>
                <w:szCs w:val="17"/>
              </w:rPr>
              <w:t xml:space="preserve">92.7 km²</w:t>
            </w:r>
          </w:p>
        </w:tc>
        <w:tc>
          <w:tcPr>
            <w:tcW w:type="dxa" w:w="3200"/>
            <w:tcMar>
              <w:top w:type="dxa" w:w="60"/>
              <w:left w:type="dxa" w:w="100"/>
              <w:bottom w:type="dxa" w:w="60"/>
              <w:right w:type="dxa" w:w="100"/>
            </w:tcMar>
            <w:vAlign w:val="top"/>
          </w:tcPr>
          <w:p>
            <w:r>
              <w:rPr>
                <w:sz w:val="17"/>
                <w:szCs w:val="17"/>
              </w:rPr>
              <w:t xml:space="preserve">10.1 km²</w:t>
            </w:r>
          </w:p>
        </w:tc>
      </w:tr>
      <w:tr>
        <w:trPr>
          <w:cantSplit/>
        </w:trPr>
        <w:tc>
          <w:tcPr>
            <w:tcW w:type="dxa" w:w="3238"/>
            <w:shd w:fill="F7F9FC" w:color="auto" w:val="clear"/>
            <w:tcMar>
              <w:top w:type="dxa" w:w="60"/>
              <w:left w:type="dxa" w:w="100"/>
              <w:bottom w:type="dxa" w:w="60"/>
              <w:right w:type="dxa" w:w="100"/>
            </w:tcMar>
            <w:vAlign w:val="top"/>
          </w:tcPr>
          <w:p>
            <w:r>
              <w:rPr>
                <w:sz w:val="17"/>
                <w:szCs w:val="17"/>
              </w:rPr>
              <w:t xml:space="preserve">Inside wells at risk without pumping</w:t>
            </w:r>
          </w:p>
        </w:tc>
        <w:tc>
          <w:tcPr>
            <w:tcW w:type="dxa" w:w="3200"/>
            <w:shd w:fill="F7F9FC" w:color="auto" w:val="clear"/>
            <w:tcMar>
              <w:top w:type="dxa" w:w="60"/>
              <w:left w:type="dxa" w:w="100"/>
              <w:bottom w:type="dxa" w:w="60"/>
              <w:right w:type="dxa" w:w="100"/>
            </w:tcMar>
            <w:vAlign w:val="top"/>
          </w:tcPr>
          <w:p>
            <w:r>
              <w:rPr>
                <w:sz w:val="17"/>
                <w:szCs w:val="17"/>
              </w:rPr>
              <w:t xml:space="preserve">yes (A23: P = 0.52; R16: P = 0.64)</w:t>
            </w:r>
          </w:p>
        </w:tc>
        <w:tc>
          <w:tcPr>
            <w:tcW w:type="dxa" w:w="3200"/>
            <w:shd w:fill="F7F9FC" w:color="auto" w:val="clear"/>
            <w:tcMar>
              <w:top w:type="dxa" w:w="60"/>
              <w:left w:type="dxa" w:w="100"/>
              <w:bottom w:type="dxa" w:w="60"/>
              <w:right w:type="dxa" w:w="100"/>
            </w:tcMar>
            <w:vAlign w:val="top"/>
          </w:tcPr>
          <w:p>
            <w:r>
              <w:rPr>
                <w:sz w:val="17"/>
                <w:szCs w:val="17"/>
              </w:rPr>
              <w:t xml:space="preserve">none (lowest prior-mean head 2.56 m, at A1)</w:t>
            </w:r>
          </w:p>
        </w:tc>
      </w:tr>
      <w:tr>
        <w:trPr>
          <w:cantSplit/>
        </w:trPr>
        <w:tc>
          <w:tcPr>
            <w:tcW w:type="dxa" w:w="3238"/>
            <w:tcMar>
              <w:top w:type="dxa" w:w="60"/>
              <w:left w:type="dxa" w:w="100"/>
              <w:bottom w:type="dxa" w:w="60"/>
              <w:right w:type="dxa" w:w="100"/>
            </w:tcMar>
            <w:vAlign w:val="top"/>
          </w:tcPr>
          <w:p>
            <w:r>
              <w:rPr>
                <w:sz w:val="17"/>
                <w:szCs w:val="17"/>
              </w:rPr>
              <w:t xml:space="preserve">Supply wells</w:t>
            </w:r>
          </w:p>
        </w:tc>
        <w:tc>
          <w:tcPr>
            <w:tcW w:type="dxa" w:w="3200"/>
            <w:tcMar>
              <w:top w:type="dxa" w:w="60"/>
              <w:left w:type="dxa" w:w="100"/>
              <w:bottom w:type="dxa" w:w="60"/>
              <w:right w:type="dxa" w:w="100"/>
            </w:tcMar>
            <w:vAlign w:val="top"/>
          </w:tcPr>
          <w:p>
            <w:r>
              <w:rPr>
                <w:sz w:val="17"/>
                <w:szCs w:val="17"/>
              </w:rPr>
              <w:t xml:space="preserve">A23 (north), R16 (south), not pumped</w:t>
            </w:r>
          </w:p>
        </w:tc>
        <w:tc>
          <w:tcPr>
            <w:tcW w:type="dxa" w:w="3200"/>
            <w:tcMar>
              <w:top w:type="dxa" w:w="60"/>
              <w:left w:type="dxa" w:w="100"/>
              <w:bottom w:type="dxa" w:w="60"/>
              <w:right w:type="dxa" w:w="100"/>
            </w:tcMar>
            <w:vAlign w:val="top"/>
          </w:tcPr>
          <w:p>
            <w:r>
              <w:rPr>
                <w:sz w:val="17"/>
                <w:szCs w:val="17"/>
              </w:rPr>
              <w:t xml:space="preserve">A1 and P10 of the Fushë-Kuqe well field, pumped</w:t>
            </w:r>
          </w:p>
        </w:tc>
      </w:tr>
      <w:tr>
        <w:trPr>
          <w:cantSplit/>
        </w:trPr>
        <w:tc>
          <w:tcPr>
            <w:tcW w:type="dxa" w:w="3238"/>
            <w:shd w:fill="F7F9FC" w:color="auto" w:val="clear"/>
            <w:tcMar>
              <w:top w:type="dxa" w:w="60"/>
              <w:left w:type="dxa" w:w="100"/>
              <w:bottom w:type="dxa" w:w="60"/>
              <w:right w:type="dxa" w:w="100"/>
            </w:tcMar>
            <w:vAlign w:val="top"/>
          </w:tcPr>
          <w:p>
            <w:r>
              <w:rPr>
                <w:sz w:val="17"/>
                <w:szCs w:val="17"/>
              </w:rPr>
              <w:t xml:space="preserve">Published MAR sites with sea contact</w:t>
            </w:r>
          </w:p>
        </w:tc>
        <w:tc>
          <w:tcPr>
            <w:tcW w:type="dxa" w:w="3200"/>
            <w:shd w:fill="F7F9FC" w:color="auto" w:val="clear"/>
            <w:tcMar>
              <w:top w:type="dxa" w:w="60"/>
              <w:left w:type="dxa" w:w="100"/>
              <w:bottom w:type="dxa" w:w="60"/>
              <w:right w:type="dxa" w:w="100"/>
            </w:tcMar>
            <w:vAlign w:val="top"/>
          </w:tcPr>
          <w:p>
            <w:r>
              <w:rPr>
                <w:sz w:val="17"/>
                <w:szCs w:val="17"/>
              </w:rPr>
              <w:t xml:space="preserve">3 of 3</w:t>
            </w:r>
          </w:p>
        </w:tc>
        <w:tc>
          <w:tcPr>
            <w:tcW w:type="dxa" w:w="3200"/>
            <w:shd w:fill="F7F9FC" w:color="auto" w:val="clear"/>
            <w:tcMar>
              <w:top w:type="dxa" w:w="60"/>
              <w:left w:type="dxa" w:w="100"/>
              <w:bottom w:type="dxa" w:w="60"/>
              <w:right w:type="dxa" w:w="100"/>
            </w:tcMar>
            <w:vAlign w:val="top"/>
          </w:tcPr>
          <w:p>
            <w:r>
              <w:rPr>
                <w:sz w:val="17"/>
                <w:szCs w:val="17"/>
              </w:rPr>
              <w:t xml:space="preserve">1 of 3 (P16)</w:t>
            </w:r>
          </w:p>
        </w:tc>
      </w:tr>
      <w:tr>
        <w:trPr>
          <w:cantSplit/>
        </w:trPr>
        <w:tc>
          <w:tcPr>
            <w:tcW w:type="dxa" w:w="3238"/>
            <w:tcMar>
              <w:top w:type="dxa" w:w="60"/>
              <w:left w:type="dxa" w:w="100"/>
              <w:bottom w:type="dxa" w:w="60"/>
              <w:right w:type="dxa" w:w="100"/>
            </w:tcMar>
            <w:vAlign w:val="top"/>
          </w:tcPr>
          <w:p>
            <w:r>
              <w:rPr>
                <w:sz w:val="17"/>
                <w:szCs w:val="17"/>
              </w:rPr>
              <w:t xml:space="preserve">Published monitoring wells in the model</w:t>
            </w:r>
          </w:p>
        </w:tc>
        <w:tc>
          <w:tcPr>
            <w:tcW w:type="dxa" w:w="3200"/>
            <w:tcMar>
              <w:top w:type="dxa" w:w="60"/>
              <w:left w:type="dxa" w:w="100"/>
              <w:bottom w:type="dxa" w:w="60"/>
              <w:right w:type="dxa" w:w="100"/>
            </w:tcMar>
            <w:vAlign w:val="top"/>
          </w:tcPr>
          <w:p>
            <w:r>
              <w:rPr>
                <w:sz w:val="17"/>
                <w:szCs w:val="17"/>
              </w:rPr>
              <w:t xml:space="preserve">5 of 5</w:t>
            </w:r>
          </w:p>
        </w:tc>
        <w:tc>
          <w:tcPr>
            <w:tcW w:type="dxa" w:w="3200"/>
            <w:tcMar>
              <w:top w:type="dxa" w:w="60"/>
              <w:left w:type="dxa" w:w="100"/>
              <w:bottom w:type="dxa" w:w="60"/>
              <w:right w:type="dxa" w:w="100"/>
            </w:tcMar>
            <w:vAlign w:val="top"/>
          </w:tcPr>
          <w:p>
            <w:r>
              <w:rPr>
                <w:sz w:val="17"/>
                <w:szCs w:val="17"/>
              </w:rPr>
              <w:t xml:space="preserve">2 of 5 (A10, A13)</w:t>
            </w:r>
          </w:p>
        </w:tc>
      </w:tr>
    </w:tbl>
    <w:p>
      <w:pPr>
        <w:spacing w:after="160"/>
      </w:pPr>
    </w:p>
    <w:p>
      <w:pPr>
        <w:keepNext/>
        <w:spacing w:after="60" w:before="120"/>
        <w:jc w:val="center"/>
      </w:pPr>
      <w:r>
        <w:drawing>
          <wp:inline distT="0" distB="0" distL="0" distR="0">
            <wp:extent cx="4495800" cy="5286375"/>
            <wp:effectExtent t="0" r="0" b="0" l="0"/>
            <wp:docPr id="1" name="The full-margin and the geolocated sea boundary of the Fushë-Kuqe model" descr="The full-margin and the geolocated sea boundary of the Fushë-Kuqe model" title="The full-margin and the geolocated sea boundary of the Fushë-Kuqe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95800" cy="5286375"/>
                    </a:xfrm>
                    <a:prstGeom prst="rect">
                      <a:avLst/>
                    </a:prstGeom>
                  </pic:spPr>
                </pic:pic>
              </a:graphicData>
            </a:graphic>
          </wp:inline>
        </w:drawing>
      </w:r>
    </w:p>
    <w:p>
      <w:pPr>
        <w:spacing w:after="200"/>
        <w:jc w:val="both"/>
      </w:pPr>
      <w:r>
        <w:rPr>
          <w:b/>
          <w:bCs/>
          <w:color w:val="3A4350"/>
          <w:sz w:val="18"/>
          <w:szCs w:val="18"/>
        </w:rPr>
        <w:t xml:space="preserve">Figure 1.</w:t>
      </w:r>
      <w:r>
        <w:rPr>
          <w:color w:val="3A4350"/>
          <w:sz w:val="18"/>
          <w:szCs w:val="18"/>
        </w:rPr>
        <w:t xml:space="preserve"> The two sea boundaries. (a) First version: every row drains to the sea at the western edge of the polygon. The intruded zone at the prior mean (</w:t>
      </w:r>
      <m:oMath>
        <m:r>
          <m:t>h</m:t>
        </m:r>
        <m:r>
          <m:rPr>
            <m:sty m:val="p"/>
          </m:rPr>
          <m:t>&lt;</m:t>
        </m:r>
        <m:r>
          <m:t>1</m:t>
        </m:r>
      </m:oMath>
      <w:r>
        <w:rPr>
          <w:color w:val="3A4350"/>
          <w:sz w:val="18"/>
          <w:szCs w:val="18"/>
        </w:rPr>
        <w:t xml:space="preserve"> m) covers 92.7 km², and the supply wells A23 and R16 are at risk without pumping. (b) This version: the Adriatic contact geolocated against the GLOBE shoreline (23 km) and the coastal sector </w:t>
      </w:r>
      <m:oMath>
        <m:r>
          <m:t>y</m:t>
        </m:r>
        <m:r>
          <m:rPr>
            <m:sty m:val="p"/>
          </m:rPr>
          <m:t>≥</m:t>
        </m:r>
        <m:r>
          <m:t>24</m:t>
        </m:r>
      </m:oMath>
      <w:r>
        <w:rPr>
          <w:color w:val="3A4350"/>
          <w:sz w:val="18"/>
          <w:szCs w:val="18"/>
        </w:rPr>
        <w:t xml:space="preserve"> km. The intruded zone shrinks to 10.1 km² along the northern coast. Pumping A1 and P10 enlarges it to 11.6 km² at the prior mean and brings each well to an intrusion probability of ½ (its prior-mean head stays just above 1 m). Two of the three published MAR sites (A18, P21) lie in the southern plain, which has no sea contact.</w:t>
      </w:r>
    </w:p>
    <w:p>
      <w:pPr>
        <w:spacing w:after="120"/>
        <w:jc w:val="both"/>
      </w:pPr>
      <w:r>
        <w:t xml:space="preserve">Without pumping, no inside well is at risk: the lowest prior-mean head of an inside K-well in the sector is 2.56 m (A1), against a threshold of 1.0 m, and the intruded zone lies along the northern coast, where there are no wells. Pumping is therefore part of the problem: it is what puts the well field at risk.</w:t>
      </w:r>
    </w:p>
    <w:p>
      <w:pPr>
        <w:spacing w:after="240"/>
      </w:pPr>
    </w:p>
    <w:p>
      <w:pPr>
        <w:pStyle w:val="Heading1"/>
      </w:pPr>
      <w:r>
        <w:rPr>
          <w:color w:val="1F3864"/>
        </w:rPr>
        <w:t xml:space="preserve">3. The experiment: supply wells, pumping, goals and criteria</w:t>
      </w:r>
    </w:p>
    <w:p>
      <w:pPr>
        <w:spacing w:after="120"/>
        <w:jc w:val="both"/>
      </w:pPr>
      <w:r>
        <w:t xml:space="preserve">The rules below adapt the first version's experiment to the new boundary. They were fixed before any design was compared.</w:t>
      </w:r>
    </w:p>
    <w:p>
      <w:pPr>
        <w:spacing w:after="120"/>
        <w:jc w:val="both"/>
      </w:pPr>
      <w:r>
        <w:rPr>
          <w:b/>
          <w:bCs/>
        </w:rPr>
        <w:t xml:space="preserve">Supply wells.</w:t>
      </w:r>
      <w:r>
        <w:t xml:space="preserve"> The coordinates of the Gorre and Fushë-Kuqe pumping stations are not in the data. The sector is split at section A–A′ (</w:t>
      </w:r>
      <m:oMath>
        <m:r>
          <m:t>y</m:t>
        </m:r>
        <m:r>
          <m:rPr>
            <m:sty m:val="p"/>
          </m:rPr>
          <m:t>=</m:t>
        </m:r>
        <m:r>
          <m:t>36.5</m:t>
        </m:r>
      </m:oMath>
      <w:r>
        <w:t xml:space="preserve"> km), which crosses the Fushë-Kuqe well field. In each half, the supply well is the inside K-well with the lowest prior-mean head, outside the published monitoring design. This gives </w:t>
      </w:r>
      <w:r>
        <w:rPr>
          <w:b/>
          <w:bCs/>
        </w:rPr>
        <w:t xml:space="preserve">A = A1</w:t>
      </w:r>
      <w:r>
        <w:t xml:space="preserve"> at (3.0, 36.5) km and </w:t>
      </w:r>
      <w:r>
        <w:rPr>
          <w:b/>
          <w:bCs/>
        </w:rPr>
        <w:t xml:space="preserve">B = P10</w:t>
      </w:r>
      <w:r>
        <w:t xml:space="preserve"> at (4.0, 35.0) km. The old pair does not fit, because R16 lies in the southern plain, outside the sector.</w:t>
      </w:r>
    </w:p>
    <w:p>
      <w:pPr>
        <w:spacing w:after="120"/>
        <w:jc w:val="both"/>
      </w:pPr>
      <w:r>
        <w:rPr>
          <w:b/>
          <w:bCs/>
        </w:rPr>
        <w:t xml:space="preserve">Pumping.</w:t>
      </w:r>
      <w:r>
        <w:t xml:space="preserve"> The first version chose wells whose prior intrusion probability was closest to ½, so that the risk question was open. Here no well is at risk without pumping, so the pumping takes that role. For fixed </w:t>
      </w:r>
      <m:oMath>
        <m:r>
          <m:t>θ</m:t>
        </m:r>
      </m:oMath>
      <w:r>
        <w:t xml:space="preserve"> the head is linear in the pumping rates:</w:t>
      </w:r>
    </w:p>
    <w:p>
      <w:pPr>
        <w:pStyle w:val="Equation"/>
      </w:pPr>
      <m:oMathPara>
        <m:oMathParaPr>
          <m:jc m:val="center"/>
        </m:oMathParaPr>
        <m:oMath>
          <m:r>
            <m:t>h</m:t>
          </m:r>
          <m:d>
            <m:dPr>
              <m:begChr m:val="("/>
              <m:sepChr m:val=""/>
              <m:endChr m:val=")"/>
              <m:grow/>
            </m:dPr>
            <m:e>
              <m:r>
                <m:t>θ</m:t>
              </m:r>
              <m:r>
                <m:rPr>
                  <m:sty m:val="p"/>
                </m:rPr>
                <m:t>;</m:t>
              </m:r>
              <m:sSub>
                <m:e>
                  <m:r>
                    <m:t>Q</m:t>
                  </m:r>
                </m:e>
                <m:sub>
                  <m:r>
                    <m:t>A</m:t>
                  </m:r>
                </m:sub>
              </m:sSub>
              <m:r>
                <m:rPr>
                  <m:sty m:val="p"/>
                </m:rPr>
                <m:t>,</m:t>
              </m:r>
              <m:sSub>
                <m:e>
                  <m:r>
                    <m:t>Q</m:t>
                  </m:r>
                </m:e>
                <m:sub>
                  <m:r>
                    <m:t>B</m:t>
                  </m:r>
                </m:sub>
              </m:sSub>
            </m:e>
          </m:d>
          <m:r>
            <m:rPr>
              <m:sty m:val="p"/>
            </m:rPr>
            <m:t>=</m:t>
          </m:r>
          <m:r>
            <m:t>h</m:t>
          </m:r>
          <m:d>
            <m:dPr>
              <m:begChr m:val="("/>
              <m:sepChr m:val=""/>
              <m:endChr m:val=")"/>
              <m:grow/>
            </m:dPr>
            <m:e>
              <m:r>
                <m:t>θ</m:t>
              </m:r>
            </m:e>
          </m:d>
          <m:r>
            <m:rPr>
              <m:sty m:val="p"/>
            </m:rPr>
            <m:t>−</m:t>
          </m:r>
          <m:sSub>
            <m:e>
              <m:r>
                <m:t>Q</m:t>
              </m:r>
            </m:e>
            <m:sub>
              <m:r>
                <m:t>A</m:t>
              </m:r>
            </m:sub>
          </m:sSub>
          <m:r>
            <m:t> </m:t>
          </m:r>
          <m:sSub>
            <m:e>
              <m:r>
                <m:t>u</m:t>
              </m:r>
            </m:e>
            <m:sub>
              <m:r>
                <m:t>A</m:t>
              </m:r>
            </m:sub>
          </m:sSub>
          <m:d>
            <m:dPr>
              <m:begChr m:val="("/>
              <m:sepChr m:val=""/>
              <m:endChr m:val=")"/>
              <m:grow/>
            </m:dPr>
            <m:e>
              <m:r>
                <m:t>θ</m:t>
              </m:r>
            </m:e>
          </m:d>
          <m:r>
            <m:rPr>
              <m:sty m:val="p"/>
            </m:rPr>
            <m:t>−</m:t>
          </m:r>
          <m:sSub>
            <m:e>
              <m:r>
                <m:t>Q</m:t>
              </m:r>
            </m:e>
            <m:sub>
              <m:r>
                <m:t>B</m:t>
              </m:r>
            </m:sub>
          </m:sSub>
          <m:r>
            <m:t> </m:t>
          </m:r>
          <m:sSub>
            <m:e>
              <m:r>
                <m:t>u</m:t>
              </m:r>
            </m:e>
            <m:sub>
              <m:r>
                <m:t>B</m:t>
              </m:r>
            </m:sub>
          </m:sSub>
          <m:d>
            <m:dPr>
              <m:begChr m:val="("/>
              <m:sepChr m:val=""/>
              <m:endChr m:val=")"/>
              <m:grow/>
            </m:dPr>
            <m:e>
              <m:r>
                <m:t>θ</m:t>
              </m:r>
            </m:e>
          </m:d>
          <m:r>
            <m:rPr>
              <m:sty m:val="p"/>
            </m:rPr>
            <m:t>,</m:t>
          </m:r>
          <m:r>
            <m:t>  </m:t>
          </m:r>
          <m:sSub>
            <m:e>
              <m:r>
                <m:t>u</m:t>
              </m:r>
            </m:e>
            <m:sub>
              <m:r>
                <m:t>w</m:t>
              </m:r>
            </m:sub>
          </m:sSub>
          <m:r>
            <m:rPr>
              <m:sty m:val="p"/>
            </m:rPr>
            <m:t>=</m:t>
          </m:r>
          <m:sSubSup>
            <m:e>
              <m:r>
                <m:t>A</m:t>
              </m:r>
            </m:e>
            <m:sub>
              <m:r>
                <m:t>θ</m:t>
              </m:r>
            </m:sub>
            <m:sup>
              <m:r>
                <m:rPr>
                  <m:sty m:val="p"/>
                </m:rPr>
                <m:t>−</m:t>
              </m:r>
              <m:r>
                <m:t>1</m:t>
              </m:r>
            </m:sup>
          </m:sSubSup>
          <m:sSub>
            <m:e>
              <m:r>
                <m:t>e</m:t>
              </m:r>
            </m:e>
            <m:sub>
              <m:r>
                <m:t>w</m:t>
              </m:r>
            </m:sub>
          </m:sSub>
        </m:oMath>
      </m:oMathPara>
    </w:p>
    <w:p>
      <w:pPr>
        <w:spacing w:after="120"/>
        <w:jc w:val="both"/>
      </w:pPr>
      <m:oMath>
        <m:sSub>
          <m:e>
            <m:r>
              <m:t>Q</m:t>
            </m:r>
          </m:e>
          <m:sub>
            <m:r>
              <m:t>A</m:t>
            </m:r>
          </m:sub>
        </m:sSub>
      </m:oMath>
      <w:r>
        <w:t xml:space="preserve"> and </w:t>
      </w:r>
      <m:oMath>
        <m:sSub>
          <m:e>
            <m:r>
              <m:t>Q</m:t>
            </m:r>
          </m:e>
          <m:sub>
            <m:r>
              <m:t>B</m:t>
            </m:r>
          </m:sub>
        </m:sSub>
      </m:oMath>
      <w:r>
        <w:t xml:space="preserve"> are set so that </w:t>
      </w:r>
      <m:oMath>
        <m:r>
          <m:t>P</m:t>
        </m:r>
        <m:d>
          <m:dPr>
            <m:begChr m:val="("/>
            <m:sepChr m:val=""/>
            <m:endChr m:val=")"/>
            <m:grow/>
          </m:dPr>
          <m:e>
            <m:sSub>
              <m:e>
                <m:r>
                  <m:t>h</m:t>
                </m:r>
              </m:e>
              <m:sub>
                <m:r>
                  <m:t>A</m:t>
                </m:r>
              </m:sub>
            </m:sSub>
            <m:r>
              <m:rPr>
                <m:sty m:val="p"/>
              </m:rPr>
              <m:t>&lt;</m:t>
            </m:r>
            <m:sSub>
              <m:e>
                <m:r>
                  <m:t>h</m:t>
                </m:r>
              </m:e>
              <m:sub>
                <m:r>
                  <m:t>c</m:t>
                </m:r>
              </m:sub>
            </m:sSub>
          </m:e>
        </m:d>
        <m:r>
          <m:rPr>
            <m:sty m:val="p"/>
          </m:rPr>
          <m:t>=</m:t>
        </m:r>
        <m:r>
          <m:t>P</m:t>
        </m:r>
        <m:d>
          <m:dPr>
            <m:begChr m:val="("/>
            <m:sepChr m:val=""/>
            <m:endChr m:val=")"/>
            <m:grow/>
          </m:dPr>
          <m:e>
            <m:sSub>
              <m:e>
                <m:r>
                  <m:t>h</m:t>
                </m:r>
              </m:e>
              <m:sub>
                <m:r>
                  <m:t>B</m:t>
                </m:r>
              </m:sub>
            </m:sSub>
            <m:r>
              <m:rPr>
                <m:sty m:val="p"/>
              </m:rPr>
              <m:t>&lt;</m:t>
            </m:r>
            <m:sSub>
              <m:e>
                <m:r>
                  <m:t>h</m:t>
                </m:r>
              </m:e>
              <m:sub>
                <m:r>
                  <m:t>c</m:t>
                </m:r>
              </m:sub>
            </m:sSub>
          </m:e>
        </m:d>
        <m:r>
          <m:rPr>
            <m:sty m:val="p"/>
          </m:rPr>
          <m:t>=</m:t>
        </m:r>
        <m:f>
          <m:fPr>
            <m:type m:val="bar"/>
          </m:fPr>
          <m:num>
            <m:r>
              <m:t>1</m:t>
            </m:r>
          </m:num>
          <m:den>
            <m:r>
              <m:t>2</m:t>
            </m:r>
          </m:den>
        </m:f>
      </m:oMath>
      <w:r>
        <w:t xml:space="preserve"> with both wells pumping, on a calibration ensemble of 2 000 draws that is independent of the evaluation ensemble. This gives </w:t>
      </w:r>
      <m:oMath>
        <m:sSub>
          <m:e>
            <m:r>
              <m:t>Q</m:t>
            </m:r>
          </m:e>
          <m:sub>
            <m:r>
              <m:t>A</m:t>
            </m:r>
          </m:sub>
        </m:sSub>
        <m:r>
          <m:rPr>
            <m:sty m:val="p"/>
          </m:rPr>
          <m:t>=</m:t>
        </m:r>
        <m:r>
          <m:t>3</m:t>
        </m:r>
        <m:r>
          <m:t> </m:t>
        </m:r>
        <m:r>
          <m:t>757</m:t>
        </m:r>
      </m:oMath>
      <w:r>
        <w:t xml:space="preserve"> and </w:t>
      </w:r>
      <m:oMath>
        <m:sSub>
          <m:e>
            <m:r>
              <m:t>Q</m:t>
            </m:r>
          </m:e>
          <m:sub>
            <m:r>
              <m:t>B</m:t>
            </m:r>
          </m:sub>
        </m:sSub>
        <m:r>
          <m:rPr>
            <m:sty m:val="p"/>
          </m:rPr>
          <m:t>=</m:t>
        </m:r>
        <m:r>
          <m:t>17</m:t>
        </m:r>
        <m:r>
          <m:t> </m:t>
        </m:r>
        <m:r>
          <m:t>183</m:t>
        </m:r>
      </m:oMath>
      <w:r>
        <w:t xml:space="preserve"> m³/day, with mean drawdowns of 1.56 m and 3.25 m.</w:t>
      </w:r>
    </w:p>
    <w:p>
      <w:pPr>
        <w:spacing w:after="120"/>
        <w:jc w:val="both"/>
      </w:pPr>
      <w:r>
        <w:rPr>
          <w:b/>
          <w:bCs/>
        </w:rPr>
        <w:t xml:space="preserve">Goals.</w:t>
      </w:r>
      <w:r>
        <w:t xml:space="preserve"> The three binary goals of the first version are kept: the risk at A, </w:t>
      </w:r>
      <m:oMath>
        <m:sSub>
          <m:e>
            <m:r>
              <m:t>q</m:t>
            </m:r>
          </m:e>
          <m:sub>
            <m:r>
              <m:t>A</m:t>
            </m:r>
          </m:sub>
        </m:sSub>
        <m:r>
          <m:rPr>
            <m:sty m:val="p"/>
          </m:rPr>
          <m:t>=</m:t>
        </m:r>
        <m:r>
          <m:rPr>
            <m:sty m:val="p"/>
          </m:rPr>
          <m:t>I</m:t>
        </m:r>
        <m:d>
          <m:dPr>
            <m:begChr m:val="("/>
            <m:sepChr m:val=""/>
            <m:endChr m:val=")"/>
            <m:grow/>
          </m:dPr>
          <m:e>
            <m:sSub>
              <m:e>
                <m:r>
                  <m:t>h</m:t>
                </m:r>
              </m:e>
              <m:sub>
                <m:r>
                  <m:t>A</m:t>
                </m:r>
              </m:sub>
            </m:sSub>
            <m:r>
              <m:rPr>
                <m:sty m:val="p"/>
              </m:rPr>
              <m:t>&lt;</m:t>
            </m:r>
            <m:sSub>
              <m:e>
                <m:r>
                  <m:t>h</m:t>
                </m:r>
              </m:e>
              <m:sub>
                <m:r>
                  <m:t>c</m:t>
                </m:r>
              </m:sub>
            </m:sSub>
          </m:e>
        </m:d>
      </m:oMath>
      <w:r>
        <w:t xml:space="preserve">; the risk at A or B, </w:t>
      </w:r>
      <m:oMath>
        <m:sSub>
          <m:e>
            <m:r>
              <m:t>q</m:t>
            </m:r>
          </m:e>
          <m:sub>
            <m:r>
              <m:t>A</m:t>
            </m:r>
            <m:r>
              <m:t>B</m:t>
            </m:r>
          </m:sub>
        </m:sSub>
        <m:r>
          <m:rPr>
            <m:sty m:val="p"/>
          </m:rPr>
          <m:t>=</m:t>
        </m:r>
        <m:r>
          <m:rPr>
            <m:sty m:val="p"/>
          </m:rPr>
          <m:t>I</m:t>
        </m:r>
        <m:d>
          <m:dPr>
            <m:begChr m:val="("/>
            <m:sepChr m:val=""/>
            <m:endChr m:val=")"/>
            <m:grow/>
          </m:dPr>
          <m:e>
            <m:r>
              <m:rPr>
                <m:sty m:val="p"/>
              </m:rPr>
              <m:t>min</m:t>
            </m:r>
            <m:d>
              <m:dPr>
                <m:begChr m:val="("/>
                <m:sepChr m:val=""/>
                <m:endChr m:val=")"/>
                <m:grow/>
              </m:dPr>
              <m:e>
                <m:sSub>
                  <m:e>
                    <m:r>
                      <m:t>h</m:t>
                    </m:r>
                  </m:e>
                  <m:sub>
                    <m:r>
                      <m:t>A</m:t>
                    </m:r>
                  </m:sub>
                </m:sSub>
                <m:r>
                  <m:rPr>
                    <m:sty m:val="p"/>
                  </m:rPr>
                  <m:t>,</m:t>
                </m:r>
                <m:sSub>
                  <m:e>
                    <m:r>
                      <m:t>h</m:t>
                    </m:r>
                  </m:e>
                  <m:sub>
                    <m:r>
                      <m:t>B</m:t>
                    </m:r>
                  </m:sub>
                </m:sSub>
              </m:e>
            </m:d>
            <m:r>
              <m:rPr>
                <m:sty m:val="p"/>
              </m:rPr>
              <m:t>&lt;</m:t>
            </m:r>
            <m:sSub>
              <m:e>
                <m:r>
                  <m:t>h</m:t>
                </m:r>
              </m:e>
              <m:sub>
                <m:r>
                  <m:t>c</m:t>
                </m:r>
              </m:sub>
            </m:sSub>
          </m:e>
        </m:d>
      </m:oMath>
      <w:r>
        <w:t xml:space="preserve">; and the intruded area of the sector above a threshold, </w:t>
      </w:r>
      <m:oMath>
        <m:sSub>
          <m:e>
            <m:r>
              <m:t>q</m:t>
            </m:r>
          </m:e>
          <m:sub>
            <m:r>
              <m:t>S</m:t>
            </m:r>
          </m:sub>
        </m:sSub>
        <m:r>
          <m:rPr>
            <m:sty m:val="p"/>
          </m:rPr>
          <m:t>=</m:t>
        </m:r>
        <m:r>
          <m:rPr>
            <m:sty m:val="p"/>
          </m:rPr>
          <m:t>I</m:t>
        </m:r>
        <m:d>
          <m:dPr>
            <m:begChr m:val="("/>
            <m:sepChr m:val=""/>
            <m:endChr m:val=")"/>
            <m:grow/>
          </m:dPr>
          <m:e>
            <m:r>
              <m:t>S</m:t>
            </m:r>
            <m:r>
              <m:rPr>
                <m:sty m:val="p"/>
              </m:rPr>
              <m:t>&gt;</m:t>
            </m:r>
            <m:r>
              <m:t>12</m:t>
            </m:r>
          </m:e>
        </m:d>
      </m:oMath>
      <w:r>
        <w:t xml:space="preserve"> with </w:t>
      </w:r>
      <m:oMath>
        <m:r>
          <m:t>S</m:t>
        </m:r>
      </m:oMath>
      <w:r>
        <w:t xml:space="preserve"> in km². The threshold is now the prior median of </w:t>
      </w:r>
      <m:oMath>
        <m:r>
          <m:t>S</m:t>
        </m:r>
      </m:oMath>
      <w:r>
        <w:t xml:space="preserve">, rounded to 1 km² (the first version used 100 km², near its baseline of 92.7 km²). The prior probabilities are 0.49, 0.57 and 0.50.</w:t>
      </w:r>
    </w:p>
    <w:p>
      <w:pPr>
        <w:spacing w:after="120"/>
        <w:jc w:val="both"/>
      </w:pPr>
      <w:r>
        <w:rPr>
          <w:b/>
          <w:bCs/>
        </w:rPr>
        <w:t xml:space="preserve">Candidates.</w:t>
      </w:r>
      <w:r>
        <w:t xml:space="preserve"> The 16 other inside K-wells of the sector (P3, P4, P12, P13, P17, A3, A4, A9, A10, A11, A13, A23, A24, A25, A28, A30) measure head with noise </w:t>
      </w:r>
      <m:oMath>
        <m:sSub>
          <m:e>
            <m:r>
              <m:t>σ</m:t>
            </m:r>
          </m:e>
          <m:sub>
            <m:r>
              <m:t>ε</m:t>
            </m:r>
          </m:sub>
        </m:sSub>
        <m:r>
          <m:rPr>
            <m:sty m:val="p"/>
          </m:rPr>
          <m:t>=</m:t>
        </m:r>
        <m:r>
          <m:t>0.2</m:t>
        </m:r>
      </m:oMath>
      <w:r>
        <w:t xml:space="preserve"> m. With 16 candidates every design can be scored exactly: all 120 two-well, 560 three-well and 4 368 five-well designs.</w:t>
      </w:r>
    </w:p>
    <w:p>
      <w:pPr>
        <w:spacing w:after="120"/>
        <w:jc w:val="both"/>
      </w:pPr>
      <w:r>
        <w:rPr>
          <w:b/>
          <w:bCs/>
        </w:rPr>
        <w:t xml:space="preserve">Exact EIG.</w:t>
      </w:r>
      <w:r>
        <w:t xml:space="preserve"> For a binary goal, </w:t>
      </w:r>
      <m:oMath>
        <m:r>
          <m:rPr>
            <m:sty m:val="p"/>
          </m:rPr>
          <m:t>E</m:t>
        </m:r>
        <m:r>
          <m:rPr>
            <m:sty m:val="p"/>
          </m:rPr>
          <m:t>I</m:t>
        </m:r>
        <m:r>
          <m:rPr>
            <m:sty m:val="p"/>
          </m:rPr>
          <m:t>G</m:t>
        </m:r>
        <m:r>
          <m:rPr>
            <m:sty m:val="p"/>
          </m:rPr>
          <m:t>=</m:t>
        </m:r>
        <m:r>
          <m:t>h</m:t>
        </m:r>
        <m:d>
          <m:dPr>
            <m:begChr m:val="("/>
            <m:sepChr m:val=""/>
            <m:endChr m:val=")"/>
            <m:grow/>
          </m:dPr>
          <m:e>
            <m:sSub>
              <m:e>
                <m:r>
                  <m:t>p</m:t>
                </m:r>
              </m:e>
              <m:sub>
                <m:r>
                  <m:t>0</m:t>
                </m:r>
              </m:sub>
            </m:sSub>
          </m:e>
        </m:d>
        <m:r>
          <m:rPr>
            <m:sty m:val="p"/>
          </m:rPr>
          <m:t>−</m:t>
        </m:r>
        <m:sSub>
          <m:e>
            <m:r>
              <m:rPr>
                <m:scr m:val="double-struck"/>
                <m:sty m:val="p"/>
              </m:rPr>
              <m:t>E</m:t>
            </m:r>
          </m:e>
          <m:sub>
            <m:r>
              <m:t>y</m:t>
            </m:r>
          </m:sub>
        </m:sSub>
        <m:d>
          <m:dPr>
            <m:begChr m:val="["/>
            <m:sepChr m:val=""/>
            <m:endChr m:val="]"/>
            <m:grow/>
          </m:dPr>
          <m:e>
            <m:r>
              <m:t>h</m:t>
            </m:r>
            <m:d>
              <m:dPr>
                <m:begChr m:val="("/>
                <m:sepChr m:val=""/>
                <m:endChr m:val=")"/>
                <m:grow/>
              </m:dPr>
              <m:e>
                <m:r>
                  <m:t>P</m:t>
                </m:r>
                <m:d>
                  <m:dPr>
                    <m:begChr m:val="("/>
                    <m:sepChr m:val=""/>
                    <m:endChr m:val=")"/>
                    <m:grow/>
                  </m:dPr>
                  <m:e>
                    <m:r>
                      <m:t>q</m:t>
                    </m:r>
                    <m:r>
                      <m:rPr>
                        <m:sty m:val="p"/>
                      </m:rPr>
                      <m:t>=</m:t>
                    </m:r>
                    <m:r>
                      <m:t>1</m:t>
                    </m:r>
                    <m:r>
                      <m:rPr>
                        <m:sty m:val="p"/>
                      </m:rPr>
                      <m:t>∣</m:t>
                    </m:r>
                    <m:r>
                      <m:t>y</m:t>
                    </m:r>
                  </m:e>
                </m:d>
              </m:e>
            </m:d>
          </m:e>
        </m:d>
      </m:oMath>
      <w:r>
        <w:t xml:space="preserve">, where </w:t>
      </w:r>
      <m:oMath>
        <m:r>
          <m:t>h</m:t>
        </m:r>
      </m:oMath>
      <w:r>
        <w:t xml:space="preserve"> is the binary entropy. It is estimated without linearization by reweighting 12 000 inner prior solutions with 2 000 outer synthetic data sets, the same for all designs:</w:t>
      </w:r>
    </w:p>
    <w:p>
      <w:pPr>
        <w:pStyle w:val="Equation"/>
      </w:pPr>
      <m:oMathPara>
        <m:oMathParaPr>
          <m:jc m:val="center"/>
        </m:oMathParaPr>
        <m:oMath>
          <m:acc>
            <m:accPr>
              <m:chr m:val="̂"/>
            </m:accPr>
            <m:e>
              <m:r>
                <m:rPr>
                  <m:sty m:val="p"/>
                </m:rPr>
                <m:t>E</m:t>
              </m:r>
              <m:r>
                <m:rPr>
                  <m:sty m:val="p"/>
                </m:rPr>
                <m:t>I</m:t>
              </m:r>
              <m:r>
                <m:rPr>
                  <m:sty m:val="p"/>
                </m:rPr>
                <m:t>G</m:t>
              </m:r>
            </m:e>
          </m:acc>
          <m:d>
            <m:dPr>
              <m:begChr m:val="("/>
              <m:sepChr m:val=""/>
              <m:endChr m:val=")"/>
              <m:grow/>
            </m:dPr>
            <m:e>
              <m:r>
                <m:t>d</m:t>
              </m:r>
            </m:e>
          </m:d>
          <m:r>
            <m:rPr>
              <m:sty m:val="p"/>
            </m:rPr>
            <m:t>=</m:t>
          </m:r>
          <m:r>
            <m:t>h</m:t>
          </m:r>
          <m:d>
            <m:dPr>
              <m:begChr m:val="("/>
              <m:sepChr m:val=""/>
              <m:endChr m:val=")"/>
              <m:grow/>
            </m:dPr>
            <m:e>
              <m:bar>
                <m:barPr>
                  <m:pos m:val="top"/>
                </m:barPr>
                <m:e>
                  <m:r>
                    <m:t>q</m:t>
                  </m:r>
                </m:e>
              </m:bar>
            </m:e>
          </m:d>
          <m:r>
            <m:rPr>
              <m:sty m:val="p"/>
            </m:rPr>
            <m:t>−</m:t>
          </m:r>
          <m:f>
            <m:fPr>
              <m:type m:val="bar"/>
            </m:fPr>
            <m:num>
              <m:r>
                <m:t>1</m:t>
              </m:r>
            </m:num>
            <m:den>
              <m:sSub>
                <m:e>
                  <m:r>
                    <m:t>N</m:t>
                  </m:r>
                </m:e>
                <m:sub>
                  <m:r>
                    <m:t>y</m:t>
                  </m:r>
                </m:sub>
              </m:sSub>
            </m:den>
          </m:f>
          <m:nary>
            <m:naryPr>
              <m:chr m:val="∑"/>
              <m:limLoc m:val="undOvr"/>
              <m:subHide m:val="off"/>
              <m:supHide m:val="off"/>
            </m:naryPr>
            <m:sub>
              <m:r>
                <m:t>j</m:t>
              </m:r>
              <m:r>
                <m:rPr>
                  <m:sty m:val="p"/>
                </m:rPr>
                <m:t>=</m:t>
              </m:r>
              <m:r>
                <m:t>1</m:t>
              </m:r>
            </m:sub>
            <m:sup>
              <m:sSub>
                <m:e>
                  <m:r>
                    <m:t>N</m:t>
                  </m:r>
                </m:e>
                <m:sub>
                  <m:r>
                    <m:t>y</m:t>
                  </m:r>
                </m:sub>
              </m:sSub>
            </m:sup>
            <m:e>
              <m:r>
                <m:t>h</m:t>
              </m:r>
            </m:e>
          </m:nary>
          <m:d>
            <m:dPr>
              <m:begChr m:val="("/>
              <m:sepChr m:val=""/>
              <m:endChr m:val=")"/>
              <m:grow/>
            </m:dPr>
            <m:e>
              <m:sSub>
                <m:e>
                  <m:acc>
                    <m:accPr>
                      <m:chr m:val="̂"/>
                    </m:accPr>
                    <m:e>
                      <m:r>
                        <m:t>p</m:t>
                      </m:r>
                    </m:e>
                  </m:acc>
                </m:e>
                <m:sub>
                  <m:r>
                    <m:t>j</m:t>
                  </m:r>
                </m:sub>
              </m:sSub>
            </m:e>
          </m:d>
          <m:r>
            <m:rPr>
              <m:sty m:val="p"/>
            </m:rPr>
            <m:t>,</m:t>
          </m:r>
          <m:r>
            <m:t>  </m:t>
          </m:r>
          <m:sSub>
            <m:e>
              <m:acc>
                <m:accPr>
                  <m:chr m:val="̂"/>
                </m:accPr>
                <m:e>
                  <m:r>
                    <m:t>p</m:t>
                  </m:r>
                </m:e>
              </m:acc>
            </m:e>
            <m:sub>
              <m:r>
                <m:t>j</m:t>
              </m:r>
            </m:sub>
          </m:sSub>
          <m:r>
            <m:rPr>
              <m:sty m:val="p"/>
            </m:rPr>
            <m:t>=</m:t>
          </m:r>
          <m:f>
            <m:fPr>
              <m:type m:val="bar"/>
            </m:fPr>
            <m:num>
              <m:nary>
                <m:naryPr>
                  <m:chr m:val="∑"/>
                  <m:limLoc m:val="undOvr"/>
                  <m:subHide m:val="off"/>
                  <m:supHide m:val="on"/>
                </m:naryPr>
                <m:sub>
                  <m:r>
                    <m:t>i</m:t>
                  </m:r>
                </m:sub>
                <m:sup>
                  <m:r>
                    <m:t>​</m:t>
                  </m:r>
                </m:sup>
                <m:e>
                  <m:sSub>
                    <m:e>
                      <m:r>
                        <m:t>w</m:t>
                      </m:r>
                    </m:e>
                    <m:sub>
                      <m:r>
                        <m:t>i</m:t>
                      </m:r>
                      <m:r>
                        <m:t>j</m:t>
                      </m:r>
                    </m:sub>
                  </m:sSub>
                </m:e>
              </m:nary>
              <m:sSub>
                <m:e>
                  <m:r>
                    <m:t>q</m:t>
                  </m:r>
                </m:e>
                <m:sub>
                  <m:r>
                    <m:t>i</m:t>
                  </m:r>
                </m:sub>
              </m:sSub>
            </m:num>
            <m:den>
              <m:nary>
                <m:naryPr>
                  <m:chr m:val="∑"/>
                  <m:limLoc m:val="undOvr"/>
                  <m:subHide m:val="off"/>
                  <m:supHide m:val="on"/>
                </m:naryPr>
                <m:sub>
                  <m:r>
                    <m:t>i</m:t>
                  </m:r>
                </m:sub>
                <m:sup>
                  <m:r>
                    <m:t>​</m:t>
                  </m:r>
                </m:sup>
                <m:e>
                  <m:sSub>
                    <m:e>
                      <m:r>
                        <m:t>w</m:t>
                      </m:r>
                    </m:e>
                    <m:sub>
                      <m:r>
                        <m:t>i</m:t>
                      </m:r>
                      <m:r>
                        <m:t>j</m:t>
                      </m:r>
                    </m:sub>
                  </m:sSub>
                </m:e>
              </m:nary>
            </m:den>
          </m:f>
          <m:r>
            <m:rPr>
              <m:sty m:val="p"/>
            </m:rPr>
            <m:t>,</m:t>
          </m:r>
          <m:r>
            <m:t>  </m:t>
          </m:r>
          <m:sSub>
            <m:e>
              <m:r>
                <m:t>w</m:t>
              </m:r>
            </m:e>
            <m:sub>
              <m:r>
                <m:t>i</m:t>
              </m:r>
              <m:r>
                <m:t>j</m:t>
              </m:r>
            </m:sub>
          </m:sSub>
          <m:r>
            <m:rPr>
              <m:sty m:val="p"/>
            </m:rPr>
            <m:t>=</m:t>
          </m:r>
          <m:r>
            <m:rPr>
              <m:sty m:val="p"/>
            </m:rPr>
            <m:t>exp</m:t>
          </m:r>
          <m:d>
            <m:dPr>
              <m:begChr m:val="("/>
              <m:sepChr m:val=""/>
              <m:endChr m:val=")"/>
              <m:grow/>
            </m:dPr>
            <m:e>
              <m:r>
                <m:rPr>
                  <m:sty m:val="p"/>
                </m:rPr>
                <m:t>−</m:t>
              </m:r>
              <m:f>
                <m:fPr>
                  <m:type m:val="bar"/>
                </m:fPr>
                <m:num>
                  <m:sSup>
                    <m:e>
                      <m:d>
                        <m:dPr>
                          <m:begChr m:val="∥"/>
                          <m:sepChr m:val=""/>
                          <m:endChr m:val="∥"/>
                          <m:grow/>
                        </m:dPr>
                        <m:e>
                          <m:sSub>
                            <m:e>
                              <m:r>
                                <m:t>y</m:t>
                              </m:r>
                            </m:e>
                            <m:sub>
                              <m:r>
                                <m:t>j</m:t>
                              </m:r>
                            </m:sub>
                          </m:sSub>
                          <m:r>
                            <m:rPr>
                              <m:sty m:val="p"/>
                            </m:rPr>
                            <m:t>−</m:t>
                          </m:r>
                          <m:sSub>
                            <m:e>
                              <m:r>
                                <m:t>g</m:t>
                              </m:r>
                            </m:e>
                            <m:sub>
                              <m:r>
                                <m:t>d</m:t>
                              </m:r>
                            </m:sub>
                          </m:sSub>
                          <m:d>
                            <m:dPr>
                              <m:begChr m:val="("/>
                              <m:sepChr m:val=""/>
                              <m:endChr m:val=")"/>
                              <m:grow/>
                            </m:dPr>
                            <m:e>
                              <m:sSub>
                                <m:e>
                                  <m:r>
                                    <m:t>θ</m:t>
                                  </m:r>
                                </m:e>
                                <m:sub>
                                  <m:r>
                                    <m:t>i</m:t>
                                  </m:r>
                                </m:sub>
                              </m:sSub>
                            </m:e>
                          </m:d>
                        </m:e>
                      </m:d>
                    </m:e>
                    <m:sup>
                      <m:r>
                        <m:t>2</m:t>
                      </m:r>
                    </m:sup>
                  </m:sSup>
                </m:num>
                <m:den>
                  <m:r>
                    <m:t>2</m:t>
                  </m:r>
                  <m:sSubSup>
                    <m:e>
                      <m:r>
                        <m:t>σ</m:t>
                      </m:r>
                    </m:e>
                    <m:sub>
                      <m:r>
                        <m:t>ε</m:t>
                      </m:r>
                    </m:sub>
                    <m:sup>
                      <m:r>
                        <m:t>2</m:t>
                      </m:r>
                    </m:sup>
                  </m:sSubSup>
                </m:den>
              </m:f>
            </m:e>
          </m:d>
        </m:oMath>
      </m:oMathPara>
    </w:p>
    <w:p>
      <w:pPr>
        <w:spacing w:after="120"/>
        <w:jc w:val="both"/>
      </w:pPr>
      <w:r>
        <w:rPr>
          <w:b/>
          <w:bCs/>
        </w:rPr>
        <w:t xml:space="preserve">Criteria.</w:t>
      </w:r>
      <w:r>
        <w:t xml:space="preserve"> Eight criteria rank the designs: the linear EIG of the area with the project's linear moments (the published pipeline with Lemma 1) and with ensemble moments; the linear EIG of the head at A, which by Theorem 1 (for a scalar Gaussian goal, the threshold risk and the mean have the same optimal design) gives the design for the risk at A; the linear EIG of the mean head at A and B; and the closed-form PRAG-GO formula with linear moments, ensemble moments and after the normal-score transform, for A alone and for A or B. For the event "A or B intruded" the formula is</w:t>
      </w:r>
    </w:p>
    <w:p>
      <w:pPr>
        <w:pStyle w:val="Equation"/>
      </w:pPr>
      <m:oMathPara>
        <m:oMathParaPr>
          <m:jc m:val="center"/>
        </m:oMathParaPr>
        <m:oMath>
          <m:sSub>
            <m:e>
              <m:r>
                <m:rPr>
                  <m:sty m:val="p"/>
                </m:rPr>
                <m:t>E</m:t>
              </m:r>
              <m:r>
                <m:rPr>
                  <m:sty m:val="p"/>
                </m:rPr>
                <m:t>I</m:t>
              </m:r>
              <m:r>
                <m:rPr>
                  <m:sty m:val="p"/>
                </m:rPr>
                <m:t>G</m:t>
              </m:r>
            </m:e>
            <m:sub>
              <m:r>
                <m:t>A</m:t>
              </m:r>
              <m:r>
                <m:t>B</m:t>
              </m:r>
            </m:sub>
          </m:sSub>
          <m:d>
            <m:dPr>
              <m:begChr m:val="("/>
              <m:sepChr m:val=""/>
              <m:endChr m:val=")"/>
              <m:grow/>
            </m:dPr>
            <m:e>
              <m:r>
                <m:t>d</m:t>
              </m:r>
            </m:e>
          </m:d>
          <m:r>
            <m:rPr>
              <m:sty m:val="p"/>
            </m:rPr>
            <m:t>=</m:t>
          </m:r>
          <m:r>
            <m:t>h</m:t>
          </m:r>
          <m:d>
            <m:dPr>
              <m:begChr m:val="("/>
              <m:sepChr m:val=""/>
              <m:endChr m:val=")"/>
              <m:grow/>
            </m:dPr>
            <m:e>
              <m:sSub>
                <m:e>
                  <m:r>
                    <m:t>p</m:t>
                  </m:r>
                </m:e>
                <m:sub>
                  <m:r>
                    <m:t>0</m:t>
                  </m:r>
                </m:sub>
              </m:sSub>
            </m:e>
          </m:d>
          <m:r>
            <m:rPr>
              <m:sty m:val="p"/>
            </m:rPr>
            <m:t>−</m:t>
          </m:r>
          <m:sSub>
            <m:e>
              <m:r>
                <m:rPr>
                  <m:scr m:val="double-struck"/>
                  <m:sty m:val="p"/>
                </m:rPr>
                <m:t>E</m:t>
              </m:r>
            </m:e>
            <m:sub>
              <m:acc>
                <m:accPr>
                  <m:chr m:val="̂"/>
                </m:accPr>
                <m:e>
                  <m:r>
                    <m:t>z</m:t>
                  </m:r>
                </m:e>
              </m:acc>
              <m:r>
                <m:rPr>
                  <m:sty m:val="p"/>
                </m:rPr>
                <m:t>∼</m:t>
              </m:r>
              <m:r>
                <m:rPr>
                  <m:scr m:val="script"/>
                  <m:sty m:val="p"/>
                </m:rPr>
                <m:t>N</m:t>
              </m:r>
              <m:d>
                <m:dPr>
                  <m:begChr m:val="("/>
                  <m:sepChr m:val=""/>
                  <m:endChr m:val=")"/>
                  <m:grow/>
                </m:dPr>
                <m:e>
                  <m:r>
                    <m:t>0</m:t>
                  </m:r>
                  <m:r>
                    <m:rPr>
                      <m:sty m:val="p"/>
                    </m:rPr>
                    <m:t>,</m:t>
                  </m:r>
                  <m:sSub>
                    <m:e>
                      <m:r>
                        <m:t>K</m:t>
                      </m:r>
                    </m:e>
                    <m:sub>
                      <m:r>
                        <m:t>d</m:t>
                      </m:r>
                    </m:sub>
                  </m:sSub>
                </m:e>
              </m:d>
            </m:sub>
          </m:sSub>
          <m:d>
            <m:dPr>
              <m:begChr m:val="["/>
              <m:sepChr m:val=""/>
              <m:endChr m:val="]"/>
              <m:grow/>
            </m:dPr>
            <m:e>
              <m:r>
                <m:t>h</m:t>
              </m:r>
              <m:d>
                <m:dPr>
                  <m:begChr m:val="("/>
                  <m:sepChr m:val=""/>
                  <m:endChr m:val=")"/>
                  <m:grow/>
                </m:dPr>
                <m:e>
                  <m:r>
                    <m:t>1</m:t>
                  </m:r>
                  <m:r>
                    <m:rPr>
                      <m:sty m:val="p"/>
                    </m:rPr>
                    <m:t>−</m:t>
                  </m:r>
                  <m:sSub>
                    <m:e>
                      <m:r>
                        <m:t>Φ</m:t>
                      </m:r>
                    </m:e>
                    <m:sub>
                      <m:r>
                        <m:t>2</m:t>
                      </m:r>
                    </m:sub>
                  </m:sSub>
                  <m:d>
                    <m:dPr>
                      <m:begChr m:val="("/>
                      <m:sepChr m:val=""/>
                      <m:endChr m:val=")"/>
                      <m:grow/>
                    </m:dPr>
                    <m:e>
                      <m:f>
                        <m:fPr>
                          <m:type m:val="bar"/>
                        </m:fPr>
                        <m:num>
                          <m:sSub>
                            <m:e>
                              <m:r>
                                <m:t>μ</m:t>
                              </m:r>
                            </m:e>
                            <m:sub>
                              <m:r>
                                <m:t>A</m:t>
                              </m:r>
                            </m:sub>
                          </m:sSub>
                          <m:r>
                            <m:rPr>
                              <m:sty m:val="p"/>
                            </m:rPr>
                            <m:t>+</m:t>
                          </m:r>
                          <m:sSub>
                            <m:e>
                              <m:acc>
                                <m:accPr>
                                  <m:chr m:val="̂"/>
                                </m:accPr>
                                <m:e>
                                  <m:r>
                                    <m:t>z</m:t>
                                  </m:r>
                                </m:e>
                              </m:acc>
                            </m:e>
                            <m:sub>
                              <m:r>
                                <m:t>1</m:t>
                              </m:r>
                            </m:sub>
                          </m:sSub>
                          <m:r>
                            <m:rPr>
                              <m:sty m:val="p"/>
                            </m:rPr>
                            <m:t>−</m:t>
                          </m:r>
                          <m:sSub>
                            <m:e>
                              <m:r>
                                <m:t>h</m:t>
                              </m:r>
                            </m:e>
                            <m:sub>
                              <m:r>
                                <m:t>c</m:t>
                              </m:r>
                            </m:sub>
                          </m:sSub>
                        </m:num>
                        <m:den>
                          <m:sSub>
                            <m:e>
                              <m:r>
                                <m:t>s</m:t>
                              </m:r>
                            </m:e>
                            <m:sub>
                              <m:r>
                                <m:t>A</m:t>
                              </m:r>
                            </m:sub>
                          </m:sSub>
                        </m:den>
                      </m:f>
                      <m:r>
                        <m:rPr>
                          <m:sty m:val="p"/>
                        </m:rPr>
                        <m:t>,</m:t>
                      </m:r>
                      <m:f>
                        <m:fPr>
                          <m:type m:val="bar"/>
                        </m:fPr>
                        <m:num>
                          <m:sSub>
                            <m:e>
                              <m:r>
                                <m:t>μ</m:t>
                              </m:r>
                            </m:e>
                            <m:sub>
                              <m:r>
                                <m:t>B</m:t>
                              </m:r>
                            </m:sub>
                          </m:sSub>
                          <m:r>
                            <m:rPr>
                              <m:sty m:val="p"/>
                            </m:rPr>
                            <m:t>+</m:t>
                          </m:r>
                          <m:sSub>
                            <m:e>
                              <m:acc>
                                <m:accPr>
                                  <m:chr m:val="̂"/>
                                </m:accPr>
                                <m:e>
                                  <m:r>
                                    <m:t>z</m:t>
                                  </m:r>
                                </m:e>
                              </m:acc>
                            </m:e>
                            <m:sub>
                              <m:r>
                                <m:t>2</m:t>
                              </m:r>
                            </m:sub>
                          </m:sSub>
                          <m:r>
                            <m:rPr>
                              <m:sty m:val="p"/>
                            </m:rPr>
                            <m:t>−</m:t>
                          </m:r>
                          <m:sSub>
                            <m:e>
                              <m:r>
                                <m:t>h</m:t>
                              </m:r>
                            </m:e>
                            <m:sub>
                              <m:r>
                                <m:t>c</m:t>
                              </m:r>
                            </m:sub>
                          </m:sSub>
                        </m:num>
                        <m:den>
                          <m:sSub>
                            <m:e>
                              <m:r>
                                <m:t>s</m:t>
                              </m:r>
                            </m:e>
                            <m:sub>
                              <m:r>
                                <m:t>B</m:t>
                              </m:r>
                            </m:sub>
                          </m:sSub>
                        </m:den>
                      </m:f>
                      <m:r>
                        <m:rPr>
                          <m:sty m:val="p"/>
                        </m:rPr>
                        <m:t>;</m:t>
                      </m:r>
                      <m:r>
                        <m:t>r</m:t>
                      </m:r>
                    </m:e>
                  </m:d>
                </m:e>
              </m:d>
            </m:e>
          </m:d>
        </m:oMath>
      </m:oMathPara>
    </w:p>
    <w:p>
      <w:pPr>
        <w:spacing w:after="120"/>
        <w:jc w:val="both"/>
      </w:pPr>
      <w:r>
        <w:t xml:space="preserve">Here </w:t>
      </w:r>
      <m:oMath>
        <m:sSub>
          <m:e>
            <m:r>
              <m:t>K</m:t>
            </m:r>
          </m:e>
          <m:sub>
            <m:r>
              <m:t>d</m:t>
            </m:r>
          </m:sub>
        </m:sSub>
      </m:oMath>
      <w:r>
        <w:t xml:space="preserve"> is the information operator of the two heads, </w:t>
      </w:r>
      <m:oMath>
        <m:sSub>
          <m:e>
            <m:r>
              <m:t>s</m:t>
            </m:r>
          </m:e>
          <m:sub>
            <m:r>
              <m:t>A</m:t>
            </m:r>
          </m:sub>
        </m:sSub>
      </m:oMath>
      <w:r>
        <w:t xml:space="preserve">, </w:t>
      </w:r>
      <m:oMath>
        <m:sSub>
          <m:e>
            <m:r>
              <m:t>s</m:t>
            </m:r>
          </m:e>
          <m:sub>
            <m:r>
              <m:t>B</m:t>
            </m:r>
          </m:sub>
        </m:sSub>
      </m:oMath>
      <w:r>
        <w:t xml:space="preserve"> and </w:t>
      </w:r>
      <m:oMath>
        <m:r>
          <m:t>r</m:t>
        </m:r>
      </m:oMath>
      <w:r>
        <w:t xml:space="preserve"> are the posterior standard deviations and correlation, and the expectation is computed with 24 × 24 Gauss–Hermite quadrature. Each criterion's best design is scored by its exact EIG, as a percentage of the exact optimum over all designs.</w:t>
      </w:r>
    </w:p>
    <w:p>
      <w:pPr>
        <w:spacing w:after="240"/>
      </w:pPr>
    </w:p>
    <w:p>
      <w:pPr>
        <w:pStyle w:val="Heading1"/>
      </w:pPr>
      <w:r>
        <w:rPr>
          <w:color w:val="1F3864"/>
        </w:rPr>
        <w:t xml:space="preserve">4. Results: monitoring design (PRAG-GO)</w:t>
      </w:r>
    </w:p>
    <w:p>
      <w:pPr>
        <w:spacing w:after="120"/>
        <w:jc w:val="both"/>
      </w:pPr>
      <w:r>
        <w:rPr>
          <w:b/>
          <w:bCs/>
        </w:rPr>
        <w:t xml:space="preserve">Three wells, all 560 designs.</w:t>
      </w:r>
      <w:r>
        <w:t xml:space="preserve"> The exact optima are A3, A10, A23 for both supply-well goals (0.428 and 0.402 nats) and A3, A10, A13 for the area (0.388 nats). The table gives the exact EIG of each criterion's design as a percentage of the optimum, and the Spearman rank correlation </w:t>
      </w:r>
      <m:oMath>
        <m:sSub>
          <m:e>
            <m:r>
              <m:t>ρ</m:t>
            </m:r>
          </m:e>
          <m:sub>
            <m:r>
              <m:t>s</m:t>
            </m:r>
          </m:sub>
        </m:sSub>
      </m:oMath>
      <w:r>
        <w:t xml:space="preserve"> of the criterion with the exact EIG over all designs.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700"/>
        <w:gridCol w:w="1500"/>
        <w:gridCol w:w="1050"/>
        <w:gridCol w:w="1050"/>
        <w:gridCol w:w="1238"/>
        <w:gridCol w:w="1050"/>
        <w:gridCol w:w="1050"/>
      </w:tblGrid>
      <w:tr>
        <w:trPr>
          <w:cantSplit/>
          <w:tblHeader/>
        </w:trPr>
        <w:tc>
          <w:tcPr>
            <w:tcW w:type="dxa" w:w="2700"/>
            <w:shd w:fill="D97706" w:color="auto" w:val="clear"/>
            <w:tcMar>
              <w:top w:type="dxa" w:w="60"/>
              <w:left w:type="dxa" w:w="100"/>
              <w:bottom w:type="dxa" w:w="60"/>
              <w:right w:type="dxa" w:w="100"/>
            </w:tcMar>
            <w:vAlign w:val="top"/>
          </w:tcPr>
          <w:p>
            <w:r>
              <w:rPr>
                <w:b/>
                <w:bCs/>
                <w:color w:val="FFFFFF"/>
                <w:sz w:val="16"/>
                <w:szCs w:val="16"/>
              </w:rPr>
              <w:t xml:space="preserve">Criterion</w:t>
            </w:r>
          </w:p>
        </w:tc>
        <w:tc>
          <w:tcPr>
            <w:tcW w:type="dxa" w:w="1500"/>
            <w:shd w:fill="D97706" w:color="auto" w:val="clear"/>
            <w:tcMar>
              <w:top w:type="dxa" w:w="60"/>
              <w:left w:type="dxa" w:w="100"/>
              <w:bottom w:type="dxa" w:w="60"/>
              <w:right w:type="dxa" w:w="100"/>
            </w:tcMar>
            <w:vAlign w:val="top"/>
          </w:tcPr>
          <w:p>
            <w:r>
              <w:rPr>
                <w:b/>
                <w:bCs/>
                <w:color w:val="FFFFFF"/>
                <w:sz w:val="16"/>
                <w:szCs w:val="16"/>
              </w:rPr>
              <w:t xml:space="preserve">Wells chosen</w:t>
            </w:r>
          </w:p>
        </w:tc>
        <w:tc>
          <w:tcPr>
            <w:tcW w:type="dxa" w:w="1050"/>
            <w:shd w:fill="D97706" w:color="auto" w:val="clear"/>
            <w:tcMar>
              <w:top w:type="dxa" w:w="60"/>
              <w:left w:type="dxa" w:w="100"/>
              <w:bottom w:type="dxa" w:w="60"/>
              <w:right w:type="dxa" w:w="100"/>
            </w:tcMar>
            <w:vAlign w:val="top"/>
          </w:tcPr>
          <w:p>
            <w:r>
              <w:rPr>
                <w:b/>
                <w:bCs/>
                <w:color w:val="FFFFFF"/>
                <w:sz w:val="16"/>
                <w:szCs w:val="16"/>
              </w:rPr>
              <w:t xml:space="preserve">A intruded</w:t>
            </w:r>
          </w:p>
        </w:tc>
        <w:tc>
          <w:tcPr>
            <w:tcW w:type="dxa" w:w="1050"/>
            <w:shd w:fill="D97706" w:color="auto" w:val="clear"/>
            <w:tcMar>
              <w:top w:type="dxa" w:w="60"/>
              <w:left w:type="dxa" w:w="100"/>
              <w:bottom w:type="dxa" w:w="60"/>
              <w:right w:type="dxa" w:w="100"/>
            </w:tcMar>
            <w:vAlign w:val="top"/>
          </w:tcPr>
          <w:p>
            <w:r>
              <w:rPr>
                <w:b/>
                <w:bCs/>
                <w:color w:val="FFFFFF"/>
                <w:sz w:val="16"/>
                <w:szCs w:val="16"/>
              </w:rPr>
              <w:t xml:space="preserve">A or B</w:t>
            </w:r>
          </w:p>
        </w:tc>
        <w:tc>
          <w:tcPr>
            <w:tcW w:type="dxa" w:w="1238"/>
            <w:shd w:fill="D97706" w:color="auto" w:val="clear"/>
            <w:tcMar>
              <w:top w:type="dxa" w:w="60"/>
              <w:left w:type="dxa" w:w="100"/>
              <w:bottom w:type="dxa" w:w="60"/>
              <w:right w:type="dxa" w:w="100"/>
            </w:tcMar>
            <w:vAlign w:val="top"/>
          </w:tcPr>
          <w:p>
            <w:r>
              <w:rPr>
                <w:b/>
                <w:bCs/>
                <w:color w:val="FFFFFF"/>
                <w:sz w:val="16"/>
                <w:szCs w:val="16"/>
              </w:rPr>
              <w:t xml:space="preserve">Area &gt; 12 km²</w:t>
            </w:r>
          </w:p>
        </w:tc>
        <w:tc>
          <w:tcPr>
            <w:tcW w:type="dxa" w:w="1050"/>
            <w:shd w:fill="D97706" w:color="auto" w:val="clear"/>
            <w:tcMar>
              <w:top w:type="dxa" w:w="60"/>
              <w:left w:type="dxa" w:w="100"/>
              <w:bottom w:type="dxa" w:w="60"/>
              <w:right w:type="dxa" w:w="100"/>
            </w:tcMar>
            <w:vAlign w:val="top"/>
          </w:tcPr>
          <w:p>
            <w:r>
              <w:rPr>
                <w:b/>
                <w:bCs/>
                <w:color w:val="FFFFFF"/>
                <w:sz w:val="16"/>
                <w:szCs w:val="16"/>
              </w:rPr>
              <w:t xml:space="preserve">ρs, A</w:t>
            </w:r>
          </w:p>
        </w:tc>
        <w:tc>
          <w:tcPr>
            <w:tcW w:type="dxa" w:w="1050"/>
            <w:shd w:fill="D97706" w:color="auto" w:val="clear"/>
            <w:tcMar>
              <w:top w:type="dxa" w:w="60"/>
              <w:left w:type="dxa" w:w="100"/>
              <w:bottom w:type="dxa" w:w="60"/>
              <w:right w:type="dxa" w:w="100"/>
            </w:tcMar>
            <w:vAlign w:val="top"/>
          </w:tcPr>
          <w:p>
            <w:r>
              <w:rPr>
                <w:b/>
                <w:bCs/>
                <w:color w:val="FFFFFF"/>
                <w:sz w:val="16"/>
                <w:szCs w:val="16"/>
              </w:rPr>
              <w:t xml:space="preserve">ρs, A or B</w:t>
            </w:r>
          </w:p>
        </w:tc>
      </w:tr>
      <w:tr>
        <w:trPr>
          <w:cantSplit/>
        </w:trPr>
        <w:tc>
          <w:tcPr>
            <w:tcW w:type="dxa" w:w="2700"/>
            <w:tcMar>
              <w:top w:type="dxa" w:w="60"/>
              <w:left w:type="dxa" w:w="100"/>
              <w:bottom w:type="dxa" w:w="60"/>
              <w:right w:type="dxa" w:w="100"/>
            </w:tcMar>
            <w:vAlign w:val="top"/>
          </w:tcPr>
          <w:p>
            <w:r>
              <w:rPr>
                <w:sz w:val="16"/>
                <w:szCs w:val="16"/>
              </w:rPr>
              <w:t xml:space="preserve">Linear EIG of the area (published pipeline)</w:t>
            </w:r>
          </w:p>
        </w:tc>
        <w:tc>
          <w:tcPr>
            <w:tcW w:type="dxa" w:w="1500"/>
            <w:tcMar>
              <w:top w:type="dxa" w:w="60"/>
              <w:left w:type="dxa" w:w="100"/>
              <w:bottom w:type="dxa" w:w="60"/>
              <w:right w:type="dxa" w:w="100"/>
            </w:tcMar>
            <w:vAlign w:val="top"/>
          </w:tcPr>
          <w:p>
            <w:r>
              <w:rPr>
                <w:sz w:val="16"/>
                <w:szCs w:val="16"/>
              </w:rPr>
              <w:t xml:space="preserve">A3, A10, A28</w:t>
            </w:r>
          </w:p>
        </w:tc>
        <w:tc>
          <w:tcPr>
            <w:tcW w:type="dxa" w:w="1050"/>
            <w:tcMar>
              <w:top w:type="dxa" w:w="60"/>
              <w:left w:type="dxa" w:w="100"/>
              <w:bottom w:type="dxa" w:w="60"/>
              <w:right w:type="dxa" w:w="100"/>
            </w:tcMar>
            <w:vAlign w:val="top"/>
          </w:tcPr>
          <w:p>
            <w:r>
              <w:rPr>
                <w:sz w:val="16"/>
                <w:szCs w:val="16"/>
              </w:rPr>
              <w:t xml:space="preserve">73.8%</w:t>
            </w:r>
          </w:p>
        </w:tc>
        <w:tc>
          <w:tcPr>
            <w:tcW w:type="dxa" w:w="1050"/>
            <w:tcMar>
              <w:top w:type="dxa" w:w="60"/>
              <w:left w:type="dxa" w:w="100"/>
              <w:bottom w:type="dxa" w:w="60"/>
              <w:right w:type="dxa" w:w="100"/>
            </w:tcMar>
            <w:vAlign w:val="top"/>
          </w:tcPr>
          <w:p>
            <w:r>
              <w:rPr>
                <w:sz w:val="16"/>
                <w:szCs w:val="16"/>
              </w:rPr>
              <w:t xml:space="preserve">52.0%</w:t>
            </w:r>
          </w:p>
        </w:tc>
        <w:tc>
          <w:tcPr>
            <w:tcW w:type="dxa" w:w="1238"/>
            <w:tcMar>
              <w:top w:type="dxa" w:w="60"/>
              <w:left w:type="dxa" w:w="100"/>
              <w:bottom w:type="dxa" w:w="60"/>
              <w:right w:type="dxa" w:w="100"/>
            </w:tcMar>
            <w:vAlign w:val="top"/>
          </w:tcPr>
          <w:p>
            <w:r>
              <w:rPr>
                <w:sz w:val="16"/>
                <w:szCs w:val="16"/>
              </w:rPr>
              <w:t xml:space="preserve">98.8%</w:t>
            </w:r>
          </w:p>
        </w:tc>
        <w:tc>
          <w:tcPr>
            <w:tcW w:type="dxa" w:w="1050"/>
            <w:tcMar>
              <w:top w:type="dxa" w:w="60"/>
              <w:left w:type="dxa" w:w="100"/>
              <w:bottom w:type="dxa" w:w="60"/>
              <w:right w:type="dxa" w:w="100"/>
            </w:tcMar>
            <w:vAlign w:val="top"/>
          </w:tcPr>
          <w:p>
            <w:r>
              <w:rPr>
                <w:sz w:val="16"/>
                <w:szCs w:val="16"/>
              </w:rPr>
              <w:t xml:space="preserve">0.78</w:t>
            </w:r>
          </w:p>
        </w:tc>
        <w:tc>
          <w:tcPr>
            <w:tcW w:type="dxa" w:w="1050"/>
            <w:tcMar>
              <w:top w:type="dxa" w:w="60"/>
              <w:left w:type="dxa" w:w="100"/>
              <w:bottom w:type="dxa" w:w="60"/>
              <w:right w:type="dxa" w:w="100"/>
            </w:tcMar>
            <w:vAlign w:val="top"/>
          </w:tcPr>
          <w:p>
            <w:r>
              <w:rPr>
                <w:sz w:val="16"/>
                <w:szCs w:val="16"/>
              </w:rPr>
              <w:t xml:space="preserve">0.11</w:t>
            </w:r>
          </w:p>
        </w:tc>
      </w:tr>
      <w:tr>
        <w:trPr>
          <w:cantSplit/>
        </w:trPr>
        <w:tc>
          <w:tcPr>
            <w:tcW w:type="dxa" w:w="2700"/>
            <w:shd w:fill="F7F9FC" w:color="auto" w:val="clear"/>
            <w:tcMar>
              <w:top w:type="dxa" w:w="60"/>
              <w:left w:type="dxa" w:w="100"/>
              <w:bottom w:type="dxa" w:w="60"/>
              <w:right w:type="dxa" w:w="100"/>
            </w:tcMar>
            <w:vAlign w:val="top"/>
          </w:tcPr>
          <w:p>
            <w:r>
              <w:rPr>
                <w:sz w:val="16"/>
                <w:szCs w:val="16"/>
              </w:rPr>
              <w:t xml:space="preserve">Area, ensemble moments</w:t>
            </w:r>
          </w:p>
        </w:tc>
        <w:tc>
          <w:tcPr>
            <w:tcW w:type="dxa" w:w="1500"/>
            <w:shd w:fill="F7F9FC" w:color="auto" w:val="clear"/>
            <w:tcMar>
              <w:top w:type="dxa" w:w="60"/>
              <w:left w:type="dxa" w:w="100"/>
              <w:bottom w:type="dxa" w:w="60"/>
              <w:right w:type="dxa" w:w="100"/>
            </w:tcMar>
            <w:vAlign w:val="top"/>
          </w:tcPr>
          <w:p>
            <w:r>
              <w:rPr>
                <w:sz w:val="16"/>
                <w:szCs w:val="16"/>
              </w:rPr>
              <w:t xml:space="preserve">A3, A10, A28</w:t>
            </w:r>
          </w:p>
        </w:tc>
        <w:tc>
          <w:tcPr>
            <w:tcW w:type="dxa" w:w="1050"/>
            <w:shd w:fill="F7F9FC" w:color="auto" w:val="clear"/>
            <w:tcMar>
              <w:top w:type="dxa" w:w="60"/>
              <w:left w:type="dxa" w:w="100"/>
              <w:bottom w:type="dxa" w:w="60"/>
              <w:right w:type="dxa" w:w="100"/>
            </w:tcMar>
            <w:vAlign w:val="top"/>
          </w:tcPr>
          <w:p>
            <w:r>
              <w:rPr>
                <w:sz w:val="16"/>
                <w:szCs w:val="16"/>
              </w:rPr>
              <w:t xml:space="preserve">73.8%</w:t>
            </w:r>
          </w:p>
        </w:tc>
        <w:tc>
          <w:tcPr>
            <w:tcW w:type="dxa" w:w="1050"/>
            <w:shd w:fill="F7F9FC" w:color="auto" w:val="clear"/>
            <w:tcMar>
              <w:top w:type="dxa" w:w="60"/>
              <w:left w:type="dxa" w:w="100"/>
              <w:bottom w:type="dxa" w:w="60"/>
              <w:right w:type="dxa" w:w="100"/>
            </w:tcMar>
            <w:vAlign w:val="top"/>
          </w:tcPr>
          <w:p>
            <w:r>
              <w:rPr>
                <w:sz w:val="16"/>
                <w:szCs w:val="16"/>
              </w:rPr>
              <w:t xml:space="preserve">52.0%</w:t>
            </w:r>
          </w:p>
        </w:tc>
        <w:tc>
          <w:tcPr>
            <w:tcW w:type="dxa" w:w="1238"/>
            <w:shd w:fill="F7F9FC" w:color="auto" w:val="clear"/>
            <w:tcMar>
              <w:top w:type="dxa" w:w="60"/>
              <w:left w:type="dxa" w:w="100"/>
              <w:bottom w:type="dxa" w:w="60"/>
              <w:right w:type="dxa" w:w="100"/>
            </w:tcMar>
            <w:vAlign w:val="top"/>
          </w:tcPr>
          <w:p>
            <w:r>
              <w:rPr>
                <w:sz w:val="16"/>
                <w:szCs w:val="16"/>
              </w:rPr>
              <w:t xml:space="preserve">98.8%</w:t>
            </w:r>
          </w:p>
        </w:tc>
        <w:tc>
          <w:tcPr>
            <w:tcW w:type="dxa" w:w="1050"/>
            <w:shd w:fill="F7F9FC" w:color="auto" w:val="clear"/>
            <w:tcMar>
              <w:top w:type="dxa" w:w="60"/>
              <w:left w:type="dxa" w:w="100"/>
              <w:bottom w:type="dxa" w:w="60"/>
              <w:right w:type="dxa" w:w="100"/>
            </w:tcMar>
            <w:vAlign w:val="top"/>
          </w:tcPr>
          <w:p>
            <w:r>
              <w:rPr>
                <w:sz w:val="16"/>
                <w:szCs w:val="16"/>
              </w:rPr>
              <w:t xml:space="preserve">0.78</w:t>
            </w:r>
          </w:p>
        </w:tc>
        <w:tc>
          <w:tcPr>
            <w:tcW w:type="dxa" w:w="1050"/>
            <w:shd w:fill="F7F9FC" w:color="auto" w:val="clear"/>
            <w:tcMar>
              <w:top w:type="dxa" w:w="60"/>
              <w:left w:type="dxa" w:w="100"/>
              <w:bottom w:type="dxa" w:w="60"/>
              <w:right w:type="dxa" w:w="100"/>
            </w:tcMar>
            <w:vAlign w:val="top"/>
          </w:tcPr>
          <w:p>
            <w:r>
              <w:rPr>
                <w:sz w:val="16"/>
                <w:szCs w:val="16"/>
              </w:rPr>
              <w:t xml:space="preserve">0.10</w:t>
            </w:r>
          </w:p>
        </w:tc>
      </w:tr>
      <w:tr>
        <w:trPr>
          <w:cantSplit/>
        </w:trPr>
        <w:tc>
          <w:tcPr>
            <w:tcW w:type="dxa" w:w="2700"/>
            <w:tcMar>
              <w:top w:type="dxa" w:w="60"/>
              <w:left w:type="dxa" w:w="100"/>
              <w:bottom w:type="dxa" w:w="60"/>
              <w:right w:type="dxa" w:w="100"/>
            </w:tcMar>
            <w:vAlign w:val="top"/>
          </w:tcPr>
          <w:p>
            <w:r>
              <w:rPr>
                <w:sz w:val="16"/>
                <w:szCs w:val="16"/>
              </w:rPr>
              <w:t xml:space="preserve">Linear EIG of the head at A</w:t>
            </w:r>
          </w:p>
        </w:tc>
        <w:tc>
          <w:tcPr>
            <w:tcW w:type="dxa" w:w="1500"/>
            <w:tcMar>
              <w:top w:type="dxa" w:w="60"/>
              <w:left w:type="dxa" w:w="100"/>
              <w:bottom w:type="dxa" w:w="60"/>
              <w:right w:type="dxa" w:w="100"/>
            </w:tcMar>
            <w:vAlign w:val="top"/>
          </w:tcPr>
          <w:p>
            <w:r>
              <w:rPr>
                <w:sz w:val="16"/>
                <w:szCs w:val="16"/>
              </w:rPr>
              <w:t xml:space="preserve">A3, A10, A23</w:t>
            </w:r>
          </w:p>
        </w:tc>
        <w:tc>
          <w:tcPr>
            <w:tcW w:type="dxa" w:w="1050"/>
            <w:tcMar>
              <w:top w:type="dxa" w:w="60"/>
              <w:left w:type="dxa" w:w="100"/>
              <w:bottom w:type="dxa" w:w="60"/>
              <w:right w:type="dxa" w:w="100"/>
            </w:tcMar>
            <w:vAlign w:val="top"/>
          </w:tcPr>
          <w:p>
            <w:r>
              <w:rPr>
                <w:sz w:val="16"/>
                <w:szCs w:val="16"/>
              </w:rPr>
              <w:t xml:space="preserve">100.0%</w:t>
            </w:r>
          </w:p>
        </w:tc>
        <w:tc>
          <w:tcPr>
            <w:tcW w:type="dxa" w:w="1050"/>
            <w:tcMar>
              <w:top w:type="dxa" w:w="60"/>
              <w:left w:type="dxa" w:w="100"/>
              <w:bottom w:type="dxa" w:w="60"/>
              <w:right w:type="dxa" w:w="100"/>
            </w:tcMar>
            <w:vAlign w:val="top"/>
          </w:tcPr>
          <w:p>
            <w:r>
              <w:rPr>
                <w:sz w:val="16"/>
                <w:szCs w:val="16"/>
              </w:rPr>
              <w:t xml:space="preserve">100.0%</w:t>
            </w:r>
          </w:p>
        </w:tc>
        <w:tc>
          <w:tcPr>
            <w:tcW w:type="dxa" w:w="1238"/>
            <w:tcMar>
              <w:top w:type="dxa" w:w="60"/>
              <w:left w:type="dxa" w:w="100"/>
              <w:bottom w:type="dxa" w:w="60"/>
              <w:right w:type="dxa" w:w="100"/>
            </w:tcMar>
            <w:vAlign w:val="top"/>
          </w:tcPr>
          <w:p>
            <w:r>
              <w:rPr>
                <w:sz w:val="16"/>
                <w:szCs w:val="16"/>
              </w:rPr>
              <w:t xml:space="preserve">99.2%</w:t>
            </w:r>
          </w:p>
        </w:tc>
        <w:tc>
          <w:tcPr>
            <w:tcW w:type="dxa" w:w="1050"/>
            <w:tcMar>
              <w:top w:type="dxa" w:w="60"/>
              <w:left w:type="dxa" w:w="100"/>
              <w:bottom w:type="dxa" w:w="60"/>
              <w:right w:type="dxa" w:w="100"/>
            </w:tcMar>
            <w:vAlign w:val="top"/>
          </w:tcPr>
          <w:p>
            <w:r>
              <w:rPr>
                <w:sz w:val="16"/>
                <w:szCs w:val="16"/>
              </w:rPr>
              <w:t xml:space="preserve">0.96</w:t>
            </w:r>
          </w:p>
        </w:tc>
        <w:tc>
          <w:tcPr>
            <w:tcW w:type="dxa" w:w="1050"/>
            <w:tcMar>
              <w:top w:type="dxa" w:w="60"/>
              <w:left w:type="dxa" w:w="100"/>
              <w:bottom w:type="dxa" w:w="60"/>
              <w:right w:type="dxa" w:w="100"/>
            </w:tcMar>
            <w:vAlign w:val="top"/>
          </w:tcPr>
          <w:p>
            <w:r>
              <w:rPr>
                <w:sz w:val="16"/>
                <w:szCs w:val="16"/>
              </w:rPr>
              <w:t xml:space="preserve">0.48</w:t>
            </w:r>
          </w:p>
        </w:tc>
      </w:tr>
      <w:tr>
        <w:trPr>
          <w:cantSplit/>
        </w:trPr>
        <w:tc>
          <w:tcPr>
            <w:tcW w:type="dxa" w:w="2700"/>
            <w:shd w:fill="F7F9FC" w:color="auto" w:val="clear"/>
            <w:tcMar>
              <w:top w:type="dxa" w:w="60"/>
              <w:left w:type="dxa" w:w="100"/>
              <w:bottom w:type="dxa" w:w="60"/>
              <w:right w:type="dxa" w:w="100"/>
            </w:tcMar>
            <w:vAlign w:val="top"/>
          </w:tcPr>
          <w:p>
            <w:r>
              <w:rPr>
                <w:sz w:val="16"/>
                <w:szCs w:val="16"/>
              </w:rPr>
              <w:t xml:space="preserve">Linear EIG of the mean head at A and B</w:t>
            </w:r>
          </w:p>
        </w:tc>
        <w:tc>
          <w:tcPr>
            <w:tcW w:type="dxa" w:w="1500"/>
            <w:shd w:fill="F7F9FC" w:color="auto" w:val="clear"/>
            <w:tcMar>
              <w:top w:type="dxa" w:w="60"/>
              <w:left w:type="dxa" w:w="100"/>
              <w:bottom w:type="dxa" w:w="60"/>
              <w:right w:type="dxa" w:w="100"/>
            </w:tcMar>
            <w:vAlign w:val="top"/>
          </w:tcPr>
          <w:p>
            <w:r>
              <w:rPr>
                <w:sz w:val="16"/>
                <w:szCs w:val="16"/>
              </w:rPr>
              <w:t xml:space="preserve">A3, A10, A23</w:t>
            </w:r>
          </w:p>
        </w:tc>
        <w:tc>
          <w:tcPr>
            <w:tcW w:type="dxa" w:w="1050"/>
            <w:shd w:fill="F7F9FC" w:color="auto" w:val="clear"/>
            <w:tcMar>
              <w:top w:type="dxa" w:w="60"/>
              <w:left w:type="dxa" w:w="100"/>
              <w:bottom w:type="dxa" w:w="60"/>
              <w:right w:type="dxa" w:w="100"/>
            </w:tcMar>
            <w:vAlign w:val="top"/>
          </w:tcPr>
          <w:p>
            <w:r>
              <w:rPr>
                <w:sz w:val="16"/>
                <w:szCs w:val="16"/>
              </w:rPr>
              <w:t xml:space="preserve">100.0%</w:t>
            </w:r>
          </w:p>
        </w:tc>
        <w:tc>
          <w:tcPr>
            <w:tcW w:type="dxa" w:w="1050"/>
            <w:shd w:fill="F7F9FC" w:color="auto" w:val="clear"/>
            <w:tcMar>
              <w:top w:type="dxa" w:w="60"/>
              <w:left w:type="dxa" w:w="100"/>
              <w:bottom w:type="dxa" w:w="60"/>
              <w:right w:type="dxa" w:w="100"/>
            </w:tcMar>
            <w:vAlign w:val="top"/>
          </w:tcPr>
          <w:p>
            <w:r>
              <w:rPr>
                <w:sz w:val="16"/>
                <w:szCs w:val="16"/>
              </w:rPr>
              <w:t xml:space="preserve">100.0%</w:t>
            </w:r>
          </w:p>
        </w:tc>
        <w:tc>
          <w:tcPr>
            <w:tcW w:type="dxa" w:w="1238"/>
            <w:shd w:fill="F7F9FC" w:color="auto" w:val="clear"/>
            <w:tcMar>
              <w:top w:type="dxa" w:w="60"/>
              <w:left w:type="dxa" w:w="100"/>
              <w:bottom w:type="dxa" w:w="60"/>
              <w:right w:type="dxa" w:w="100"/>
            </w:tcMar>
            <w:vAlign w:val="top"/>
          </w:tcPr>
          <w:p>
            <w:r>
              <w:rPr>
                <w:sz w:val="16"/>
                <w:szCs w:val="16"/>
              </w:rPr>
              <w:t xml:space="preserve">99.2%</w:t>
            </w:r>
          </w:p>
        </w:tc>
        <w:tc>
          <w:tcPr>
            <w:tcW w:type="dxa" w:w="1050"/>
            <w:shd w:fill="F7F9FC" w:color="auto" w:val="clear"/>
            <w:tcMar>
              <w:top w:type="dxa" w:w="60"/>
              <w:left w:type="dxa" w:w="100"/>
              <w:bottom w:type="dxa" w:w="60"/>
              <w:right w:type="dxa" w:w="100"/>
            </w:tcMar>
            <w:vAlign w:val="top"/>
          </w:tcPr>
          <w:p>
            <w:r>
              <w:rPr>
                <w:sz w:val="16"/>
                <w:szCs w:val="16"/>
              </w:rPr>
              <w:t xml:space="preserve">0.45</w:t>
            </w:r>
          </w:p>
        </w:tc>
        <w:tc>
          <w:tcPr>
            <w:tcW w:type="dxa" w:w="1050"/>
            <w:shd w:fill="F7F9FC" w:color="auto" w:val="clear"/>
            <w:tcMar>
              <w:top w:type="dxa" w:w="60"/>
              <w:left w:type="dxa" w:w="100"/>
              <w:bottom w:type="dxa" w:w="60"/>
              <w:right w:type="dxa" w:w="100"/>
            </w:tcMar>
            <w:vAlign w:val="top"/>
          </w:tcPr>
          <w:p>
            <w:r>
              <w:rPr>
                <w:sz w:val="16"/>
                <w:szCs w:val="16"/>
              </w:rPr>
              <w:t xml:space="preserve">0.96</w:t>
            </w:r>
          </w:p>
        </w:tc>
      </w:tr>
      <w:tr>
        <w:trPr>
          <w:cantSplit/>
        </w:trPr>
        <w:tc>
          <w:tcPr>
            <w:tcW w:type="dxa" w:w="2700"/>
            <w:tcMar>
              <w:top w:type="dxa" w:w="60"/>
              <w:left w:type="dxa" w:w="100"/>
              <w:bottom w:type="dxa" w:w="60"/>
              <w:right w:type="dxa" w:w="100"/>
            </w:tcMar>
            <w:vAlign w:val="top"/>
          </w:tcPr>
          <w:p>
            <w:r>
              <w:rPr>
                <w:sz w:val="16"/>
                <w:szCs w:val="16"/>
              </w:rPr>
              <w:t xml:space="preserve">PRAG-GO, linear moments</w:t>
            </w:r>
          </w:p>
        </w:tc>
        <w:tc>
          <w:tcPr>
            <w:tcW w:type="dxa" w:w="1500"/>
            <w:tcMar>
              <w:top w:type="dxa" w:w="60"/>
              <w:left w:type="dxa" w:w="100"/>
              <w:bottom w:type="dxa" w:w="60"/>
              <w:right w:type="dxa" w:w="100"/>
            </w:tcMar>
            <w:vAlign w:val="top"/>
          </w:tcPr>
          <w:p>
            <w:r>
              <w:rPr>
                <w:sz w:val="16"/>
                <w:szCs w:val="16"/>
              </w:rPr>
              <w:t xml:space="preserve">A3, A10, A23</w:t>
            </w:r>
          </w:p>
        </w:tc>
        <w:tc>
          <w:tcPr>
            <w:tcW w:type="dxa" w:w="1050"/>
            <w:tcMar>
              <w:top w:type="dxa" w:w="60"/>
              <w:left w:type="dxa" w:w="100"/>
              <w:bottom w:type="dxa" w:w="60"/>
              <w:right w:type="dxa" w:w="100"/>
            </w:tcMar>
            <w:vAlign w:val="top"/>
          </w:tcPr>
          <w:p>
            <w:r>
              <w:rPr>
                <w:sz w:val="16"/>
                <w:szCs w:val="16"/>
              </w:rPr>
              <w:t xml:space="preserve">100.0%</w:t>
            </w:r>
          </w:p>
        </w:tc>
        <w:tc>
          <w:tcPr>
            <w:tcW w:type="dxa" w:w="1050"/>
            <w:tcMar>
              <w:top w:type="dxa" w:w="60"/>
              <w:left w:type="dxa" w:w="100"/>
              <w:bottom w:type="dxa" w:w="60"/>
              <w:right w:type="dxa" w:w="100"/>
            </w:tcMar>
            <w:vAlign w:val="top"/>
          </w:tcPr>
          <w:p>
            <w:r>
              <w:rPr>
                <w:sz w:val="16"/>
                <w:szCs w:val="16"/>
              </w:rPr>
              <w:t xml:space="preserve">100.0%</w:t>
            </w:r>
          </w:p>
        </w:tc>
        <w:tc>
          <w:tcPr>
            <w:tcW w:type="dxa" w:w="1238"/>
            <w:tcMar>
              <w:top w:type="dxa" w:w="60"/>
              <w:left w:type="dxa" w:w="100"/>
              <w:bottom w:type="dxa" w:w="60"/>
              <w:right w:type="dxa" w:w="100"/>
            </w:tcMar>
            <w:vAlign w:val="top"/>
          </w:tcPr>
          <w:p>
            <w:r>
              <w:rPr>
                <w:sz w:val="16"/>
                <w:szCs w:val="16"/>
              </w:rPr>
              <w:t xml:space="preserve">99.2%</w:t>
            </w:r>
          </w:p>
        </w:tc>
        <w:tc>
          <w:tcPr>
            <w:tcW w:type="dxa" w:w="1050"/>
            <w:tcMar>
              <w:top w:type="dxa" w:w="60"/>
              <w:left w:type="dxa" w:w="100"/>
              <w:bottom w:type="dxa" w:w="60"/>
              <w:right w:type="dxa" w:w="100"/>
            </w:tcMar>
            <w:vAlign w:val="top"/>
          </w:tcPr>
          <w:p>
            <w:r>
              <w:rPr>
                <w:sz w:val="16"/>
                <w:szCs w:val="16"/>
              </w:rPr>
              <w:t xml:space="preserve">0.55</w:t>
            </w:r>
          </w:p>
        </w:tc>
        <w:tc>
          <w:tcPr>
            <w:tcW w:type="dxa" w:w="1050"/>
            <w:tcMar>
              <w:top w:type="dxa" w:w="60"/>
              <w:left w:type="dxa" w:w="100"/>
              <w:bottom w:type="dxa" w:w="60"/>
              <w:right w:type="dxa" w:w="100"/>
            </w:tcMar>
            <w:vAlign w:val="top"/>
          </w:tcPr>
          <w:p>
            <w:r>
              <w:rPr>
                <w:sz w:val="16"/>
                <w:szCs w:val="16"/>
              </w:rPr>
              <w:t xml:space="preserve">0.97</w:t>
            </w:r>
          </w:p>
        </w:tc>
      </w:tr>
      <w:tr>
        <w:trPr>
          <w:cantSplit/>
        </w:trPr>
        <w:tc>
          <w:tcPr>
            <w:tcW w:type="dxa" w:w="2700"/>
            <w:shd w:fill="F7F9FC" w:color="auto" w:val="clear"/>
            <w:tcMar>
              <w:top w:type="dxa" w:w="60"/>
              <w:left w:type="dxa" w:w="100"/>
              <w:bottom w:type="dxa" w:w="60"/>
              <w:right w:type="dxa" w:w="100"/>
            </w:tcMar>
            <w:vAlign w:val="top"/>
          </w:tcPr>
          <w:p>
            <w:r>
              <w:rPr>
                <w:sz w:val="16"/>
                <w:szCs w:val="16"/>
              </w:rPr>
              <w:t xml:space="preserve">PRAG-GO, ensemble moments</w:t>
            </w:r>
          </w:p>
        </w:tc>
        <w:tc>
          <w:tcPr>
            <w:tcW w:type="dxa" w:w="1500"/>
            <w:shd w:fill="F7F9FC" w:color="auto" w:val="clear"/>
            <w:tcMar>
              <w:top w:type="dxa" w:w="60"/>
              <w:left w:type="dxa" w:w="100"/>
              <w:bottom w:type="dxa" w:w="60"/>
              <w:right w:type="dxa" w:w="100"/>
            </w:tcMar>
            <w:vAlign w:val="top"/>
          </w:tcPr>
          <w:p>
            <w:r>
              <w:rPr>
                <w:sz w:val="16"/>
                <w:szCs w:val="16"/>
              </w:rPr>
              <w:t xml:space="preserve">A3, A10, A23</w:t>
            </w:r>
          </w:p>
        </w:tc>
        <w:tc>
          <w:tcPr>
            <w:tcW w:type="dxa" w:w="1050"/>
            <w:shd w:fill="F7F9FC" w:color="auto" w:val="clear"/>
            <w:tcMar>
              <w:top w:type="dxa" w:w="60"/>
              <w:left w:type="dxa" w:w="100"/>
              <w:bottom w:type="dxa" w:w="60"/>
              <w:right w:type="dxa" w:w="100"/>
            </w:tcMar>
            <w:vAlign w:val="top"/>
          </w:tcPr>
          <w:p>
            <w:r>
              <w:rPr>
                <w:sz w:val="16"/>
                <w:szCs w:val="16"/>
              </w:rPr>
              <w:t xml:space="preserve">100.0%</w:t>
            </w:r>
          </w:p>
        </w:tc>
        <w:tc>
          <w:tcPr>
            <w:tcW w:type="dxa" w:w="1050"/>
            <w:shd w:fill="F7F9FC" w:color="auto" w:val="clear"/>
            <w:tcMar>
              <w:top w:type="dxa" w:w="60"/>
              <w:left w:type="dxa" w:w="100"/>
              <w:bottom w:type="dxa" w:w="60"/>
              <w:right w:type="dxa" w:w="100"/>
            </w:tcMar>
            <w:vAlign w:val="top"/>
          </w:tcPr>
          <w:p>
            <w:r>
              <w:rPr>
                <w:sz w:val="16"/>
                <w:szCs w:val="16"/>
              </w:rPr>
              <w:t xml:space="preserve">100.0%</w:t>
            </w:r>
          </w:p>
        </w:tc>
        <w:tc>
          <w:tcPr>
            <w:tcW w:type="dxa" w:w="1238"/>
            <w:shd w:fill="F7F9FC" w:color="auto" w:val="clear"/>
            <w:tcMar>
              <w:top w:type="dxa" w:w="60"/>
              <w:left w:type="dxa" w:w="100"/>
              <w:bottom w:type="dxa" w:w="60"/>
              <w:right w:type="dxa" w:w="100"/>
            </w:tcMar>
            <w:vAlign w:val="top"/>
          </w:tcPr>
          <w:p>
            <w:r>
              <w:rPr>
                <w:sz w:val="16"/>
                <w:szCs w:val="16"/>
              </w:rPr>
              <w:t xml:space="preserve">99.2%</w:t>
            </w:r>
          </w:p>
        </w:tc>
        <w:tc>
          <w:tcPr>
            <w:tcW w:type="dxa" w:w="1050"/>
            <w:shd w:fill="F7F9FC" w:color="auto" w:val="clear"/>
            <w:tcMar>
              <w:top w:type="dxa" w:w="60"/>
              <w:left w:type="dxa" w:w="100"/>
              <w:bottom w:type="dxa" w:w="60"/>
              <w:right w:type="dxa" w:w="100"/>
            </w:tcMar>
            <w:vAlign w:val="top"/>
          </w:tcPr>
          <w:p>
            <w:r>
              <w:rPr>
                <w:sz w:val="16"/>
                <w:szCs w:val="16"/>
              </w:rPr>
              <w:t xml:space="preserve">0.54</w:t>
            </w:r>
          </w:p>
        </w:tc>
        <w:tc>
          <w:tcPr>
            <w:tcW w:type="dxa" w:w="1050"/>
            <w:shd w:fill="F7F9FC" w:color="auto" w:val="clear"/>
            <w:tcMar>
              <w:top w:type="dxa" w:w="60"/>
              <w:left w:type="dxa" w:w="100"/>
              <w:bottom w:type="dxa" w:w="60"/>
              <w:right w:type="dxa" w:w="100"/>
            </w:tcMar>
            <w:vAlign w:val="top"/>
          </w:tcPr>
          <w:p>
            <w:r>
              <w:rPr>
                <w:sz w:val="16"/>
                <w:szCs w:val="16"/>
              </w:rPr>
              <w:t xml:space="preserve">0.96</w:t>
            </w:r>
          </w:p>
        </w:tc>
      </w:tr>
      <w:tr>
        <w:trPr>
          <w:cantSplit/>
        </w:trPr>
        <w:tc>
          <w:tcPr>
            <w:tcW w:type="dxa" w:w="2700"/>
            <w:tcMar>
              <w:top w:type="dxa" w:w="60"/>
              <w:left w:type="dxa" w:w="100"/>
              <w:bottom w:type="dxa" w:w="60"/>
              <w:right w:type="dxa" w:w="100"/>
            </w:tcMar>
            <w:vAlign w:val="top"/>
          </w:tcPr>
          <w:p>
            <w:r>
              <w:rPr>
                <w:sz w:val="16"/>
                <w:szCs w:val="16"/>
              </w:rPr>
              <w:t xml:space="preserve">PRAG-GO for A alone, normal scores</w:t>
            </w:r>
          </w:p>
        </w:tc>
        <w:tc>
          <w:tcPr>
            <w:tcW w:type="dxa" w:w="1500"/>
            <w:tcMar>
              <w:top w:type="dxa" w:w="60"/>
              <w:left w:type="dxa" w:w="100"/>
              <w:bottom w:type="dxa" w:w="60"/>
              <w:right w:type="dxa" w:w="100"/>
            </w:tcMar>
            <w:vAlign w:val="top"/>
          </w:tcPr>
          <w:p>
            <w:r>
              <w:rPr>
                <w:sz w:val="16"/>
                <w:szCs w:val="16"/>
              </w:rPr>
              <w:t xml:space="preserve">A3, A10, A23</w:t>
            </w:r>
          </w:p>
        </w:tc>
        <w:tc>
          <w:tcPr>
            <w:tcW w:type="dxa" w:w="1050"/>
            <w:tcMar>
              <w:top w:type="dxa" w:w="60"/>
              <w:left w:type="dxa" w:w="100"/>
              <w:bottom w:type="dxa" w:w="60"/>
              <w:right w:type="dxa" w:w="100"/>
            </w:tcMar>
            <w:vAlign w:val="top"/>
          </w:tcPr>
          <w:p>
            <w:r>
              <w:rPr>
                <w:sz w:val="16"/>
                <w:szCs w:val="16"/>
              </w:rPr>
              <w:t xml:space="preserve">100.0%</w:t>
            </w:r>
          </w:p>
        </w:tc>
        <w:tc>
          <w:tcPr>
            <w:tcW w:type="dxa" w:w="1050"/>
            <w:tcMar>
              <w:top w:type="dxa" w:w="60"/>
              <w:left w:type="dxa" w:w="100"/>
              <w:bottom w:type="dxa" w:w="60"/>
              <w:right w:type="dxa" w:w="100"/>
            </w:tcMar>
            <w:vAlign w:val="top"/>
          </w:tcPr>
          <w:p>
            <w:r>
              <w:rPr>
                <w:sz w:val="16"/>
                <w:szCs w:val="16"/>
              </w:rPr>
              <w:t xml:space="preserve">100.0%</w:t>
            </w:r>
          </w:p>
        </w:tc>
        <w:tc>
          <w:tcPr>
            <w:tcW w:type="dxa" w:w="1238"/>
            <w:tcMar>
              <w:top w:type="dxa" w:w="60"/>
              <w:left w:type="dxa" w:w="100"/>
              <w:bottom w:type="dxa" w:w="60"/>
              <w:right w:type="dxa" w:w="100"/>
            </w:tcMar>
            <w:vAlign w:val="top"/>
          </w:tcPr>
          <w:p>
            <w:r>
              <w:rPr>
                <w:sz w:val="16"/>
                <w:szCs w:val="16"/>
              </w:rPr>
              <w:t xml:space="preserve">99.2%</w:t>
            </w:r>
          </w:p>
        </w:tc>
        <w:tc>
          <w:tcPr>
            <w:tcW w:type="dxa" w:w="1050"/>
            <w:tcMar>
              <w:top w:type="dxa" w:w="60"/>
              <w:left w:type="dxa" w:w="100"/>
              <w:bottom w:type="dxa" w:w="60"/>
              <w:right w:type="dxa" w:w="100"/>
            </w:tcMar>
            <w:vAlign w:val="top"/>
          </w:tcPr>
          <w:p>
            <w:r>
              <w:rPr>
                <w:sz w:val="16"/>
                <w:szCs w:val="16"/>
              </w:rPr>
              <w:t xml:space="preserve">0.96</w:t>
            </w:r>
          </w:p>
        </w:tc>
        <w:tc>
          <w:tcPr>
            <w:tcW w:type="dxa" w:w="1050"/>
            <w:tcMar>
              <w:top w:type="dxa" w:w="60"/>
              <w:left w:type="dxa" w:w="100"/>
              <w:bottom w:type="dxa" w:w="60"/>
              <w:right w:type="dxa" w:w="100"/>
            </w:tcMar>
            <w:vAlign w:val="top"/>
          </w:tcPr>
          <w:p>
            <w:r>
              <w:rPr>
                <w:sz w:val="16"/>
                <w:szCs w:val="16"/>
              </w:rPr>
              <w:t xml:space="preserve">0.48</w:t>
            </w:r>
          </w:p>
        </w:tc>
      </w:tr>
      <w:tr>
        <w:trPr>
          <w:cantSplit/>
        </w:trPr>
        <w:tc>
          <w:tcPr>
            <w:tcW w:type="dxa" w:w="2700"/>
            <w:shd w:fill="F7F9FC" w:color="auto" w:val="clear"/>
            <w:tcMar>
              <w:top w:type="dxa" w:w="60"/>
              <w:left w:type="dxa" w:w="100"/>
              <w:bottom w:type="dxa" w:w="60"/>
              <w:right w:type="dxa" w:w="100"/>
            </w:tcMar>
            <w:vAlign w:val="top"/>
          </w:tcPr>
          <w:p>
            <w:r>
              <w:rPr>
                <w:sz w:val="16"/>
                <w:szCs w:val="16"/>
              </w:rPr>
              <w:t xml:space="preserve">PRAG-GO, normal scores</w:t>
            </w:r>
          </w:p>
        </w:tc>
        <w:tc>
          <w:tcPr>
            <w:tcW w:type="dxa" w:w="1500"/>
            <w:shd w:fill="F7F9FC" w:color="auto" w:val="clear"/>
            <w:tcMar>
              <w:top w:type="dxa" w:w="60"/>
              <w:left w:type="dxa" w:w="100"/>
              <w:bottom w:type="dxa" w:w="60"/>
              <w:right w:type="dxa" w:w="100"/>
            </w:tcMar>
            <w:vAlign w:val="top"/>
          </w:tcPr>
          <w:p>
            <w:r>
              <w:rPr>
                <w:sz w:val="16"/>
                <w:szCs w:val="16"/>
              </w:rPr>
              <w:t xml:space="preserve">A3, A10, A23</w:t>
            </w:r>
          </w:p>
        </w:tc>
        <w:tc>
          <w:tcPr>
            <w:tcW w:type="dxa" w:w="1050"/>
            <w:shd w:fill="F7F9FC" w:color="auto" w:val="clear"/>
            <w:tcMar>
              <w:top w:type="dxa" w:w="60"/>
              <w:left w:type="dxa" w:w="100"/>
              <w:bottom w:type="dxa" w:w="60"/>
              <w:right w:type="dxa" w:w="100"/>
            </w:tcMar>
            <w:vAlign w:val="top"/>
          </w:tcPr>
          <w:p>
            <w:r>
              <w:rPr>
                <w:sz w:val="16"/>
                <w:szCs w:val="16"/>
              </w:rPr>
              <w:t xml:space="preserve">100.0%</w:t>
            </w:r>
          </w:p>
        </w:tc>
        <w:tc>
          <w:tcPr>
            <w:tcW w:type="dxa" w:w="1050"/>
            <w:shd w:fill="F7F9FC" w:color="auto" w:val="clear"/>
            <w:tcMar>
              <w:top w:type="dxa" w:w="60"/>
              <w:left w:type="dxa" w:w="100"/>
              <w:bottom w:type="dxa" w:w="60"/>
              <w:right w:type="dxa" w:w="100"/>
            </w:tcMar>
            <w:vAlign w:val="top"/>
          </w:tcPr>
          <w:p>
            <w:r>
              <w:rPr>
                <w:sz w:val="16"/>
                <w:szCs w:val="16"/>
              </w:rPr>
              <w:t xml:space="preserve">100.0%</w:t>
            </w:r>
          </w:p>
        </w:tc>
        <w:tc>
          <w:tcPr>
            <w:tcW w:type="dxa" w:w="1238"/>
            <w:shd w:fill="F7F9FC" w:color="auto" w:val="clear"/>
            <w:tcMar>
              <w:top w:type="dxa" w:w="60"/>
              <w:left w:type="dxa" w:w="100"/>
              <w:bottom w:type="dxa" w:w="60"/>
              <w:right w:type="dxa" w:w="100"/>
            </w:tcMar>
            <w:vAlign w:val="top"/>
          </w:tcPr>
          <w:p>
            <w:r>
              <w:rPr>
                <w:sz w:val="16"/>
                <w:szCs w:val="16"/>
              </w:rPr>
              <w:t xml:space="preserve">99.2%</w:t>
            </w:r>
          </w:p>
        </w:tc>
        <w:tc>
          <w:tcPr>
            <w:tcW w:type="dxa" w:w="1050"/>
            <w:shd w:fill="F7F9FC" w:color="auto" w:val="clear"/>
            <w:tcMar>
              <w:top w:type="dxa" w:w="60"/>
              <w:left w:type="dxa" w:w="100"/>
              <w:bottom w:type="dxa" w:w="60"/>
              <w:right w:type="dxa" w:w="100"/>
            </w:tcMar>
            <w:vAlign w:val="top"/>
          </w:tcPr>
          <w:p>
            <w:r>
              <w:rPr>
                <w:sz w:val="16"/>
                <w:szCs w:val="16"/>
              </w:rPr>
              <w:t xml:space="preserve">0.61</w:t>
            </w:r>
          </w:p>
        </w:tc>
        <w:tc>
          <w:tcPr>
            <w:tcW w:type="dxa" w:w="1050"/>
            <w:shd w:fill="F7F9FC" w:color="auto" w:val="clear"/>
            <w:tcMar>
              <w:top w:type="dxa" w:w="60"/>
              <w:left w:type="dxa" w:w="100"/>
              <w:bottom w:type="dxa" w:w="60"/>
              <w:right w:type="dxa" w:w="100"/>
            </w:tcMar>
            <w:vAlign w:val="top"/>
          </w:tcPr>
          <w:p>
            <w:r>
              <w:rPr>
                <w:sz w:val="16"/>
                <w:szCs w:val="16"/>
              </w:rPr>
              <w:t xml:space="preserve">0.97</w:t>
            </w:r>
          </w:p>
        </w:tc>
      </w:tr>
    </w:tbl>
    <w:p>
      <w:pPr>
        <w:spacing w:after="160"/>
      </w:pPr>
    </w:p>
    <w:p>
      <w:pPr>
        <w:spacing w:after="120"/>
        <w:jc w:val="both"/>
      </w:pPr>
      <w:r>
        <w:t xml:space="preserve">For the two supply-well goals, PRAG-GO picks the exact optimum, whereas the design chosen for the intruded area reaches 73.8% and 52.0%. The area criterion ranks the designs almost at random for "A or B" (</w:t>
      </w:r>
      <m:oMath>
        <m:sSub>
          <m:e>
            <m:r>
              <m:t>ρ</m:t>
            </m:r>
          </m:e>
          <m:sub>
            <m:r>
              <m:t>s</m:t>
            </m:r>
          </m:sub>
        </m:sSub>
        <m:r>
          <m:rPr>
            <m:sty m:val="p"/>
          </m:rPr>
          <m:t>=</m:t>
        </m:r>
        <m:r>
          <m:t>0.11</m:t>
        </m:r>
      </m:oMath>
      <w:r>
        <w:t xml:space="preserve">, against 0.97 for PRAG-GO). For the area goal every criterion reaches 98.8%–99.2% with three wells (96%–98% with five): the designs of all criteria share A3 and A10, which constrain the transmissivity of the coastal sector, so here the area and the supply wells call for overlapping data. Theorem 1 holds only approximately for the area threshold: the Lemma 1 design reaches 98.8% (</w:t>
      </w:r>
      <m:oMath>
        <m:sSub>
          <m:e>
            <m:r>
              <m:t>ρ</m:t>
            </m:r>
          </m:e>
          <m:sub>
            <m:r>
              <m:t>s</m:t>
            </m:r>
          </m:sub>
        </m:sSub>
        <m:r>
          <m:rPr>
            <m:sty m:val="p"/>
          </m:rPr>
          <m:t>=</m:t>
        </m:r>
        <m:r>
          <m:t>0.98</m:t>
        </m:r>
      </m:oMath>
      <w:r>
        <w:t xml:space="preserve">), slightly below the designs aimed at the supply wells (99.2%). Two of the published monitoring wells lie in the sector (A10, A13); as a pair they carry 69% (A) and 66% (A or B) of the information of the best pair, A3, A23.</w:t>
      </w:r>
    </w:p>
    <w:p>
      <w:pPr>
        <w:keepNext/>
        <w:spacing w:after="60" w:before="120"/>
        <w:jc w:val="center"/>
      </w:pPr>
      <w:r>
        <w:drawing>
          <wp:inline distT="0" distB="0" distL="0" distR="0">
            <wp:extent cx="5943600" cy="3533775"/>
            <wp:effectExtent t="0" r="0" b="0" l="0"/>
            <wp:docPr id="1" name="PRAG-GO with the geolocated sea boundary: designs, share of the optimum and criterion against exact EIG" descr="PRAG-GO with the geolocated sea boundary: designs, share of the optimum and criterion against exact EIG" title="PRAG-GO with the geolocated sea boundary: designs, share of the optimum and criterion against exact E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533775"/>
                    </a:xfrm>
                    <a:prstGeom prst="rect">
                      <a:avLst/>
                    </a:prstGeom>
                  </pic:spPr>
                </pic:pic>
              </a:graphicData>
            </a:graphic>
          </wp:inline>
        </w:drawing>
      </w:r>
    </w:p>
    <w:p>
      <w:pPr>
        <w:spacing w:after="200"/>
        <w:jc w:val="both"/>
      </w:pPr>
      <w:r>
        <w:rPr>
          <w:b/>
          <w:bCs/>
          <w:color w:val="3A4350"/>
          <w:sz w:val="18"/>
          <w:szCs w:val="18"/>
        </w:rPr>
        <w:t xml:space="preserve">Figure 2.</w:t>
      </w:r>
      <w:r>
        <w:rPr>
          <w:color w:val="3A4350"/>
          <w:sz w:val="18"/>
          <w:szCs w:val="18"/>
        </w:rPr>
        <w:t xml:space="preserve"> PRAG-GO with the geolocated sea boundary (Supplementary Fig. S2 of the chloride study). (a) Candidate wells, the pumped supply wells, the three-well designs chosen by PRAG-GO (A3, A10, A23) and by the area criterion (A3, A10, A28) and the two published monitoring wells in the sector. (b) Exact EIG of each criterion's design as a percentage of the optimum: bars for three wells, black marks for five wells re-estimated with 48 000 realizations. (c) Criterion against exact EIG over all 560 three-well designs, goal "A or B intruded".</w:t>
      </w:r>
    </w:p>
    <w:p>
      <w:pPr>
        <w:spacing w:after="120"/>
        <w:jc w:val="both"/>
      </w:pPr>
      <w:r>
        <w:rPr>
          <w:b/>
          <w:bCs/>
        </w:rPr>
        <w:t xml:space="preserve">Five wells, all 4 368 designs.</w:t>
      </w:r>
      <w:r>
        <w:t xml:space="preserve"> With five wells the reweighting estimate rests on an effective sample of about 20, where it overestimates the EIG. The 40 best designs of each goal and every criterion's choice were therefore re-estimated with 48 000 inner realizations (effective sample 77). The best design for both supply-well goals is P17, A3, A10, A13, A23 (0.455 and 0.434 nats), and for the area A3, A10, A13, A23, A28 (0.395 nats). Percentages of the best re-estimated design:</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900"/>
        <w:gridCol w:w="2700"/>
        <w:gridCol w:w="1346"/>
        <w:gridCol w:w="1346"/>
        <w:gridCol w:w="1346"/>
      </w:tblGrid>
      <w:tr>
        <w:trPr>
          <w:cantSplit/>
          <w:tblHeader/>
        </w:trPr>
        <w:tc>
          <w:tcPr>
            <w:tcW w:type="dxa" w:w="2900"/>
            <w:shd w:fill="D97706" w:color="auto" w:val="clear"/>
            <w:tcMar>
              <w:top w:type="dxa" w:w="60"/>
              <w:left w:type="dxa" w:w="100"/>
              <w:bottom w:type="dxa" w:w="60"/>
              <w:right w:type="dxa" w:w="100"/>
            </w:tcMar>
            <w:vAlign w:val="top"/>
          </w:tcPr>
          <w:p>
            <w:r>
              <w:rPr>
                <w:b/>
                <w:bCs/>
                <w:color w:val="FFFFFF"/>
                <w:sz w:val="16"/>
                <w:szCs w:val="16"/>
              </w:rPr>
              <w:t xml:space="preserve">Criterion</w:t>
            </w:r>
          </w:p>
        </w:tc>
        <w:tc>
          <w:tcPr>
            <w:tcW w:type="dxa" w:w="2700"/>
            <w:shd w:fill="D97706" w:color="auto" w:val="clear"/>
            <w:tcMar>
              <w:top w:type="dxa" w:w="60"/>
              <w:left w:type="dxa" w:w="100"/>
              <w:bottom w:type="dxa" w:w="60"/>
              <w:right w:type="dxa" w:w="100"/>
            </w:tcMar>
            <w:vAlign w:val="top"/>
          </w:tcPr>
          <w:p>
            <w:r>
              <w:rPr>
                <w:b/>
                <w:bCs/>
                <w:color w:val="FFFFFF"/>
                <w:sz w:val="16"/>
                <w:szCs w:val="16"/>
              </w:rPr>
              <w:t xml:space="preserve">Wells chosen</w:t>
            </w:r>
          </w:p>
        </w:tc>
        <w:tc>
          <w:tcPr>
            <w:tcW w:type="dxa" w:w="1346"/>
            <w:shd w:fill="D97706" w:color="auto" w:val="clear"/>
            <w:tcMar>
              <w:top w:type="dxa" w:w="60"/>
              <w:left w:type="dxa" w:w="100"/>
              <w:bottom w:type="dxa" w:w="60"/>
              <w:right w:type="dxa" w:w="100"/>
            </w:tcMar>
            <w:vAlign w:val="top"/>
          </w:tcPr>
          <w:p>
            <w:r>
              <w:rPr>
                <w:b/>
                <w:bCs/>
                <w:color w:val="FFFFFF"/>
                <w:sz w:val="16"/>
                <w:szCs w:val="16"/>
              </w:rPr>
              <w:t xml:space="preserve">A intruded</w:t>
            </w:r>
          </w:p>
        </w:tc>
        <w:tc>
          <w:tcPr>
            <w:tcW w:type="dxa" w:w="1346"/>
            <w:shd w:fill="D97706" w:color="auto" w:val="clear"/>
            <w:tcMar>
              <w:top w:type="dxa" w:w="60"/>
              <w:left w:type="dxa" w:w="100"/>
              <w:bottom w:type="dxa" w:w="60"/>
              <w:right w:type="dxa" w:w="100"/>
            </w:tcMar>
            <w:vAlign w:val="top"/>
          </w:tcPr>
          <w:p>
            <w:r>
              <w:rPr>
                <w:b/>
                <w:bCs/>
                <w:color w:val="FFFFFF"/>
                <w:sz w:val="16"/>
                <w:szCs w:val="16"/>
              </w:rPr>
              <w:t xml:space="preserve">A or B</w:t>
            </w:r>
          </w:p>
        </w:tc>
        <w:tc>
          <w:tcPr>
            <w:tcW w:type="dxa" w:w="1346"/>
            <w:shd w:fill="D97706" w:color="auto" w:val="clear"/>
            <w:tcMar>
              <w:top w:type="dxa" w:w="60"/>
              <w:left w:type="dxa" w:w="100"/>
              <w:bottom w:type="dxa" w:w="60"/>
              <w:right w:type="dxa" w:w="100"/>
            </w:tcMar>
            <w:vAlign w:val="top"/>
          </w:tcPr>
          <w:p>
            <w:r>
              <w:rPr>
                <w:b/>
                <w:bCs/>
                <w:color w:val="FFFFFF"/>
                <w:sz w:val="16"/>
                <w:szCs w:val="16"/>
              </w:rPr>
              <w:t xml:space="preserve">Area &gt; 12 km²</w:t>
            </w:r>
          </w:p>
        </w:tc>
      </w:tr>
      <w:tr>
        <w:trPr>
          <w:cantSplit/>
        </w:trPr>
        <w:tc>
          <w:tcPr>
            <w:tcW w:type="dxa" w:w="2900"/>
            <w:tcMar>
              <w:top w:type="dxa" w:w="60"/>
              <w:left w:type="dxa" w:w="100"/>
              <w:bottom w:type="dxa" w:w="60"/>
              <w:right w:type="dxa" w:w="100"/>
            </w:tcMar>
            <w:vAlign w:val="top"/>
          </w:tcPr>
          <w:p>
            <w:r>
              <w:rPr>
                <w:sz w:val="16"/>
                <w:szCs w:val="16"/>
              </w:rPr>
              <w:t xml:space="preserve">Linear EIG of the area (published pipeline)</w:t>
            </w:r>
          </w:p>
        </w:tc>
        <w:tc>
          <w:tcPr>
            <w:tcW w:type="dxa" w:w="2700"/>
            <w:tcMar>
              <w:top w:type="dxa" w:w="60"/>
              <w:left w:type="dxa" w:w="100"/>
              <w:bottom w:type="dxa" w:w="60"/>
              <w:right w:type="dxa" w:w="100"/>
            </w:tcMar>
            <w:vAlign w:val="top"/>
          </w:tcPr>
          <w:p>
            <w:r>
              <w:rPr>
                <w:sz w:val="16"/>
                <w:szCs w:val="16"/>
              </w:rPr>
              <w:t xml:space="preserve">P4, P17, A3, A10, A28</w:t>
            </w:r>
          </w:p>
        </w:tc>
        <w:tc>
          <w:tcPr>
            <w:tcW w:type="dxa" w:w="1346"/>
            <w:tcMar>
              <w:top w:type="dxa" w:w="60"/>
              <w:left w:type="dxa" w:w="100"/>
              <w:bottom w:type="dxa" w:w="60"/>
              <w:right w:type="dxa" w:w="100"/>
            </w:tcMar>
            <w:vAlign w:val="top"/>
          </w:tcPr>
          <w:p>
            <w:r>
              <w:rPr>
                <w:sz w:val="16"/>
                <w:szCs w:val="16"/>
              </w:rPr>
              <w:t xml:space="preserve">69.0%</w:t>
            </w:r>
          </w:p>
        </w:tc>
        <w:tc>
          <w:tcPr>
            <w:tcW w:type="dxa" w:w="1346"/>
            <w:tcMar>
              <w:top w:type="dxa" w:w="60"/>
              <w:left w:type="dxa" w:w="100"/>
              <w:bottom w:type="dxa" w:w="60"/>
              <w:right w:type="dxa" w:w="100"/>
            </w:tcMar>
            <w:vAlign w:val="top"/>
          </w:tcPr>
          <w:p>
            <w:r>
              <w:rPr>
                <w:sz w:val="16"/>
                <w:szCs w:val="16"/>
              </w:rPr>
              <w:t xml:space="preserve">47.7%</w:t>
            </w:r>
          </w:p>
        </w:tc>
        <w:tc>
          <w:tcPr>
            <w:tcW w:type="dxa" w:w="1346"/>
            <w:tcMar>
              <w:top w:type="dxa" w:w="60"/>
              <w:left w:type="dxa" w:w="100"/>
              <w:bottom w:type="dxa" w:w="60"/>
              <w:right w:type="dxa" w:w="100"/>
            </w:tcMar>
            <w:vAlign w:val="top"/>
          </w:tcPr>
          <w:p>
            <w:r>
              <w:rPr>
                <w:sz w:val="16"/>
                <w:szCs w:val="16"/>
              </w:rPr>
              <w:t xml:space="preserve">96.4%</w:t>
            </w:r>
          </w:p>
        </w:tc>
      </w:tr>
      <w:tr>
        <w:trPr>
          <w:cantSplit/>
        </w:trPr>
        <w:tc>
          <w:tcPr>
            <w:tcW w:type="dxa" w:w="2900"/>
            <w:shd w:fill="F7F9FC" w:color="auto" w:val="clear"/>
            <w:tcMar>
              <w:top w:type="dxa" w:w="60"/>
              <w:left w:type="dxa" w:w="100"/>
              <w:bottom w:type="dxa" w:w="60"/>
              <w:right w:type="dxa" w:w="100"/>
            </w:tcMar>
            <w:vAlign w:val="top"/>
          </w:tcPr>
          <w:p>
            <w:r>
              <w:rPr>
                <w:sz w:val="16"/>
                <w:szCs w:val="16"/>
              </w:rPr>
              <w:t xml:space="preserve">Area, ensemble moments</w:t>
            </w:r>
          </w:p>
        </w:tc>
        <w:tc>
          <w:tcPr>
            <w:tcW w:type="dxa" w:w="2700"/>
            <w:shd w:fill="F7F9FC" w:color="auto" w:val="clear"/>
            <w:tcMar>
              <w:top w:type="dxa" w:w="60"/>
              <w:left w:type="dxa" w:w="100"/>
              <w:bottom w:type="dxa" w:w="60"/>
              <w:right w:type="dxa" w:w="100"/>
            </w:tcMar>
            <w:vAlign w:val="top"/>
          </w:tcPr>
          <w:p>
            <w:r>
              <w:rPr>
                <w:sz w:val="16"/>
                <w:szCs w:val="16"/>
              </w:rPr>
              <w:t xml:space="preserve">P4, A3, A10, A28, A30</w:t>
            </w:r>
          </w:p>
        </w:tc>
        <w:tc>
          <w:tcPr>
            <w:tcW w:type="dxa" w:w="1346"/>
            <w:shd w:fill="F7F9FC" w:color="auto" w:val="clear"/>
            <w:tcMar>
              <w:top w:type="dxa" w:w="60"/>
              <w:left w:type="dxa" w:w="100"/>
              <w:bottom w:type="dxa" w:w="60"/>
              <w:right w:type="dxa" w:w="100"/>
            </w:tcMar>
            <w:vAlign w:val="top"/>
          </w:tcPr>
          <w:p>
            <w:r>
              <w:rPr>
                <w:sz w:val="16"/>
                <w:szCs w:val="16"/>
              </w:rPr>
              <w:t xml:space="preserve">71.4%</w:t>
            </w:r>
          </w:p>
        </w:tc>
        <w:tc>
          <w:tcPr>
            <w:tcW w:type="dxa" w:w="1346"/>
            <w:shd w:fill="F7F9FC" w:color="auto" w:val="clear"/>
            <w:tcMar>
              <w:top w:type="dxa" w:w="60"/>
              <w:left w:type="dxa" w:w="100"/>
              <w:bottom w:type="dxa" w:w="60"/>
              <w:right w:type="dxa" w:w="100"/>
            </w:tcMar>
            <w:vAlign w:val="top"/>
          </w:tcPr>
          <w:p>
            <w:r>
              <w:rPr>
                <w:sz w:val="16"/>
                <w:szCs w:val="16"/>
              </w:rPr>
              <w:t xml:space="preserve">50.3%</w:t>
            </w:r>
          </w:p>
        </w:tc>
        <w:tc>
          <w:tcPr>
            <w:tcW w:type="dxa" w:w="1346"/>
            <w:shd w:fill="F7F9FC" w:color="auto" w:val="clear"/>
            <w:tcMar>
              <w:top w:type="dxa" w:w="60"/>
              <w:left w:type="dxa" w:w="100"/>
              <w:bottom w:type="dxa" w:w="60"/>
              <w:right w:type="dxa" w:w="100"/>
            </w:tcMar>
            <w:vAlign w:val="top"/>
          </w:tcPr>
          <w:p>
            <w:r>
              <w:rPr>
                <w:sz w:val="16"/>
                <w:szCs w:val="16"/>
              </w:rPr>
              <w:t xml:space="preserve">96.8%</w:t>
            </w:r>
          </w:p>
        </w:tc>
      </w:tr>
      <w:tr>
        <w:trPr>
          <w:cantSplit/>
        </w:trPr>
        <w:tc>
          <w:tcPr>
            <w:tcW w:type="dxa" w:w="2900"/>
            <w:tcMar>
              <w:top w:type="dxa" w:w="60"/>
              <w:left w:type="dxa" w:w="100"/>
              <w:bottom w:type="dxa" w:w="60"/>
              <w:right w:type="dxa" w:w="100"/>
            </w:tcMar>
            <w:vAlign w:val="top"/>
          </w:tcPr>
          <w:p>
            <w:r>
              <w:rPr>
                <w:sz w:val="16"/>
                <w:szCs w:val="16"/>
              </w:rPr>
              <w:t xml:space="preserve">Linear EIG of the head at A</w:t>
            </w:r>
          </w:p>
        </w:tc>
        <w:tc>
          <w:tcPr>
            <w:tcW w:type="dxa" w:w="2700"/>
            <w:tcMar>
              <w:top w:type="dxa" w:w="60"/>
              <w:left w:type="dxa" w:w="100"/>
              <w:bottom w:type="dxa" w:w="60"/>
              <w:right w:type="dxa" w:w="100"/>
            </w:tcMar>
            <w:vAlign w:val="top"/>
          </w:tcPr>
          <w:p>
            <w:r>
              <w:rPr>
                <w:sz w:val="16"/>
                <w:szCs w:val="16"/>
              </w:rPr>
              <w:t xml:space="preserve">P17, A3, A10, A23, A25</w:t>
            </w:r>
          </w:p>
        </w:tc>
        <w:tc>
          <w:tcPr>
            <w:tcW w:type="dxa" w:w="1346"/>
            <w:tcMar>
              <w:top w:type="dxa" w:w="60"/>
              <w:left w:type="dxa" w:w="100"/>
              <w:bottom w:type="dxa" w:w="60"/>
              <w:right w:type="dxa" w:w="100"/>
            </w:tcMar>
            <w:vAlign w:val="top"/>
          </w:tcPr>
          <w:p>
            <w:r>
              <w:rPr>
                <w:sz w:val="16"/>
                <w:szCs w:val="16"/>
              </w:rPr>
              <w:t xml:space="preserve">99.7%</w:t>
            </w:r>
          </w:p>
        </w:tc>
        <w:tc>
          <w:tcPr>
            <w:tcW w:type="dxa" w:w="1346"/>
            <w:tcMar>
              <w:top w:type="dxa" w:w="60"/>
              <w:left w:type="dxa" w:w="100"/>
              <w:bottom w:type="dxa" w:w="60"/>
              <w:right w:type="dxa" w:w="100"/>
            </w:tcMar>
            <w:vAlign w:val="top"/>
          </w:tcPr>
          <w:p>
            <w:r>
              <w:rPr>
                <w:sz w:val="16"/>
                <w:szCs w:val="16"/>
              </w:rPr>
              <w:t xml:space="preserve">99.6%</w:t>
            </w:r>
          </w:p>
        </w:tc>
        <w:tc>
          <w:tcPr>
            <w:tcW w:type="dxa" w:w="1346"/>
            <w:tcMar>
              <w:top w:type="dxa" w:w="60"/>
              <w:left w:type="dxa" w:w="100"/>
              <w:bottom w:type="dxa" w:w="60"/>
              <w:right w:type="dxa" w:w="100"/>
            </w:tcMar>
            <w:vAlign w:val="top"/>
          </w:tcPr>
          <w:p>
            <w:r>
              <w:rPr>
                <w:sz w:val="16"/>
                <w:szCs w:val="16"/>
              </w:rPr>
              <w:t xml:space="preserve">96.9%</w:t>
            </w:r>
          </w:p>
        </w:tc>
      </w:tr>
      <w:tr>
        <w:trPr>
          <w:cantSplit/>
        </w:trPr>
        <w:tc>
          <w:tcPr>
            <w:tcW w:type="dxa" w:w="2900"/>
            <w:shd w:fill="F7F9FC" w:color="auto" w:val="clear"/>
            <w:tcMar>
              <w:top w:type="dxa" w:w="60"/>
              <w:left w:type="dxa" w:w="100"/>
              <w:bottom w:type="dxa" w:w="60"/>
              <w:right w:type="dxa" w:w="100"/>
            </w:tcMar>
            <w:vAlign w:val="top"/>
          </w:tcPr>
          <w:p>
            <w:r>
              <w:rPr>
                <w:sz w:val="16"/>
                <w:szCs w:val="16"/>
              </w:rPr>
              <w:t xml:space="preserve">PRAG-GO, linear moments</w:t>
            </w:r>
          </w:p>
        </w:tc>
        <w:tc>
          <w:tcPr>
            <w:tcW w:type="dxa" w:w="2700"/>
            <w:shd w:fill="F7F9FC" w:color="auto" w:val="clear"/>
            <w:tcMar>
              <w:top w:type="dxa" w:w="60"/>
              <w:left w:type="dxa" w:w="100"/>
              <w:bottom w:type="dxa" w:w="60"/>
              <w:right w:type="dxa" w:w="100"/>
            </w:tcMar>
            <w:vAlign w:val="top"/>
          </w:tcPr>
          <w:p>
            <w:r>
              <w:rPr>
                <w:sz w:val="16"/>
                <w:szCs w:val="16"/>
              </w:rPr>
              <w:t xml:space="preserve">P17, A3, A10, A23, A25</w:t>
            </w:r>
          </w:p>
        </w:tc>
        <w:tc>
          <w:tcPr>
            <w:tcW w:type="dxa" w:w="1346"/>
            <w:shd w:fill="F7F9FC" w:color="auto" w:val="clear"/>
            <w:tcMar>
              <w:top w:type="dxa" w:w="60"/>
              <w:left w:type="dxa" w:w="100"/>
              <w:bottom w:type="dxa" w:w="60"/>
              <w:right w:type="dxa" w:w="100"/>
            </w:tcMar>
            <w:vAlign w:val="top"/>
          </w:tcPr>
          <w:p>
            <w:r>
              <w:rPr>
                <w:sz w:val="16"/>
                <w:szCs w:val="16"/>
              </w:rPr>
              <w:t xml:space="preserve">99.7%</w:t>
            </w:r>
          </w:p>
        </w:tc>
        <w:tc>
          <w:tcPr>
            <w:tcW w:type="dxa" w:w="1346"/>
            <w:shd w:fill="F7F9FC" w:color="auto" w:val="clear"/>
            <w:tcMar>
              <w:top w:type="dxa" w:w="60"/>
              <w:left w:type="dxa" w:w="100"/>
              <w:bottom w:type="dxa" w:w="60"/>
              <w:right w:type="dxa" w:w="100"/>
            </w:tcMar>
            <w:vAlign w:val="top"/>
          </w:tcPr>
          <w:p>
            <w:r>
              <w:rPr>
                <w:sz w:val="16"/>
                <w:szCs w:val="16"/>
              </w:rPr>
              <w:t xml:space="preserve">99.6%</w:t>
            </w:r>
          </w:p>
        </w:tc>
        <w:tc>
          <w:tcPr>
            <w:tcW w:type="dxa" w:w="1346"/>
            <w:shd w:fill="F7F9FC" w:color="auto" w:val="clear"/>
            <w:tcMar>
              <w:top w:type="dxa" w:w="60"/>
              <w:left w:type="dxa" w:w="100"/>
              <w:bottom w:type="dxa" w:w="60"/>
              <w:right w:type="dxa" w:w="100"/>
            </w:tcMar>
            <w:vAlign w:val="top"/>
          </w:tcPr>
          <w:p>
            <w:r>
              <w:rPr>
                <w:sz w:val="16"/>
                <w:szCs w:val="16"/>
              </w:rPr>
              <w:t xml:space="preserve">96.9%</w:t>
            </w:r>
          </w:p>
        </w:tc>
      </w:tr>
      <w:tr>
        <w:trPr>
          <w:cantSplit/>
        </w:trPr>
        <w:tc>
          <w:tcPr>
            <w:tcW w:type="dxa" w:w="2900"/>
            <w:tcMar>
              <w:top w:type="dxa" w:w="60"/>
              <w:left w:type="dxa" w:w="100"/>
              <w:bottom w:type="dxa" w:w="60"/>
              <w:right w:type="dxa" w:w="100"/>
            </w:tcMar>
            <w:vAlign w:val="top"/>
          </w:tcPr>
          <w:p>
            <w:r>
              <w:rPr>
                <w:sz w:val="16"/>
                <w:szCs w:val="16"/>
              </w:rPr>
              <w:t xml:space="preserve">PRAG-GO, normal scores</w:t>
            </w:r>
          </w:p>
        </w:tc>
        <w:tc>
          <w:tcPr>
            <w:tcW w:type="dxa" w:w="2700"/>
            <w:tcMar>
              <w:top w:type="dxa" w:w="60"/>
              <w:left w:type="dxa" w:w="100"/>
              <w:bottom w:type="dxa" w:w="60"/>
              <w:right w:type="dxa" w:w="100"/>
            </w:tcMar>
            <w:vAlign w:val="top"/>
          </w:tcPr>
          <w:p>
            <w:r>
              <w:rPr>
                <w:sz w:val="16"/>
                <w:szCs w:val="16"/>
              </w:rPr>
              <w:t xml:space="preserve">A3, A10, A23, A25, A30</w:t>
            </w:r>
          </w:p>
        </w:tc>
        <w:tc>
          <w:tcPr>
            <w:tcW w:type="dxa" w:w="1346"/>
            <w:tcMar>
              <w:top w:type="dxa" w:w="60"/>
              <w:left w:type="dxa" w:w="100"/>
              <w:bottom w:type="dxa" w:w="60"/>
              <w:right w:type="dxa" w:w="100"/>
            </w:tcMar>
            <w:vAlign w:val="top"/>
          </w:tcPr>
          <w:p>
            <w:r>
              <w:rPr>
                <w:sz w:val="16"/>
                <w:szCs w:val="16"/>
              </w:rPr>
              <w:t xml:space="preserve">98.9%</w:t>
            </w:r>
          </w:p>
        </w:tc>
        <w:tc>
          <w:tcPr>
            <w:tcW w:type="dxa" w:w="1346"/>
            <w:tcMar>
              <w:top w:type="dxa" w:w="60"/>
              <w:left w:type="dxa" w:w="100"/>
              <w:bottom w:type="dxa" w:w="60"/>
              <w:right w:type="dxa" w:w="100"/>
            </w:tcMar>
            <w:vAlign w:val="top"/>
          </w:tcPr>
          <w:p>
            <w:r>
              <w:rPr>
                <w:sz w:val="16"/>
                <w:szCs w:val="16"/>
              </w:rPr>
              <w:t xml:space="preserve">99.3%</w:t>
            </w:r>
          </w:p>
        </w:tc>
        <w:tc>
          <w:tcPr>
            <w:tcW w:type="dxa" w:w="1346"/>
            <w:tcMar>
              <w:top w:type="dxa" w:w="60"/>
              <w:left w:type="dxa" w:w="100"/>
              <w:bottom w:type="dxa" w:w="60"/>
              <w:right w:type="dxa" w:w="100"/>
            </w:tcMar>
            <w:vAlign w:val="top"/>
          </w:tcPr>
          <w:p>
            <w:r>
              <w:rPr>
                <w:sz w:val="16"/>
                <w:szCs w:val="16"/>
              </w:rPr>
              <w:t xml:space="preserve">97.7%</w:t>
            </w:r>
          </w:p>
        </w:tc>
      </w:tr>
    </w:tbl>
    <w:p>
      <w:pPr>
        <w:spacing w:after="160"/>
      </w:pPr>
    </w:p>
    <w:p>
      <w:pPr>
        <w:spacing w:after="120"/>
        <w:jc w:val="both"/>
      </w:pPr>
      <w:r>
        <w:t xml:space="preserve">The ordering of the three-well test carries over: the area design loses 31% of the information for A and 52% for "A or B", while PRAG-GO stays within 0.4 points of the best design.</w:t>
      </w:r>
    </w:p>
    <w:p>
      <w:pPr>
        <w:spacing w:after="120"/>
        <w:jc w:val="both"/>
      </w:pPr>
      <w:r>
        <w:rPr>
          <w:b/>
          <w:bCs/>
        </w:rPr>
        <w:t xml:space="preserve">The head at A also finds the optimum here.</w:t>
      </w:r>
      <w:r>
        <w:t xml:space="preserve"> In the first version the linear EIG of the head at A reached only 40% of the optimum for "A or B": A23 and R16 were 18 km apart, in different sectors, with a prior correlation of 0.18. Here the two pumped wells of the same field are strongly correlated (</w:t>
      </w:r>
      <m:oMath>
        <m:r>
          <m:t>r</m:t>
        </m:r>
        <m:r>
          <m:rPr>
            <m:sty m:val="p"/>
          </m:rPr>
          <m:t>=</m:t>
        </m:r>
        <m:r>
          <m:t>0.87</m:t>
        </m:r>
      </m:oMath>
      <w:r>
        <w:t xml:space="preserve"> at the prior mean), the event "A or B intruded" is close to linear in their heads, and the head criteria select the same designs as PRAG-GO. What decides the outcome in this setting is the target of the design, the supply wells or the intruded area, rather than the closed form of the threshold criterion. The closed form matters when the receptors are several and weakly dependent.</w:t>
      </w:r>
    </w:p>
    <w:p>
      <w:pPr>
        <w:spacing w:after="120"/>
        <w:jc w:val="both"/>
      </w:pPr>
      <w:r>
        <w:rPr>
          <w:b/>
          <w:bCs/>
        </w:rPr>
        <w:t xml:space="preserve">Robustness.</w:t>
      </w:r>
      <w:r>
        <w:t xml:space="preserve"> With the field cross-facies correlation </w:t>
      </w:r>
      <m:oMath>
        <m:sSub>
          <m:e>
            <m:r>
              <m:t>ρ</m:t>
            </m:r>
          </m:e>
          <m:sub>
            <m:r>
              <m:t>F</m:t>
            </m:r>
          </m:sub>
        </m:sSub>
        <m:r>
          <m:rPr>
            <m:sty m:val="p"/>
          </m:rPr>
          <m:t>=</m:t>
        </m:r>
        <m:r>
          <m:t>0.805</m:t>
        </m:r>
      </m:oMath>
      <w:r>
        <w:t xml:space="preserve"> (the project's Gate 3 estimate) the percentages change by a few points (12 000 realizations; % of the optimum):</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738"/>
        <w:gridCol w:w="1150"/>
        <w:gridCol w:w="1150"/>
        <w:gridCol w:w="1150"/>
        <w:gridCol w:w="1150"/>
        <w:gridCol w:w="1150"/>
        <w:gridCol w:w="1150"/>
      </w:tblGrid>
      <w:tr>
        <w:trPr>
          <w:cantSplit/>
          <w:tblHeader/>
        </w:trPr>
        <w:tc>
          <w:tcPr>
            <w:tcW w:type="dxa" w:w="2738"/>
            <w:shd w:fill="D97706" w:color="auto" w:val="clear"/>
            <w:tcMar>
              <w:top w:type="dxa" w:w="60"/>
              <w:left w:type="dxa" w:w="100"/>
              <w:bottom w:type="dxa" w:w="60"/>
              <w:right w:type="dxa" w:w="100"/>
            </w:tcMar>
            <w:vAlign w:val="top"/>
          </w:tcPr>
          <w:p>
            <w:r>
              <w:rPr>
                <w:b/>
                <w:bCs/>
                <w:color w:val="FFFFFF"/>
                <w:sz w:val="16"/>
                <w:szCs w:val="16"/>
              </w:rPr>
              <w:t xml:space="preserve">Criterion, ρF = 0.805</w:t>
            </w:r>
          </w:p>
        </w:tc>
        <w:tc>
          <w:tcPr>
            <w:tcW w:type="dxa" w:w="1150"/>
            <w:shd w:fill="D97706" w:color="auto" w:val="clear"/>
            <w:tcMar>
              <w:top w:type="dxa" w:w="60"/>
              <w:left w:type="dxa" w:w="100"/>
              <w:bottom w:type="dxa" w:w="60"/>
              <w:right w:type="dxa" w:w="100"/>
            </w:tcMar>
            <w:vAlign w:val="top"/>
          </w:tcPr>
          <w:p>
            <w:r>
              <w:rPr>
                <w:b/>
                <w:bCs/>
                <w:color w:val="FFFFFF"/>
                <w:sz w:val="16"/>
                <w:szCs w:val="16"/>
              </w:rPr>
              <w:t xml:space="preserve">3 wells: A</w:t>
            </w:r>
          </w:p>
        </w:tc>
        <w:tc>
          <w:tcPr>
            <w:tcW w:type="dxa" w:w="1150"/>
            <w:shd w:fill="D97706" w:color="auto" w:val="clear"/>
            <w:tcMar>
              <w:top w:type="dxa" w:w="60"/>
              <w:left w:type="dxa" w:w="100"/>
              <w:bottom w:type="dxa" w:w="60"/>
              <w:right w:type="dxa" w:w="100"/>
            </w:tcMar>
            <w:vAlign w:val="top"/>
          </w:tcPr>
          <w:p>
            <w:r>
              <w:rPr>
                <w:b/>
                <w:bCs/>
                <w:color w:val="FFFFFF"/>
                <w:sz w:val="16"/>
                <w:szCs w:val="16"/>
              </w:rPr>
              <w:t xml:space="preserve">A or B</w:t>
            </w:r>
          </w:p>
        </w:tc>
        <w:tc>
          <w:tcPr>
            <w:tcW w:type="dxa" w:w="1150"/>
            <w:shd w:fill="D97706" w:color="auto" w:val="clear"/>
            <w:tcMar>
              <w:top w:type="dxa" w:w="60"/>
              <w:left w:type="dxa" w:w="100"/>
              <w:bottom w:type="dxa" w:w="60"/>
              <w:right w:type="dxa" w:w="100"/>
            </w:tcMar>
            <w:vAlign w:val="top"/>
          </w:tcPr>
          <w:p>
            <w:r>
              <w:rPr>
                <w:b/>
                <w:bCs/>
                <w:color w:val="FFFFFF"/>
                <w:sz w:val="16"/>
                <w:szCs w:val="16"/>
              </w:rPr>
              <w:t xml:space="preserve">Area</w:t>
            </w:r>
          </w:p>
        </w:tc>
        <w:tc>
          <w:tcPr>
            <w:tcW w:type="dxa" w:w="1150"/>
            <w:shd w:fill="D97706" w:color="auto" w:val="clear"/>
            <w:tcMar>
              <w:top w:type="dxa" w:w="60"/>
              <w:left w:type="dxa" w:w="100"/>
              <w:bottom w:type="dxa" w:w="60"/>
              <w:right w:type="dxa" w:w="100"/>
            </w:tcMar>
            <w:vAlign w:val="top"/>
          </w:tcPr>
          <w:p>
            <w:r>
              <w:rPr>
                <w:b/>
                <w:bCs/>
                <w:color w:val="FFFFFF"/>
                <w:sz w:val="16"/>
                <w:szCs w:val="16"/>
              </w:rPr>
              <w:t xml:space="preserve">5 wells: A</w:t>
            </w:r>
          </w:p>
        </w:tc>
        <w:tc>
          <w:tcPr>
            <w:tcW w:type="dxa" w:w="1150"/>
            <w:shd w:fill="D97706" w:color="auto" w:val="clear"/>
            <w:tcMar>
              <w:top w:type="dxa" w:w="60"/>
              <w:left w:type="dxa" w:w="100"/>
              <w:bottom w:type="dxa" w:w="60"/>
              <w:right w:type="dxa" w:w="100"/>
            </w:tcMar>
            <w:vAlign w:val="top"/>
          </w:tcPr>
          <w:p>
            <w:r>
              <w:rPr>
                <w:b/>
                <w:bCs/>
                <w:color w:val="FFFFFF"/>
                <w:sz w:val="16"/>
                <w:szCs w:val="16"/>
              </w:rPr>
              <w:t xml:space="preserve">A or B</w:t>
            </w:r>
          </w:p>
        </w:tc>
        <w:tc>
          <w:tcPr>
            <w:tcW w:type="dxa" w:w="1150"/>
            <w:shd w:fill="D97706" w:color="auto" w:val="clear"/>
            <w:tcMar>
              <w:top w:type="dxa" w:w="60"/>
              <w:left w:type="dxa" w:w="100"/>
              <w:bottom w:type="dxa" w:w="60"/>
              <w:right w:type="dxa" w:w="100"/>
            </w:tcMar>
            <w:vAlign w:val="top"/>
          </w:tcPr>
          <w:p>
            <w:r>
              <w:rPr>
                <w:b/>
                <w:bCs/>
                <w:color w:val="FFFFFF"/>
                <w:sz w:val="16"/>
                <w:szCs w:val="16"/>
              </w:rPr>
              <w:t xml:space="preserve">Area</w:t>
            </w:r>
          </w:p>
        </w:tc>
      </w:tr>
      <w:tr>
        <w:trPr>
          <w:cantSplit/>
        </w:trPr>
        <w:tc>
          <w:tcPr>
            <w:tcW w:type="dxa" w:w="2738"/>
            <w:tcMar>
              <w:top w:type="dxa" w:w="60"/>
              <w:left w:type="dxa" w:w="100"/>
              <w:bottom w:type="dxa" w:w="60"/>
              <w:right w:type="dxa" w:w="100"/>
            </w:tcMar>
            <w:vAlign w:val="top"/>
          </w:tcPr>
          <w:p>
            <w:r>
              <w:rPr>
                <w:sz w:val="16"/>
                <w:szCs w:val="16"/>
              </w:rPr>
              <w:t xml:space="preserve">Linear EIG of the area (published pipeline)</w:t>
            </w:r>
          </w:p>
        </w:tc>
        <w:tc>
          <w:tcPr>
            <w:tcW w:type="dxa" w:w="1150"/>
            <w:tcMar>
              <w:top w:type="dxa" w:w="60"/>
              <w:left w:type="dxa" w:w="100"/>
              <w:bottom w:type="dxa" w:w="60"/>
              <w:right w:type="dxa" w:w="100"/>
            </w:tcMar>
            <w:vAlign w:val="top"/>
          </w:tcPr>
          <w:p>
            <w:r>
              <w:rPr>
                <w:sz w:val="16"/>
                <w:szCs w:val="16"/>
              </w:rPr>
              <w:t xml:space="preserve">76%</w:t>
            </w:r>
          </w:p>
        </w:tc>
        <w:tc>
          <w:tcPr>
            <w:tcW w:type="dxa" w:w="1150"/>
            <w:tcMar>
              <w:top w:type="dxa" w:w="60"/>
              <w:left w:type="dxa" w:w="100"/>
              <w:bottom w:type="dxa" w:w="60"/>
              <w:right w:type="dxa" w:w="100"/>
            </w:tcMar>
            <w:vAlign w:val="top"/>
          </w:tcPr>
          <w:p>
            <w:r>
              <w:rPr>
                <w:sz w:val="16"/>
                <w:szCs w:val="16"/>
              </w:rPr>
              <w:t xml:space="preserve">55%</w:t>
            </w:r>
          </w:p>
        </w:tc>
        <w:tc>
          <w:tcPr>
            <w:tcW w:type="dxa" w:w="1150"/>
            <w:tcMar>
              <w:top w:type="dxa" w:w="60"/>
              <w:left w:type="dxa" w:w="100"/>
              <w:bottom w:type="dxa" w:w="60"/>
              <w:right w:type="dxa" w:w="100"/>
            </w:tcMar>
            <w:vAlign w:val="top"/>
          </w:tcPr>
          <w:p>
            <w:r>
              <w:rPr>
                <w:sz w:val="16"/>
                <w:szCs w:val="16"/>
              </w:rPr>
              <w:t xml:space="preserve">99%</w:t>
            </w:r>
          </w:p>
        </w:tc>
        <w:tc>
          <w:tcPr>
            <w:tcW w:type="dxa" w:w="1150"/>
            <w:tcMar>
              <w:top w:type="dxa" w:w="60"/>
              <w:left w:type="dxa" w:w="100"/>
              <w:bottom w:type="dxa" w:w="60"/>
              <w:right w:type="dxa" w:w="100"/>
            </w:tcMar>
            <w:vAlign w:val="top"/>
          </w:tcPr>
          <w:p>
            <w:r>
              <w:rPr>
                <w:sz w:val="16"/>
                <w:szCs w:val="16"/>
              </w:rPr>
              <w:t xml:space="preserve">72%</w:t>
            </w:r>
          </w:p>
        </w:tc>
        <w:tc>
          <w:tcPr>
            <w:tcW w:type="dxa" w:w="1150"/>
            <w:tcMar>
              <w:top w:type="dxa" w:w="60"/>
              <w:left w:type="dxa" w:w="100"/>
              <w:bottom w:type="dxa" w:w="60"/>
              <w:right w:type="dxa" w:w="100"/>
            </w:tcMar>
            <w:vAlign w:val="top"/>
          </w:tcPr>
          <w:p>
            <w:r>
              <w:rPr>
                <w:sz w:val="16"/>
                <w:szCs w:val="16"/>
              </w:rPr>
              <w:t xml:space="preserve">50%</w:t>
            </w:r>
          </w:p>
        </w:tc>
        <w:tc>
          <w:tcPr>
            <w:tcW w:type="dxa" w:w="1150"/>
            <w:tcMar>
              <w:top w:type="dxa" w:w="60"/>
              <w:left w:type="dxa" w:w="100"/>
              <w:bottom w:type="dxa" w:w="60"/>
              <w:right w:type="dxa" w:w="100"/>
            </w:tcMar>
            <w:vAlign w:val="top"/>
          </w:tcPr>
          <w:p>
            <w:r>
              <w:rPr>
                <w:sz w:val="16"/>
                <w:szCs w:val="16"/>
              </w:rPr>
              <w:t xml:space="preserve">94%</w:t>
            </w:r>
          </w:p>
        </w:tc>
      </w:tr>
      <w:tr>
        <w:trPr>
          <w:cantSplit/>
        </w:trPr>
        <w:tc>
          <w:tcPr>
            <w:tcW w:type="dxa" w:w="2738"/>
            <w:shd w:fill="F7F9FC" w:color="auto" w:val="clear"/>
            <w:tcMar>
              <w:top w:type="dxa" w:w="60"/>
              <w:left w:type="dxa" w:w="100"/>
              <w:bottom w:type="dxa" w:w="60"/>
              <w:right w:type="dxa" w:w="100"/>
            </w:tcMar>
            <w:vAlign w:val="top"/>
          </w:tcPr>
          <w:p>
            <w:r>
              <w:rPr>
                <w:sz w:val="16"/>
                <w:szCs w:val="16"/>
              </w:rPr>
              <w:t xml:space="preserve">Linear EIG of the head at A</w:t>
            </w:r>
          </w:p>
        </w:tc>
        <w:tc>
          <w:tcPr>
            <w:tcW w:type="dxa" w:w="1150"/>
            <w:shd w:fill="F7F9FC" w:color="auto" w:val="clear"/>
            <w:tcMar>
              <w:top w:type="dxa" w:w="60"/>
              <w:left w:type="dxa" w:w="100"/>
              <w:bottom w:type="dxa" w:w="60"/>
              <w:right w:type="dxa" w:w="100"/>
            </w:tcMar>
            <w:vAlign w:val="top"/>
          </w:tcPr>
          <w:p>
            <w:r>
              <w:rPr>
                <w:sz w:val="16"/>
                <w:szCs w:val="16"/>
              </w:rPr>
              <w:t xml:space="preserve">100%</w:t>
            </w:r>
          </w:p>
        </w:tc>
        <w:tc>
          <w:tcPr>
            <w:tcW w:type="dxa" w:w="1150"/>
            <w:shd w:fill="F7F9FC" w:color="auto" w:val="clear"/>
            <w:tcMar>
              <w:top w:type="dxa" w:w="60"/>
              <w:left w:type="dxa" w:w="100"/>
              <w:bottom w:type="dxa" w:w="60"/>
              <w:right w:type="dxa" w:w="100"/>
            </w:tcMar>
            <w:vAlign w:val="top"/>
          </w:tcPr>
          <w:p>
            <w:r>
              <w:rPr>
                <w:sz w:val="16"/>
                <w:szCs w:val="16"/>
              </w:rPr>
              <w:t xml:space="preserve">100%</w:t>
            </w:r>
          </w:p>
        </w:tc>
        <w:tc>
          <w:tcPr>
            <w:tcW w:type="dxa" w:w="1150"/>
            <w:shd w:fill="F7F9FC" w:color="auto" w:val="clear"/>
            <w:tcMar>
              <w:top w:type="dxa" w:w="60"/>
              <w:left w:type="dxa" w:w="100"/>
              <w:bottom w:type="dxa" w:w="60"/>
              <w:right w:type="dxa" w:w="100"/>
            </w:tcMar>
            <w:vAlign w:val="top"/>
          </w:tcPr>
          <w:p>
            <w:r>
              <w:rPr>
                <w:sz w:val="16"/>
                <w:szCs w:val="16"/>
              </w:rPr>
              <w:t xml:space="preserve">99%</w:t>
            </w:r>
          </w:p>
        </w:tc>
        <w:tc>
          <w:tcPr>
            <w:tcW w:type="dxa" w:w="1150"/>
            <w:shd w:fill="F7F9FC" w:color="auto" w:val="clear"/>
            <w:tcMar>
              <w:top w:type="dxa" w:w="60"/>
              <w:left w:type="dxa" w:w="100"/>
              <w:bottom w:type="dxa" w:w="60"/>
              <w:right w:type="dxa" w:w="100"/>
            </w:tcMar>
            <w:vAlign w:val="top"/>
          </w:tcPr>
          <w:p>
            <w:r>
              <w:rPr>
                <w:sz w:val="16"/>
                <w:szCs w:val="16"/>
              </w:rPr>
              <w:t xml:space="preserve">98%</w:t>
            </w:r>
          </w:p>
        </w:tc>
        <w:tc>
          <w:tcPr>
            <w:tcW w:type="dxa" w:w="1150"/>
            <w:shd w:fill="F7F9FC" w:color="auto" w:val="clear"/>
            <w:tcMar>
              <w:top w:type="dxa" w:w="60"/>
              <w:left w:type="dxa" w:w="100"/>
              <w:bottom w:type="dxa" w:w="60"/>
              <w:right w:type="dxa" w:w="100"/>
            </w:tcMar>
            <w:vAlign w:val="top"/>
          </w:tcPr>
          <w:p>
            <w:r>
              <w:rPr>
                <w:sz w:val="16"/>
                <w:szCs w:val="16"/>
              </w:rPr>
              <w:t xml:space="preserve">98%</w:t>
            </w:r>
          </w:p>
        </w:tc>
        <w:tc>
          <w:tcPr>
            <w:tcW w:type="dxa" w:w="1150"/>
            <w:shd w:fill="F7F9FC" w:color="auto" w:val="clear"/>
            <w:tcMar>
              <w:top w:type="dxa" w:w="60"/>
              <w:left w:type="dxa" w:w="100"/>
              <w:bottom w:type="dxa" w:w="60"/>
              <w:right w:type="dxa" w:w="100"/>
            </w:tcMar>
            <w:vAlign w:val="top"/>
          </w:tcPr>
          <w:p>
            <w:r>
              <w:rPr>
                <w:sz w:val="16"/>
                <w:szCs w:val="16"/>
              </w:rPr>
              <w:t xml:space="preserve">96%</w:t>
            </w:r>
          </w:p>
        </w:tc>
      </w:tr>
      <w:tr>
        <w:trPr>
          <w:cantSplit/>
        </w:trPr>
        <w:tc>
          <w:tcPr>
            <w:tcW w:type="dxa" w:w="2738"/>
            <w:tcMar>
              <w:top w:type="dxa" w:w="60"/>
              <w:left w:type="dxa" w:w="100"/>
              <w:bottom w:type="dxa" w:w="60"/>
              <w:right w:type="dxa" w:w="100"/>
            </w:tcMar>
            <w:vAlign w:val="top"/>
          </w:tcPr>
          <w:p>
            <w:r>
              <w:rPr>
                <w:sz w:val="16"/>
                <w:szCs w:val="16"/>
              </w:rPr>
              <w:t xml:space="preserve">PRAG-GO, linear moments</w:t>
            </w:r>
          </w:p>
        </w:tc>
        <w:tc>
          <w:tcPr>
            <w:tcW w:type="dxa" w:w="1150"/>
            <w:tcMar>
              <w:top w:type="dxa" w:w="60"/>
              <w:left w:type="dxa" w:w="100"/>
              <w:bottom w:type="dxa" w:w="60"/>
              <w:right w:type="dxa" w:w="100"/>
            </w:tcMar>
            <w:vAlign w:val="top"/>
          </w:tcPr>
          <w:p>
            <w:r>
              <w:rPr>
                <w:sz w:val="16"/>
                <w:szCs w:val="16"/>
              </w:rPr>
              <w:t xml:space="preserve">100%</w:t>
            </w:r>
          </w:p>
        </w:tc>
        <w:tc>
          <w:tcPr>
            <w:tcW w:type="dxa" w:w="1150"/>
            <w:tcMar>
              <w:top w:type="dxa" w:w="60"/>
              <w:left w:type="dxa" w:w="100"/>
              <w:bottom w:type="dxa" w:w="60"/>
              <w:right w:type="dxa" w:w="100"/>
            </w:tcMar>
            <w:vAlign w:val="top"/>
          </w:tcPr>
          <w:p>
            <w:r>
              <w:rPr>
                <w:sz w:val="16"/>
                <w:szCs w:val="16"/>
              </w:rPr>
              <w:t xml:space="preserve">100%</w:t>
            </w:r>
          </w:p>
        </w:tc>
        <w:tc>
          <w:tcPr>
            <w:tcW w:type="dxa" w:w="1150"/>
            <w:tcMar>
              <w:top w:type="dxa" w:w="60"/>
              <w:left w:type="dxa" w:w="100"/>
              <w:bottom w:type="dxa" w:w="60"/>
              <w:right w:type="dxa" w:w="100"/>
            </w:tcMar>
            <w:vAlign w:val="top"/>
          </w:tcPr>
          <w:p>
            <w:r>
              <w:rPr>
                <w:sz w:val="16"/>
                <w:szCs w:val="16"/>
              </w:rPr>
              <w:t xml:space="preserve">99%</w:t>
            </w:r>
          </w:p>
        </w:tc>
        <w:tc>
          <w:tcPr>
            <w:tcW w:type="dxa" w:w="1150"/>
            <w:tcMar>
              <w:top w:type="dxa" w:w="60"/>
              <w:left w:type="dxa" w:w="100"/>
              <w:bottom w:type="dxa" w:w="60"/>
              <w:right w:type="dxa" w:w="100"/>
            </w:tcMar>
            <w:vAlign w:val="top"/>
          </w:tcPr>
          <w:p>
            <w:r>
              <w:rPr>
                <w:sz w:val="16"/>
                <w:szCs w:val="16"/>
              </w:rPr>
              <w:t xml:space="preserve">98%</w:t>
            </w:r>
          </w:p>
        </w:tc>
        <w:tc>
          <w:tcPr>
            <w:tcW w:type="dxa" w:w="1150"/>
            <w:tcMar>
              <w:top w:type="dxa" w:w="60"/>
              <w:left w:type="dxa" w:w="100"/>
              <w:bottom w:type="dxa" w:w="60"/>
              <w:right w:type="dxa" w:w="100"/>
            </w:tcMar>
            <w:vAlign w:val="top"/>
          </w:tcPr>
          <w:p>
            <w:r>
              <w:rPr>
                <w:sz w:val="16"/>
                <w:szCs w:val="16"/>
              </w:rPr>
              <w:t xml:space="preserve">98%</w:t>
            </w:r>
          </w:p>
        </w:tc>
        <w:tc>
          <w:tcPr>
            <w:tcW w:type="dxa" w:w="1150"/>
            <w:tcMar>
              <w:top w:type="dxa" w:w="60"/>
              <w:left w:type="dxa" w:w="100"/>
              <w:bottom w:type="dxa" w:w="60"/>
              <w:right w:type="dxa" w:w="100"/>
            </w:tcMar>
            <w:vAlign w:val="top"/>
          </w:tcPr>
          <w:p>
            <w:r>
              <w:rPr>
                <w:sz w:val="16"/>
                <w:szCs w:val="16"/>
              </w:rPr>
              <w:t xml:space="preserve">96%</w:t>
            </w:r>
          </w:p>
        </w:tc>
      </w:tr>
      <w:tr>
        <w:trPr>
          <w:cantSplit/>
        </w:trPr>
        <w:tc>
          <w:tcPr>
            <w:tcW w:type="dxa" w:w="2738"/>
            <w:shd w:fill="F7F9FC" w:color="auto" w:val="clear"/>
            <w:tcMar>
              <w:top w:type="dxa" w:w="60"/>
              <w:left w:type="dxa" w:w="100"/>
              <w:bottom w:type="dxa" w:w="60"/>
              <w:right w:type="dxa" w:w="100"/>
            </w:tcMar>
            <w:vAlign w:val="top"/>
          </w:tcPr>
          <w:p>
            <w:r>
              <w:rPr>
                <w:sz w:val="16"/>
                <w:szCs w:val="16"/>
              </w:rPr>
              <w:t xml:space="preserve">PRAG-GO, normal scores</w:t>
            </w:r>
          </w:p>
        </w:tc>
        <w:tc>
          <w:tcPr>
            <w:tcW w:type="dxa" w:w="1150"/>
            <w:shd w:fill="F7F9FC" w:color="auto" w:val="clear"/>
            <w:tcMar>
              <w:top w:type="dxa" w:w="60"/>
              <w:left w:type="dxa" w:w="100"/>
              <w:bottom w:type="dxa" w:w="60"/>
              <w:right w:type="dxa" w:w="100"/>
            </w:tcMar>
            <w:vAlign w:val="top"/>
          </w:tcPr>
          <w:p>
            <w:r>
              <w:rPr>
                <w:sz w:val="16"/>
                <w:szCs w:val="16"/>
              </w:rPr>
              <w:t xml:space="preserve">100%</w:t>
            </w:r>
          </w:p>
        </w:tc>
        <w:tc>
          <w:tcPr>
            <w:tcW w:type="dxa" w:w="1150"/>
            <w:shd w:fill="F7F9FC" w:color="auto" w:val="clear"/>
            <w:tcMar>
              <w:top w:type="dxa" w:w="60"/>
              <w:left w:type="dxa" w:w="100"/>
              <w:bottom w:type="dxa" w:w="60"/>
              <w:right w:type="dxa" w:w="100"/>
            </w:tcMar>
            <w:vAlign w:val="top"/>
          </w:tcPr>
          <w:p>
            <w:r>
              <w:rPr>
                <w:sz w:val="16"/>
                <w:szCs w:val="16"/>
              </w:rPr>
              <w:t xml:space="preserve">100%</w:t>
            </w:r>
          </w:p>
        </w:tc>
        <w:tc>
          <w:tcPr>
            <w:tcW w:type="dxa" w:w="1150"/>
            <w:shd w:fill="F7F9FC" w:color="auto" w:val="clear"/>
            <w:tcMar>
              <w:top w:type="dxa" w:w="60"/>
              <w:left w:type="dxa" w:w="100"/>
              <w:bottom w:type="dxa" w:w="60"/>
              <w:right w:type="dxa" w:w="100"/>
            </w:tcMar>
            <w:vAlign w:val="top"/>
          </w:tcPr>
          <w:p>
            <w:r>
              <w:rPr>
                <w:sz w:val="16"/>
                <w:szCs w:val="16"/>
              </w:rPr>
              <w:t xml:space="preserve">99%</w:t>
            </w:r>
          </w:p>
        </w:tc>
        <w:tc>
          <w:tcPr>
            <w:tcW w:type="dxa" w:w="1150"/>
            <w:shd w:fill="F7F9FC" w:color="auto" w:val="clear"/>
            <w:tcMar>
              <w:top w:type="dxa" w:w="60"/>
              <w:left w:type="dxa" w:w="100"/>
              <w:bottom w:type="dxa" w:w="60"/>
              <w:right w:type="dxa" w:w="100"/>
            </w:tcMar>
            <w:vAlign w:val="top"/>
          </w:tcPr>
          <w:p>
            <w:r>
              <w:rPr>
                <w:sz w:val="16"/>
                <w:szCs w:val="16"/>
              </w:rPr>
              <w:t xml:space="preserve">97%</w:t>
            </w:r>
          </w:p>
        </w:tc>
        <w:tc>
          <w:tcPr>
            <w:tcW w:type="dxa" w:w="1150"/>
            <w:shd w:fill="F7F9FC" w:color="auto" w:val="clear"/>
            <w:tcMar>
              <w:top w:type="dxa" w:w="60"/>
              <w:left w:type="dxa" w:w="100"/>
              <w:bottom w:type="dxa" w:w="60"/>
              <w:right w:type="dxa" w:w="100"/>
            </w:tcMar>
            <w:vAlign w:val="top"/>
          </w:tcPr>
          <w:p>
            <w:r>
              <w:rPr>
                <w:sz w:val="16"/>
                <w:szCs w:val="16"/>
              </w:rPr>
              <w:t xml:space="preserve">97%</w:t>
            </w:r>
          </w:p>
        </w:tc>
        <w:tc>
          <w:tcPr>
            <w:tcW w:type="dxa" w:w="1150"/>
            <w:shd w:fill="F7F9FC" w:color="auto" w:val="clear"/>
            <w:tcMar>
              <w:top w:type="dxa" w:w="60"/>
              <w:left w:type="dxa" w:w="100"/>
              <w:bottom w:type="dxa" w:w="60"/>
              <w:right w:type="dxa" w:w="100"/>
            </w:tcMar>
            <w:vAlign w:val="top"/>
          </w:tcPr>
          <w:p>
            <w:r>
              <w:rPr>
                <w:sz w:val="16"/>
                <w:szCs w:val="16"/>
              </w:rPr>
              <w:t xml:space="preserve">97%</w:t>
            </w:r>
          </w:p>
        </w:tc>
      </w:tr>
    </w:tbl>
    <w:p>
      <w:pPr>
        <w:spacing w:after="160"/>
      </w:pPr>
    </w:p>
    <w:p>
      <w:pPr>
        <w:spacing w:after="120"/>
        <w:jc w:val="both"/>
      </w:pPr>
      <w:r>
        <w:t xml:space="preserve">The same results are reproduced in MATLAB by chloride_fk/matlab/fkcl_prag_go.m from the same prior draws and noise; the largest difference from the Python run is </w:t>
      </w:r>
      <m:oMath>
        <m:r>
          <m:t>4.4</m:t>
        </m:r>
        <m:r>
          <m:rPr>
            <m:sty m:val="p"/>
          </m:rPr>
          <m:t>⋅</m:t>
        </m:r>
        <m:sSup>
          <m:e>
            <m:r>
              <m:t>10</m:t>
            </m:r>
          </m:e>
          <m:sup>
            <m:r>
              <m:rPr>
                <m:sty m:val="p"/>
              </m:rPr>
              <m:t>−</m:t>
            </m:r>
            <m:r>
              <m:t>6</m:t>
            </m:r>
          </m:sup>
        </m:sSup>
      </m:oMath>
      <w:r>
        <w:t xml:space="preserve"> nats, from single-precision sums.</w:t>
      </w:r>
    </w:p>
    <w:p>
      <w:pPr>
        <w:spacing w:after="240"/>
      </w:pPr>
    </w:p>
    <w:p>
      <w:pPr>
        <w:pStyle w:val="Heading1"/>
      </w:pPr>
      <w:r>
        <w:rPr>
          <w:color w:val="1F3864"/>
        </w:rPr>
        <w:t xml:space="preserve">5. Results: recharge siting (PRAG-MAR)</w:t>
      </w:r>
    </w:p>
    <w:p>
      <w:pPr>
        <w:spacing w:after="120"/>
        <w:jc w:val="both"/>
      </w:pPr>
      <w:r>
        <w:t xml:space="preserve">The project selects three MAR sites with the area adjoint: the cells where one m³/day of recharge reduces the intruded area the most. When the purpose of recharge is to protect the supply wells, the objective should be their intrusion probability. For fixed conductivity the head is linear in a point source </w:t>
      </w:r>
      <m:oMath>
        <m:r>
          <m:t>Q</m:t>
        </m:r>
      </m:oMath>
      <w:r>
        <w:t xml:space="preserve"> in cell </w:t>
      </w:r>
      <m:oMath>
        <m:r>
          <m:t>k</m:t>
        </m:r>
      </m:oMath>
      <w:r>
        <w:t xml:space="preserve">:</w:t>
      </w:r>
    </w:p>
    <w:p>
      <w:pPr>
        <w:pStyle w:val="Equation"/>
      </w:pPr>
      <m:oMathPara>
        <m:oMathParaPr>
          <m:jc m:val="center"/>
        </m:oMathParaPr>
        <m:oMath>
          <m:r>
            <m:t>h</m:t>
          </m:r>
          <m:d>
            <m:dPr>
              <m:begChr m:val="("/>
              <m:sepChr m:val=""/>
              <m:endChr m:val=")"/>
              <m:grow/>
            </m:dPr>
            <m:e>
              <m:r>
                <m:t>θ</m:t>
              </m:r>
              <m:r>
                <m:rPr>
                  <m:sty m:val="p"/>
                </m:rPr>
                <m:t>,</m:t>
              </m:r>
              <m:r>
                <m:t>Q</m:t>
              </m:r>
            </m:e>
          </m:d>
          <m:r>
            <m:rPr>
              <m:sty m:val="p"/>
            </m:rPr>
            <m:t>=</m:t>
          </m:r>
          <m:r>
            <m:t>h</m:t>
          </m:r>
          <m:d>
            <m:dPr>
              <m:begChr m:val="("/>
              <m:sepChr m:val=""/>
              <m:endChr m:val=")"/>
              <m:grow/>
            </m:dPr>
            <m:e>
              <m:r>
                <m:t>θ</m:t>
              </m:r>
            </m:e>
          </m:d>
          <m:r>
            <m:rPr>
              <m:sty m:val="p"/>
            </m:rPr>
            <m:t>+</m:t>
          </m:r>
          <m:r>
            <m:t>Q</m:t>
          </m:r>
          <m:r>
            <m:t> </m:t>
          </m:r>
          <m:sSub>
            <m:e>
              <m:r>
                <m:t>g</m:t>
              </m:r>
            </m:e>
            <m:sub>
              <m:r>
                <m:t>k</m:t>
              </m:r>
            </m:sub>
          </m:sSub>
          <m:d>
            <m:dPr>
              <m:begChr m:val="("/>
              <m:sepChr m:val=""/>
              <m:endChr m:val=")"/>
              <m:grow/>
            </m:dPr>
            <m:e>
              <m:r>
                <m:t>θ</m:t>
              </m:r>
            </m:e>
          </m:d>
          <m:r>
            <m:rPr>
              <m:sty m:val="p"/>
            </m:rPr>
            <m:t>,</m:t>
          </m:r>
          <m:r>
            <m:t>  </m:t>
          </m:r>
          <m:sSub>
            <m:e>
              <m:r>
                <m:t>g</m:t>
              </m:r>
            </m:e>
            <m:sub>
              <m:r>
                <m:t>A</m:t>
              </m:r>
            </m:sub>
          </m:sSub>
          <m:r>
            <m:rPr>
              <m:sty m:val="p"/>
            </m:rPr>
            <m:t>=</m:t>
          </m:r>
          <m:sSubSup>
            <m:e>
              <m:r>
                <m:t>A</m:t>
              </m:r>
            </m:e>
            <m:sub>
              <m:r>
                <m:t>θ</m:t>
              </m:r>
            </m:sub>
            <m:sup>
              <m:r>
                <m:rPr>
                  <m:sty m:val="p"/>
                </m:rPr>
                <m:t>−</m:t>
              </m:r>
              <m:r>
                <m:rPr>
                  <m:sty m:val="p"/>
                </m:rPr>
                <m:t>T</m:t>
              </m:r>
            </m:sup>
          </m:sSubSup>
          <m:sSub>
            <m:e>
              <m:r>
                <m:t>e</m:t>
              </m:r>
            </m:e>
            <m:sub>
              <m:r>
                <m:t>A</m:t>
              </m:r>
            </m:sub>
          </m:sSub>
        </m:oMath>
      </m:oMathPara>
    </w:p>
    <w:p>
      <w:pPr>
        <w:spacing w:after="120"/>
        <w:jc w:val="both"/>
      </w:pPr>
      <w:r>
        <w:t xml:space="preserve">One transposed solve per supply well gives the effect of recharge in every cell at once. With the linear moments of </w:t>
      </w:r>
      <m:oMath>
        <m:sSub>
          <m:e>
            <m:r>
              <m:t>h</m:t>
            </m:r>
          </m:e>
          <m:sub>
            <m:r>
              <m:t>A</m:t>
            </m:r>
          </m:sub>
        </m:sSub>
      </m:oMath>
      <w:r>
        <w:t xml:space="preserve"> and </w:t>
      </w:r>
      <m:oMath>
        <m:sSub>
          <m:e>
            <m:r>
              <m:t>h</m:t>
            </m:r>
          </m:e>
          <m:sub>
            <m:r>
              <m:t>B</m:t>
            </m:r>
          </m:sub>
        </m:sSub>
      </m:oMath>
      <w:r>
        <w:t xml:space="preserve">, the probability that either well is intruded is </w:t>
      </w:r>
      <m:oMath>
        <m:sSub>
          <m:e>
            <m:r>
              <m:t>P</m:t>
            </m:r>
          </m:e>
          <m:sub>
            <m:r>
              <m:t>A</m:t>
            </m:r>
            <m:r>
              <m:t>B</m:t>
            </m:r>
          </m:sub>
        </m:sSub>
        <m:r>
          <m:rPr>
            <m:sty m:val="p"/>
          </m:rPr>
          <m:t>=</m:t>
        </m:r>
        <m:r>
          <m:t>1</m:t>
        </m:r>
        <m:r>
          <m:rPr>
            <m:sty m:val="p"/>
          </m:rPr>
          <m:t>−</m:t>
        </m:r>
        <m:sSub>
          <m:e>
            <m:r>
              <m:t>Φ</m:t>
            </m:r>
          </m:e>
          <m:sub>
            <m:r>
              <m:t>2</m:t>
            </m:r>
          </m:sub>
        </m:sSub>
        <m:d>
          <m:dPr>
            <m:begChr m:val="("/>
            <m:sepChr m:val=""/>
            <m:endChr m:val=")"/>
            <m:grow/>
          </m:dPr>
          <m:e>
            <m:r>
              <m:t>a</m:t>
            </m:r>
            <m:r>
              <m:rPr>
                <m:sty m:val="p"/>
              </m:rPr>
              <m:t>,</m:t>
            </m:r>
            <m:r>
              <m:t>b</m:t>
            </m:r>
            <m:r>
              <m:rPr>
                <m:sty m:val="p"/>
              </m:rPr>
              <m:t>;</m:t>
            </m:r>
            <m:r>
              <m:t>r</m:t>
            </m:r>
          </m:e>
        </m:d>
      </m:oMath>
      <w:r>
        <w:t xml:space="preserve">, with </w:t>
      </w:r>
      <m:oMath>
        <m:r>
          <m:t>a</m:t>
        </m:r>
        <m:r>
          <m:rPr>
            <m:sty m:val="p"/>
          </m:rPr>
          <m:t>=</m:t>
        </m:r>
        <m:d>
          <m:dPr>
            <m:begChr m:val="("/>
            <m:sepChr m:val=""/>
            <m:endChr m:val=")"/>
            <m:grow/>
          </m:dPr>
          <m:e>
            <m:sSub>
              <m:e>
                <m:r>
                  <m:t>μ</m:t>
                </m:r>
              </m:e>
              <m:sub>
                <m:r>
                  <m:t>A</m:t>
                </m:r>
              </m:sub>
            </m:sSub>
            <m:r>
              <m:rPr>
                <m:sty m:val="p"/>
              </m:rPr>
              <m:t>−</m:t>
            </m:r>
            <m:sSub>
              <m:e>
                <m:r>
                  <m:t>h</m:t>
                </m:r>
              </m:e>
              <m:sub>
                <m:r>
                  <m:t>c</m:t>
                </m:r>
              </m:sub>
            </m:sSub>
          </m:e>
        </m:d>
        <m:r>
          <m:rPr>
            <m:sty m:val="p"/>
          </m:rPr>
          <m:t>/</m:t>
        </m:r>
        <m:sSub>
          <m:e>
            <m:r>
              <m:t>s</m:t>
            </m:r>
          </m:e>
          <m:sub>
            <m:r>
              <m:t>A</m:t>
            </m:r>
          </m:sub>
        </m:sSub>
      </m:oMath>
      <w:r>
        <w:t xml:space="preserve"> and </w:t>
      </w:r>
      <m:oMath>
        <m:r>
          <m:t>b</m:t>
        </m:r>
        <m:r>
          <m:rPr>
            <m:sty m:val="p"/>
          </m:rPr>
          <m:t>=</m:t>
        </m:r>
        <m:d>
          <m:dPr>
            <m:begChr m:val="("/>
            <m:sepChr m:val=""/>
            <m:endChr m:val=")"/>
            <m:grow/>
          </m:dPr>
          <m:e>
            <m:sSub>
              <m:e>
                <m:r>
                  <m:t>μ</m:t>
                </m:r>
              </m:e>
              <m:sub>
                <m:r>
                  <m:t>B</m:t>
                </m:r>
              </m:sub>
            </m:sSub>
            <m:r>
              <m:rPr>
                <m:sty m:val="p"/>
              </m:rPr>
              <m:t>−</m:t>
            </m:r>
            <m:sSub>
              <m:e>
                <m:r>
                  <m:t>h</m:t>
                </m:r>
              </m:e>
              <m:sub>
                <m:r>
                  <m:t>c</m:t>
                </m:r>
              </m:sub>
            </m:sSub>
          </m:e>
        </m:d>
        <m:r>
          <m:rPr>
            <m:sty m:val="p"/>
          </m:rPr>
          <m:t>/</m:t>
        </m:r>
        <m:sSub>
          <m:e>
            <m:r>
              <m:t>s</m:t>
            </m:r>
          </m:e>
          <m:sub>
            <m:r>
              <m:t>B</m:t>
            </m:r>
          </m:sub>
        </m:sSub>
      </m:oMath>
      <w:r>
        <w:t xml:space="preserve">, and its gradient has a closed form:</w:t>
      </w:r>
    </w:p>
    <w:p>
      <w:pPr>
        <w:pStyle w:val="Equation"/>
      </w:pPr>
      <m:oMathPara>
        <m:oMathParaPr>
          <m:jc m:val="center"/>
        </m:oMathParaPr>
        <m:oMath>
          <m:r>
            <m:rPr>
              <m:sty m:val="p"/>
            </m:rPr>
            <m:t>−</m:t>
          </m:r>
          <m:f>
            <m:fPr>
              <m:type m:val="bar"/>
            </m:fPr>
            <m:num>
              <m:r>
                <m:rPr>
                  <m:sty m:val="p"/>
                </m:rPr>
                <m:t>∂</m:t>
              </m:r>
              <m:sSub>
                <m:e>
                  <m:r>
                    <m:t>P</m:t>
                  </m:r>
                </m:e>
                <m:sub>
                  <m:r>
                    <m:t>A</m:t>
                  </m:r>
                  <m:r>
                    <m:t>B</m:t>
                  </m:r>
                </m:sub>
              </m:sSub>
            </m:num>
            <m:den>
              <m:r>
                <m:rPr>
                  <m:sty m:val="p"/>
                </m:rPr>
                <m:t>∂</m:t>
              </m:r>
              <m:sSub>
                <m:e>
                  <m:r>
                    <m:t>Q</m:t>
                  </m:r>
                </m:e>
                <m:sub>
                  <m:r>
                    <m:t>k</m:t>
                  </m:r>
                </m:sub>
              </m:sSub>
            </m:den>
          </m:f>
          <m:r>
            <m:rPr>
              <m:sty m:val="p"/>
            </m:rPr>
            <m:t>=</m:t>
          </m:r>
          <m:f>
            <m:fPr>
              <m:type m:val="bar"/>
            </m:fPr>
            <m:num>
              <m:r>
                <m:t>φ</m:t>
              </m:r>
              <m:d>
                <m:dPr>
                  <m:begChr m:val="("/>
                  <m:sepChr m:val=""/>
                  <m:endChr m:val=")"/>
                  <m:grow/>
                </m:dPr>
                <m:e>
                  <m:r>
                    <m:t>a</m:t>
                  </m:r>
                </m:e>
              </m:d>
            </m:num>
            <m:den>
              <m:sSub>
                <m:e>
                  <m:r>
                    <m:t>s</m:t>
                  </m:r>
                </m:e>
                <m:sub>
                  <m:r>
                    <m:t>A</m:t>
                  </m:r>
                </m:sub>
              </m:sSub>
            </m:den>
          </m:f>
          <m:r>
            <m:t>Φ</m:t>
          </m:r>
          <m:d>
            <m:dPr>
              <m:begChr m:val="("/>
              <m:sepChr m:val=""/>
              <m:endChr m:val=")"/>
              <m:grow/>
            </m:dPr>
            <m:e>
              <m:f>
                <m:fPr>
                  <m:type m:val="bar"/>
                </m:fPr>
                <m:num>
                  <m:r>
                    <m:t>b</m:t>
                  </m:r>
                  <m:r>
                    <m:rPr>
                      <m:sty m:val="p"/>
                    </m:rPr>
                    <m:t>−</m:t>
                  </m:r>
                  <m:r>
                    <m:t>r</m:t>
                  </m:r>
                  <m:r>
                    <m:t>a</m:t>
                  </m:r>
                </m:num>
                <m:den>
                  <m:rad>
                    <m:radPr>
                      <m:degHide m:val="on"/>
                    </m:radPr>
                    <m:deg/>
                    <m:e>
                      <m:r>
                        <m:t>1</m:t>
                      </m:r>
                      <m:r>
                        <m:rPr>
                          <m:sty m:val="p"/>
                        </m:rPr>
                        <m:t>−</m:t>
                      </m:r>
                      <m:sSup>
                        <m:e>
                          <m:r>
                            <m:t>r</m:t>
                          </m:r>
                        </m:e>
                        <m:sup>
                          <m:r>
                            <m:t>2</m:t>
                          </m:r>
                        </m:sup>
                      </m:sSup>
                    </m:e>
                  </m:rad>
                </m:den>
              </m:f>
            </m:e>
          </m:d>
          <m:sSub>
            <m:e>
              <m:r>
                <m:t>g</m:t>
              </m:r>
            </m:e>
            <m:sub>
              <m:r>
                <m:t>A</m:t>
              </m:r>
              <m:r>
                <m:rPr>
                  <m:sty m:val="p"/>
                </m:rPr>
                <m:t>,</m:t>
              </m:r>
              <m:r>
                <m:t>k</m:t>
              </m:r>
            </m:sub>
          </m:sSub>
          <m:r>
            <m:rPr>
              <m:sty m:val="p"/>
            </m:rPr>
            <m:t>+</m:t>
          </m:r>
          <m:f>
            <m:fPr>
              <m:type m:val="bar"/>
            </m:fPr>
            <m:num>
              <m:r>
                <m:t>φ</m:t>
              </m:r>
              <m:d>
                <m:dPr>
                  <m:begChr m:val="("/>
                  <m:sepChr m:val=""/>
                  <m:endChr m:val=")"/>
                  <m:grow/>
                </m:dPr>
                <m:e>
                  <m:r>
                    <m:t>b</m:t>
                  </m:r>
                </m:e>
              </m:d>
            </m:num>
            <m:den>
              <m:sSub>
                <m:e>
                  <m:r>
                    <m:t>s</m:t>
                  </m:r>
                </m:e>
                <m:sub>
                  <m:r>
                    <m:t>B</m:t>
                  </m:r>
                </m:sub>
              </m:sSub>
            </m:den>
          </m:f>
          <m:r>
            <m:t>Φ</m:t>
          </m:r>
          <m:d>
            <m:dPr>
              <m:begChr m:val="("/>
              <m:sepChr m:val=""/>
              <m:endChr m:val=")"/>
              <m:grow/>
            </m:dPr>
            <m:e>
              <m:f>
                <m:fPr>
                  <m:type m:val="bar"/>
                </m:fPr>
                <m:num>
                  <m:r>
                    <m:t>a</m:t>
                  </m:r>
                  <m:r>
                    <m:rPr>
                      <m:sty m:val="p"/>
                    </m:rPr>
                    <m:t>−</m:t>
                  </m:r>
                  <m:r>
                    <m:t>r</m:t>
                  </m:r>
                  <m:r>
                    <m:t>b</m:t>
                  </m:r>
                </m:num>
                <m:den>
                  <m:rad>
                    <m:radPr>
                      <m:degHide m:val="on"/>
                    </m:radPr>
                    <m:deg/>
                    <m:e>
                      <m:r>
                        <m:t>1</m:t>
                      </m:r>
                      <m:r>
                        <m:rPr>
                          <m:sty m:val="p"/>
                        </m:rPr>
                        <m:t>−</m:t>
                      </m:r>
                      <m:sSup>
                        <m:e>
                          <m:r>
                            <m:t>r</m:t>
                          </m:r>
                        </m:e>
                        <m:sup>
                          <m:r>
                            <m:t>2</m:t>
                          </m:r>
                        </m:sup>
                      </m:sSup>
                    </m:e>
                  </m:rad>
                </m:den>
              </m:f>
            </m:e>
          </m:d>
          <m:sSub>
            <m:e>
              <m:r>
                <m:t>g</m:t>
              </m:r>
            </m:e>
            <m:sub>
              <m:r>
                <m:t>B</m:t>
              </m:r>
              <m:r>
                <m:rPr>
                  <m:sty m:val="p"/>
                </m:rPr>
                <m:t>,</m:t>
              </m:r>
              <m:r>
                <m:t>k</m:t>
              </m:r>
            </m:sub>
          </m:sSub>
        </m:oMath>
      </m:oMathPara>
    </w:p>
    <w:p>
      <w:pPr>
        <w:spacing w:after="120"/>
        <w:jc w:val="both"/>
      </w:pPr>
      <w:r>
        <w:t xml:space="preserve">Each well is weighted by the probability density of its head being exactly at the threshold. With the pumping of Section 3, </w:t>
      </w:r>
      <m:oMath>
        <m:sSub>
          <m:e>
            <m:r>
              <m:t>μ</m:t>
            </m:r>
          </m:e>
          <m:sub>
            <m:r>
              <m:t>A</m:t>
            </m:r>
          </m:sub>
        </m:sSub>
        <m:r>
          <m:rPr>
            <m:sty m:val="p"/>
          </m:rPr>
          <m:t>=</m:t>
        </m:r>
        <m:r>
          <m:t>1.05</m:t>
        </m:r>
      </m:oMath>
      <w:r>
        <w:t xml:space="preserve"> m, </w:t>
      </w:r>
      <m:oMath>
        <m:sSub>
          <m:e>
            <m:r>
              <m:t>μ</m:t>
            </m:r>
          </m:e>
          <m:sub>
            <m:r>
              <m:t>B</m:t>
            </m:r>
          </m:sub>
        </m:sSub>
        <m:r>
          <m:rPr>
            <m:sty m:val="p"/>
          </m:rPr>
          <m:t>=</m:t>
        </m:r>
        <m:r>
          <m:t>1.07</m:t>
        </m:r>
      </m:oMath>
      <w:r>
        <w:t xml:space="preserve"> m, </w:t>
      </w:r>
      <m:oMath>
        <m:sSub>
          <m:e>
            <m:r>
              <m:t>s</m:t>
            </m:r>
          </m:e>
          <m:sub>
            <m:r>
              <m:t>A</m:t>
            </m:r>
          </m:sub>
        </m:sSub>
        <m:r>
          <m:rPr>
            <m:sty m:val="p"/>
          </m:rPr>
          <m:t>=</m:t>
        </m:r>
        <m:r>
          <m:t>0.26</m:t>
        </m:r>
      </m:oMath>
      <w:r>
        <w:t xml:space="preserve"> m, </w:t>
      </w:r>
      <m:oMath>
        <m:sSub>
          <m:e>
            <m:r>
              <m:t>s</m:t>
            </m:r>
          </m:e>
          <m:sub>
            <m:r>
              <m:t>B</m:t>
            </m:r>
          </m:sub>
        </m:sSub>
        <m:r>
          <m:rPr>
            <m:sty m:val="p"/>
          </m:rPr>
          <m:t>=</m:t>
        </m:r>
        <m:r>
          <m:t>0.40</m:t>
        </m:r>
      </m:oMath>
      <w:r>
        <w:t xml:space="preserve"> m and </w:t>
      </w:r>
      <m:oMath>
        <m:r>
          <m:t>r</m:t>
        </m:r>
        <m:r>
          <m:rPr>
            <m:sty m:val="p"/>
          </m:rPr>
          <m:t>=</m:t>
        </m:r>
        <m:r>
          <m:t>0.87</m:t>
        </m:r>
      </m:oMath>
      <w:r>
        <w:t xml:space="preserve">. Recharge candidates are the sector cells at least 1 km from both supply wells, because recharge at a pumping well would only mean pumping less; the first version had placed two of its three sites in the supply-well cells themselves. Every design uses the published selection rule (three cells, at least 6 km apart in northing). Five designs are compared exactly on 2 000 prior realizations, with 5 000 m³/day per site (three sites together about 14% of the natural recharge of the sector). Sites are given by the nearest K-well and the cell coordinates in km; † marks a site outside the sector, which has no effect.</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900"/>
        <w:gridCol w:w="3738"/>
        <w:gridCol w:w="900"/>
        <w:gridCol w:w="900"/>
        <w:gridCol w:w="1100"/>
        <w:gridCol w:w="1100"/>
      </w:tblGrid>
      <w:tr>
        <w:trPr>
          <w:cantSplit/>
          <w:tblHeader/>
        </w:trPr>
        <w:tc>
          <w:tcPr>
            <w:tcW w:type="dxa" w:w="1900"/>
            <w:shd w:fill="1B8A5A" w:color="auto" w:val="clear"/>
            <w:tcMar>
              <w:top w:type="dxa" w:w="60"/>
              <w:left w:type="dxa" w:w="100"/>
              <w:bottom w:type="dxa" w:w="60"/>
              <w:right w:type="dxa" w:w="100"/>
            </w:tcMar>
            <w:vAlign w:val="top"/>
          </w:tcPr>
          <w:p>
            <w:r>
              <w:rPr>
                <w:b/>
                <w:bCs/>
                <w:color w:val="FFFFFF"/>
                <w:sz w:val="16"/>
                <w:szCs w:val="16"/>
              </w:rPr>
              <w:t xml:space="preserve">Design</w:t>
            </w:r>
          </w:p>
        </w:tc>
        <w:tc>
          <w:tcPr>
            <w:tcW w:type="dxa" w:w="3738"/>
            <w:shd w:fill="1B8A5A" w:color="auto" w:val="clear"/>
            <w:tcMar>
              <w:top w:type="dxa" w:w="60"/>
              <w:left w:type="dxa" w:w="100"/>
              <w:bottom w:type="dxa" w:w="60"/>
              <w:right w:type="dxa" w:w="100"/>
            </w:tcMar>
            <w:vAlign w:val="top"/>
          </w:tcPr>
          <w:p>
            <w:r>
              <w:rPr>
                <w:b/>
                <w:bCs/>
                <w:color w:val="FFFFFF"/>
                <w:sz w:val="16"/>
                <w:szCs w:val="16"/>
              </w:rPr>
              <w:t xml:space="preserve">Sites</w:t>
            </w:r>
          </w:p>
        </w:tc>
        <w:tc>
          <w:tcPr>
            <w:tcW w:type="dxa" w:w="900"/>
            <w:shd w:fill="1B8A5A" w:color="auto" w:val="clear"/>
            <w:tcMar>
              <w:top w:type="dxa" w:w="60"/>
              <w:left w:type="dxa" w:w="100"/>
              <w:bottom w:type="dxa" w:w="60"/>
              <w:right w:type="dxa" w:w="100"/>
            </w:tcMar>
            <w:vAlign w:val="top"/>
          </w:tcPr>
          <w:p>
            <w:r>
              <w:rPr>
                <w:b/>
                <w:bCs/>
                <w:color w:val="FFFFFF"/>
                <w:sz w:val="16"/>
                <w:szCs w:val="16"/>
              </w:rPr>
              <w:t xml:space="preserve">P(A)</w:t>
            </w:r>
          </w:p>
        </w:tc>
        <w:tc>
          <w:tcPr>
            <w:tcW w:type="dxa" w:w="900"/>
            <w:shd w:fill="1B8A5A" w:color="auto" w:val="clear"/>
            <w:tcMar>
              <w:top w:type="dxa" w:w="60"/>
              <w:left w:type="dxa" w:w="100"/>
              <w:bottom w:type="dxa" w:w="60"/>
              <w:right w:type="dxa" w:w="100"/>
            </w:tcMar>
            <w:vAlign w:val="top"/>
          </w:tcPr>
          <w:p>
            <w:r>
              <w:rPr>
                <w:b/>
                <w:bCs/>
                <w:color w:val="FFFFFF"/>
                <w:sz w:val="16"/>
                <w:szCs w:val="16"/>
              </w:rPr>
              <w:t xml:space="preserve">P(B)</w:t>
            </w:r>
          </w:p>
        </w:tc>
        <w:tc>
          <w:tcPr>
            <w:tcW w:type="dxa" w:w="1100"/>
            <w:shd w:fill="1B8A5A" w:color="auto" w:val="clear"/>
            <w:tcMar>
              <w:top w:type="dxa" w:w="60"/>
              <w:left w:type="dxa" w:w="100"/>
              <w:bottom w:type="dxa" w:w="60"/>
              <w:right w:type="dxa" w:w="100"/>
            </w:tcMar>
            <w:vAlign w:val="top"/>
          </w:tcPr>
          <w:p>
            <w:r>
              <w:rPr>
                <w:b/>
                <w:bCs/>
                <w:color w:val="FFFFFF"/>
                <w:sz w:val="16"/>
                <w:szCs w:val="16"/>
              </w:rPr>
              <w:t xml:space="preserve">P(A or B)</w:t>
            </w:r>
          </w:p>
        </w:tc>
        <w:tc>
          <w:tcPr>
            <w:tcW w:type="dxa" w:w="1100"/>
            <w:shd w:fill="1B8A5A" w:color="auto" w:val="clear"/>
            <w:tcMar>
              <w:top w:type="dxa" w:w="60"/>
              <w:left w:type="dxa" w:w="100"/>
              <w:bottom w:type="dxa" w:w="60"/>
              <w:right w:type="dxa" w:w="100"/>
            </w:tcMar>
            <w:vAlign w:val="top"/>
          </w:tcPr>
          <w:p>
            <w:r>
              <w:rPr>
                <w:b/>
                <w:bCs/>
                <w:color w:val="FFFFFF"/>
                <w:sz w:val="16"/>
                <w:szCs w:val="16"/>
              </w:rPr>
              <w:t xml:space="preserve">Mean area</w:t>
            </w:r>
          </w:p>
        </w:tc>
      </w:tr>
      <w:tr>
        <w:trPr>
          <w:cantSplit/>
        </w:trPr>
        <w:tc>
          <w:tcPr>
            <w:tcW w:type="dxa" w:w="1900"/>
            <w:tcMar>
              <w:top w:type="dxa" w:w="60"/>
              <w:left w:type="dxa" w:w="100"/>
              <w:bottom w:type="dxa" w:w="60"/>
              <w:right w:type="dxa" w:w="100"/>
            </w:tcMar>
            <w:vAlign w:val="top"/>
          </w:tcPr>
          <w:p>
            <w:r>
              <w:rPr>
                <w:sz w:val="16"/>
                <w:szCs w:val="16"/>
              </w:rPr>
              <w:t xml:space="preserve">No recharge</w:t>
            </w:r>
          </w:p>
        </w:tc>
        <w:tc>
          <w:tcPr>
            <w:tcW w:type="dxa" w:w="3738"/>
            <w:tcMar>
              <w:top w:type="dxa" w:w="60"/>
              <w:left w:type="dxa" w:w="100"/>
              <w:bottom w:type="dxa" w:w="60"/>
              <w:right w:type="dxa" w:w="100"/>
            </w:tcMar>
            <w:vAlign w:val="top"/>
          </w:tcPr>
          <w:p>
            <w:r>
              <w:rPr>
                <w:sz w:val="16"/>
                <w:szCs w:val="16"/>
              </w:rPr>
              <w:t xml:space="preserve">–</w:t>
            </w:r>
          </w:p>
        </w:tc>
        <w:tc>
          <w:tcPr>
            <w:tcW w:type="dxa" w:w="900"/>
            <w:tcMar>
              <w:top w:type="dxa" w:w="60"/>
              <w:left w:type="dxa" w:w="100"/>
              <w:bottom w:type="dxa" w:w="60"/>
              <w:right w:type="dxa" w:w="100"/>
            </w:tcMar>
            <w:vAlign w:val="top"/>
          </w:tcPr>
          <w:p>
            <w:r>
              <w:rPr>
                <w:sz w:val="16"/>
                <w:szCs w:val="16"/>
              </w:rPr>
              <w:t xml:space="preserve">0.477</w:t>
            </w:r>
          </w:p>
        </w:tc>
        <w:tc>
          <w:tcPr>
            <w:tcW w:type="dxa" w:w="900"/>
            <w:tcMar>
              <w:top w:type="dxa" w:w="60"/>
              <w:left w:type="dxa" w:w="100"/>
              <w:bottom w:type="dxa" w:w="60"/>
              <w:right w:type="dxa" w:w="100"/>
            </w:tcMar>
            <w:vAlign w:val="top"/>
          </w:tcPr>
          <w:p>
            <w:r>
              <w:rPr>
                <w:sz w:val="16"/>
                <w:szCs w:val="16"/>
              </w:rPr>
              <w:t xml:space="preserve">0.474</w:t>
            </w:r>
          </w:p>
        </w:tc>
        <w:tc>
          <w:tcPr>
            <w:tcW w:type="dxa" w:w="1100"/>
            <w:tcMar>
              <w:top w:type="dxa" w:w="60"/>
              <w:left w:type="dxa" w:w="100"/>
              <w:bottom w:type="dxa" w:w="60"/>
              <w:right w:type="dxa" w:w="100"/>
            </w:tcMar>
            <w:vAlign w:val="top"/>
          </w:tcPr>
          <w:p>
            <w:r>
              <w:rPr>
                <w:sz w:val="16"/>
                <w:szCs w:val="16"/>
              </w:rPr>
              <w:t xml:space="preserve">0.559</w:t>
            </w:r>
          </w:p>
        </w:tc>
        <w:tc>
          <w:tcPr>
            <w:tcW w:type="dxa" w:w="1100"/>
            <w:tcMar>
              <w:top w:type="dxa" w:w="60"/>
              <w:left w:type="dxa" w:w="100"/>
              <w:bottom w:type="dxa" w:w="60"/>
              <w:right w:type="dxa" w:w="100"/>
            </w:tcMar>
            <w:vAlign w:val="top"/>
          </w:tcPr>
          <w:p>
            <w:r>
              <w:rPr>
                <w:sz w:val="16"/>
                <w:szCs w:val="16"/>
              </w:rPr>
              <w:t xml:space="preserve">12.9 km²</w:t>
            </w:r>
          </w:p>
        </w:tc>
      </w:tr>
      <w:tr>
        <w:trPr>
          <w:cantSplit/>
        </w:trPr>
        <w:tc>
          <w:tcPr>
            <w:tcW w:type="dxa" w:w="1900"/>
            <w:shd w:fill="F7F9FC" w:color="auto" w:val="clear"/>
            <w:tcMar>
              <w:top w:type="dxa" w:w="60"/>
              <w:left w:type="dxa" w:w="100"/>
              <w:bottom w:type="dxa" w:w="60"/>
              <w:right w:type="dxa" w:w="100"/>
            </w:tcMar>
            <w:vAlign w:val="top"/>
          </w:tcPr>
          <w:p>
            <w:r>
              <w:rPr>
                <w:sz w:val="16"/>
                <w:szCs w:val="16"/>
              </w:rPr>
              <w:t xml:space="preserve">Published sites</w:t>
            </w:r>
          </w:p>
        </w:tc>
        <w:tc>
          <w:tcPr>
            <w:tcW w:type="dxa" w:w="3738"/>
            <w:shd w:fill="F7F9FC" w:color="auto" w:val="clear"/>
            <w:tcMar>
              <w:top w:type="dxa" w:w="60"/>
              <w:left w:type="dxa" w:w="100"/>
              <w:bottom w:type="dxa" w:w="60"/>
              <w:right w:type="dxa" w:w="100"/>
            </w:tcMar>
            <w:vAlign w:val="top"/>
          </w:tcPr>
          <w:p>
            <w:r>
              <w:rPr>
                <w:sz w:val="16"/>
                <w:szCs w:val="16"/>
              </w:rPr>
              <w:t xml:space="preserve">A18 (12.3, 12.8)†; P21 (11.3, 18.8)†; P16 (6.5, 51.0)</w:t>
            </w:r>
          </w:p>
        </w:tc>
        <w:tc>
          <w:tcPr>
            <w:tcW w:type="dxa" w:w="900"/>
            <w:shd w:fill="F7F9FC" w:color="auto" w:val="clear"/>
            <w:tcMar>
              <w:top w:type="dxa" w:w="60"/>
              <w:left w:type="dxa" w:w="100"/>
              <w:bottom w:type="dxa" w:w="60"/>
              <w:right w:type="dxa" w:w="100"/>
            </w:tcMar>
            <w:vAlign w:val="top"/>
          </w:tcPr>
          <w:p>
            <w:r>
              <w:rPr>
                <w:sz w:val="16"/>
                <w:szCs w:val="16"/>
              </w:rPr>
              <w:t xml:space="preserve">0.444</w:t>
            </w:r>
          </w:p>
        </w:tc>
        <w:tc>
          <w:tcPr>
            <w:tcW w:type="dxa" w:w="900"/>
            <w:shd w:fill="F7F9FC" w:color="auto" w:val="clear"/>
            <w:tcMar>
              <w:top w:type="dxa" w:w="60"/>
              <w:left w:type="dxa" w:w="100"/>
              <w:bottom w:type="dxa" w:w="60"/>
              <w:right w:type="dxa" w:w="100"/>
            </w:tcMar>
            <w:vAlign w:val="top"/>
          </w:tcPr>
          <w:p>
            <w:r>
              <w:rPr>
                <w:sz w:val="16"/>
                <w:szCs w:val="16"/>
              </w:rPr>
              <w:t xml:space="preserve">0.440</w:t>
            </w:r>
          </w:p>
        </w:tc>
        <w:tc>
          <w:tcPr>
            <w:tcW w:type="dxa" w:w="1100"/>
            <w:shd w:fill="F7F9FC" w:color="auto" w:val="clear"/>
            <w:tcMar>
              <w:top w:type="dxa" w:w="60"/>
              <w:left w:type="dxa" w:w="100"/>
              <w:bottom w:type="dxa" w:w="60"/>
              <w:right w:type="dxa" w:w="100"/>
            </w:tcMar>
            <w:vAlign w:val="top"/>
          </w:tcPr>
          <w:p>
            <w:r>
              <w:rPr>
                <w:sz w:val="16"/>
                <w:szCs w:val="16"/>
              </w:rPr>
              <w:t xml:space="preserve">0.525</w:t>
            </w:r>
          </w:p>
        </w:tc>
        <w:tc>
          <w:tcPr>
            <w:tcW w:type="dxa" w:w="1100"/>
            <w:shd w:fill="F7F9FC" w:color="auto" w:val="clear"/>
            <w:tcMar>
              <w:top w:type="dxa" w:w="60"/>
              <w:left w:type="dxa" w:w="100"/>
              <w:bottom w:type="dxa" w:w="60"/>
              <w:right w:type="dxa" w:w="100"/>
            </w:tcMar>
            <w:vAlign w:val="top"/>
          </w:tcPr>
          <w:p>
            <w:r>
              <w:rPr>
                <w:sz w:val="16"/>
                <w:szCs w:val="16"/>
              </w:rPr>
              <w:t xml:space="preserve">11.0 km²</w:t>
            </w:r>
          </w:p>
        </w:tc>
      </w:tr>
      <w:tr>
        <w:trPr>
          <w:cantSplit/>
        </w:trPr>
        <w:tc>
          <w:tcPr>
            <w:tcW w:type="dxa" w:w="1900"/>
            <w:tcMar>
              <w:top w:type="dxa" w:w="60"/>
              <w:left w:type="dxa" w:w="100"/>
              <w:bottom w:type="dxa" w:w="60"/>
              <w:right w:type="dxa" w:w="100"/>
            </w:tcMar>
            <w:vAlign w:val="top"/>
          </w:tcPr>
          <w:p>
            <w:r>
              <w:rPr>
                <w:sz w:val="16"/>
                <w:szCs w:val="16"/>
              </w:rPr>
              <w:t xml:space="preserve">Area adjoint, recomputed</w:t>
            </w:r>
          </w:p>
        </w:tc>
        <w:tc>
          <w:tcPr>
            <w:tcW w:type="dxa" w:w="3738"/>
            <w:tcMar>
              <w:top w:type="dxa" w:w="60"/>
              <w:left w:type="dxa" w:w="100"/>
              <w:bottom w:type="dxa" w:w="60"/>
              <w:right w:type="dxa" w:w="100"/>
            </w:tcMar>
            <w:vAlign w:val="top"/>
          </w:tcPr>
          <w:p>
            <w:r>
              <w:rPr>
                <w:sz w:val="16"/>
                <w:szCs w:val="16"/>
              </w:rPr>
              <w:t xml:space="preserve">P16 (5.0, 52.0); P16 (5.0, 46.0); A3 (10.3, 40.0)</w:t>
            </w:r>
          </w:p>
        </w:tc>
        <w:tc>
          <w:tcPr>
            <w:tcW w:type="dxa" w:w="900"/>
            <w:tcMar>
              <w:top w:type="dxa" w:w="60"/>
              <w:left w:type="dxa" w:w="100"/>
              <w:bottom w:type="dxa" w:w="60"/>
              <w:right w:type="dxa" w:w="100"/>
            </w:tcMar>
            <w:vAlign w:val="top"/>
          </w:tcPr>
          <w:p>
            <w:r>
              <w:rPr>
                <w:sz w:val="16"/>
                <w:szCs w:val="16"/>
              </w:rPr>
              <w:t xml:space="preserve">0.214</w:t>
            </w:r>
          </w:p>
        </w:tc>
        <w:tc>
          <w:tcPr>
            <w:tcW w:type="dxa" w:w="900"/>
            <w:tcMar>
              <w:top w:type="dxa" w:w="60"/>
              <w:left w:type="dxa" w:w="100"/>
              <w:bottom w:type="dxa" w:w="60"/>
              <w:right w:type="dxa" w:w="100"/>
            </w:tcMar>
            <w:vAlign w:val="top"/>
          </w:tcPr>
          <w:p>
            <w:r>
              <w:rPr>
                <w:sz w:val="16"/>
                <w:szCs w:val="16"/>
              </w:rPr>
              <w:t xml:space="preserve">0.265</w:t>
            </w:r>
          </w:p>
        </w:tc>
        <w:tc>
          <w:tcPr>
            <w:tcW w:type="dxa" w:w="1100"/>
            <w:tcMar>
              <w:top w:type="dxa" w:w="60"/>
              <w:left w:type="dxa" w:w="100"/>
              <w:bottom w:type="dxa" w:w="60"/>
              <w:right w:type="dxa" w:w="100"/>
            </w:tcMar>
            <w:vAlign w:val="top"/>
          </w:tcPr>
          <w:p>
            <w:r>
              <w:rPr>
                <w:sz w:val="16"/>
                <w:szCs w:val="16"/>
              </w:rPr>
              <w:t xml:space="preserve">0.305</w:t>
            </w:r>
          </w:p>
        </w:tc>
        <w:tc>
          <w:tcPr>
            <w:tcW w:type="dxa" w:w="1100"/>
            <w:tcMar>
              <w:top w:type="dxa" w:w="60"/>
              <w:left w:type="dxa" w:w="100"/>
              <w:bottom w:type="dxa" w:w="60"/>
              <w:right w:type="dxa" w:w="100"/>
            </w:tcMar>
            <w:vAlign w:val="top"/>
          </w:tcPr>
          <w:p>
            <w:r>
              <w:rPr>
                <w:sz w:val="16"/>
                <w:szCs w:val="16"/>
              </w:rPr>
              <w:t xml:space="preserve">9.2 km²</w:t>
            </w:r>
          </w:p>
        </w:tc>
      </w:tr>
      <w:tr>
        <w:trPr>
          <w:cantSplit/>
        </w:trPr>
        <w:tc>
          <w:tcPr>
            <w:tcW w:type="dxa" w:w="1900"/>
            <w:shd w:fill="F7F9FC" w:color="auto" w:val="clear"/>
            <w:tcMar>
              <w:top w:type="dxa" w:w="60"/>
              <w:left w:type="dxa" w:w="100"/>
              <w:bottom w:type="dxa" w:w="60"/>
              <w:right w:type="dxa" w:w="100"/>
            </w:tcMar>
            <w:vAlign w:val="top"/>
          </w:tcPr>
          <w:p>
            <w:r>
              <w:rPr>
                <w:sz w:val="16"/>
                <w:szCs w:val="16"/>
              </w:rPr>
              <w:t xml:space="preserve">PRAG-MAR (closed form)</w:t>
            </w:r>
          </w:p>
        </w:tc>
        <w:tc>
          <w:tcPr>
            <w:tcW w:type="dxa" w:w="3738"/>
            <w:shd w:fill="F7F9FC" w:color="auto" w:val="clear"/>
            <w:tcMar>
              <w:top w:type="dxa" w:w="60"/>
              <w:left w:type="dxa" w:w="100"/>
              <w:bottom w:type="dxa" w:w="60"/>
              <w:right w:type="dxa" w:w="100"/>
            </w:tcMar>
            <w:vAlign w:val="top"/>
          </w:tcPr>
          <w:p>
            <w:r>
              <w:rPr>
                <w:sz w:val="16"/>
                <w:szCs w:val="16"/>
              </w:rPr>
              <w:t xml:space="preserve">P9 (3.3, 34.3); A25 (8.8, 28.3); A3 (9.8, 40.3)</w:t>
            </w:r>
          </w:p>
        </w:tc>
        <w:tc>
          <w:tcPr>
            <w:tcW w:type="dxa" w:w="900"/>
            <w:shd w:fill="F7F9FC" w:color="auto" w:val="clear"/>
            <w:tcMar>
              <w:top w:type="dxa" w:w="60"/>
              <w:left w:type="dxa" w:w="100"/>
              <w:bottom w:type="dxa" w:w="60"/>
              <w:right w:type="dxa" w:w="100"/>
            </w:tcMar>
            <w:vAlign w:val="top"/>
          </w:tcPr>
          <w:p>
            <w:r>
              <w:rPr>
                <w:sz w:val="16"/>
                <w:szCs w:val="16"/>
              </w:rPr>
              <w:t xml:space="preserve">0.054</w:t>
            </w:r>
          </w:p>
        </w:tc>
        <w:tc>
          <w:tcPr>
            <w:tcW w:type="dxa" w:w="900"/>
            <w:shd w:fill="F7F9FC" w:color="auto" w:val="clear"/>
            <w:tcMar>
              <w:top w:type="dxa" w:w="60"/>
              <w:left w:type="dxa" w:w="100"/>
              <w:bottom w:type="dxa" w:w="60"/>
              <w:right w:type="dxa" w:w="100"/>
            </w:tcMar>
            <w:vAlign w:val="top"/>
          </w:tcPr>
          <w:p>
            <w:r>
              <w:rPr>
                <w:sz w:val="16"/>
                <w:szCs w:val="16"/>
              </w:rPr>
              <w:t xml:space="preserve">0.013</w:t>
            </w:r>
          </w:p>
        </w:tc>
        <w:tc>
          <w:tcPr>
            <w:tcW w:type="dxa" w:w="1100"/>
            <w:shd w:fill="F7F9FC" w:color="auto" w:val="clear"/>
            <w:tcMar>
              <w:top w:type="dxa" w:w="60"/>
              <w:left w:type="dxa" w:w="100"/>
              <w:bottom w:type="dxa" w:w="60"/>
              <w:right w:type="dxa" w:w="100"/>
            </w:tcMar>
            <w:vAlign w:val="top"/>
          </w:tcPr>
          <w:p>
            <w:r>
              <w:rPr>
                <w:sz w:val="16"/>
                <w:szCs w:val="16"/>
              </w:rPr>
              <w:t xml:space="preserve">0.058</w:t>
            </w:r>
          </w:p>
        </w:tc>
        <w:tc>
          <w:tcPr>
            <w:tcW w:type="dxa" w:w="1100"/>
            <w:shd w:fill="F7F9FC" w:color="auto" w:val="clear"/>
            <w:tcMar>
              <w:top w:type="dxa" w:w="60"/>
              <w:left w:type="dxa" w:w="100"/>
              <w:bottom w:type="dxa" w:w="60"/>
              <w:right w:type="dxa" w:w="100"/>
            </w:tcMar>
            <w:vAlign w:val="top"/>
          </w:tcPr>
          <w:p>
            <w:r>
              <w:rPr>
                <w:sz w:val="16"/>
                <w:szCs w:val="16"/>
              </w:rPr>
              <w:t xml:space="preserve">11.0 km²</w:t>
            </w:r>
          </w:p>
        </w:tc>
      </w:tr>
      <w:tr>
        <w:trPr>
          <w:cantSplit/>
        </w:trPr>
        <w:tc>
          <w:tcPr>
            <w:tcW w:type="dxa" w:w="1900"/>
            <w:tcMar>
              <w:top w:type="dxa" w:w="60"/>
              <w:left w:type="dxa" w:w="100"/>
              <w:bottom w:type="dxa" w:w="60"/>
              <w:right w:type="dxa" w:w="100"/>
            </w:tcMar>
            <w:vAlign w:val="top"/>
          </w:tcPr>
          <w:p>
            <w:r>
              <w:rPr>
                <w:sz w:val="16"/>
                <w:szCs w:val="16"/>
              </w:rPr>
              <w:t xml:space="preserve">Exact optimum (greedy)</w:t>
            </w:r>
          </w:p>
        </w:tc>
        <w:tc>
          <w:tcPr>
            <w:tcW w:type="dxa" w:w="3738"/>
            <w:tcMar>
              <w:top w:type="dxa" w:w="60"/>
              <w:left w:type="dxa" w:w="100"/>
              <w:bottom w:type="dxa" w:w="60"/>
              <w:right w:type="dxa" w:w="100"/>
            </w:tcMar>
            <w:vAlign w:val="top"/>
          </w:tcPr>
          <w:p>
            <w:r>
              <w:rPr>
                <w:sz w:val="16"/>
                <w:szCs w:val="16"/>
              </w:rPr>
              <w:t xml:space="preserve">A30 (4.0, 36.0); A25 (9.0, 30.0); A13 (10.0, 24.0)</w:t>
            </w:r>
          </w:p>
        </w:tc>
        <w:tc>
          <w:tcPr>
            <w:tcW w:type="dxa" w:w="900"/>
            <w:tcMar>
              <w:top w:type="dxa" w:w="60"/>
              <w:left w:type="dxa" w:w="100"/>
              <w:bottom w:type="dxa" w:w="60"/>
              <w:right w:type="dxa" w:w="100"/>
            </w:tcMar>
            <w:vAlign w:val="top"/>
          </w:tcPr>
          <w:p>
            <w:r>
              <w:rPr>
                <w:sz w:val="16"/>
                <w:szCs w:val="16"/>
              </w:rPr>
              <w:t xml:space="preserve">0.026</w:t>
            </w:r>
          </w:p>
        </w:tc>
        <w:tc>
          <w:tcPr>
            <w:tcW w:type="dxa" w:w="900"/>
            <w:tcMar>
              <w:top w:type="dxa" w:w="60"/>
              <w:left w:type="dxa" w:w="100"/>
              <w:bottom w:type="dxa" w:w="60"/>
              <w:right w:type="dxa" w:w="100"/>
            </w:tcMar>
            <w:vAlign w:val="top"/>
          </w:tcPr>
          <w:p>
            <w:r>
              <w:rPr>
                <w:sz w:val="16"/>
                <w:szCs w:val="16"/>
              </w:rPr>
              <w:t xml:space="preserve">0.018</w:t>
            </w:r>
          </w:p>
        </w:tc>
        <w:tc>
          <w:tcPr>
            <w:tcW w:type="dxa" w:w="1100"/>
            <w:tcMar>
              <w:top w:type="dxa" w:w="60"/>
              <w:left w:type="dxa" w:w="100"/>
              <w:bottom w:type="dxa" w:w="60"/>
              <w:right w:type="dxa" w:w="100"/>
            </w:tcMar>
            <w:vAlign w:val="top"/>
          </w:tcPr>
          <w:p>
            <w:r>
              <w:rPr>
                <w:sz w:val="16"/>
                <w:szCs w:val="16"/>
              </w:rPr>
              <w:t xml:space="preserve">0.035</w:t>
            </w:r>
          </w:p>
        </w:tc>
        <w:tc>
          <w:tcPr>
            <w:tcW w:type="dxa" w:w="1100"/>
            <w:tcMar>
              <w:top w:type="dxa" w:w="60"/>
              <w:left w:type="dxa" w:w="100"/>
              <w:bottom w:type="dxa" w:w="60"/>
              <w:right w:type="dxa" w:w="100"/>
            </w:tcMar>
            <w:vAlign w:val="top"/>
          </w:tcPr>
          <w:p>
            <w:r>
              <w:rPr>
                <w:sz w:val="16"/>
                <w:szCs w:val="16"/>
              </w:rPr>
              <w:t xml:space="preserve">11.3 km²</w:t>
            </w:r>
          </w:p>
        </w:tc>
      </w:tr>
    </w:tbl>
    <w:p>
      <w:pPr>
        <w:spacing w:after="160"/>
      </w:pPr>
    </w:p>
    <w:p>
      <w:pPr>
        <w:keepNext/>
        <w:spacing w:after="60" w:before="120"/>
        <w:jc w:val="center"/>
      </w:pPr>
      <w:r>
        <w:drawing>
          <wp:inline distT="0" distB="0" distL="0" distR="0">
            <wp:extent cx="5943600" cy="3305175"/>
            <wp:effectExtent t="0" r="0" b="0" l="0"/>
            <wp:docPr id="1" name="PRAG-MAR with the geolocated sea boundary: recharge fields, sites and risk against recharge" descr="PRAG-MAR with the geolocated sea boundary: recharge fields, sites and risk against recharge" title="PRAG-MAR with the geolocated sea boundary: recharge fields, sites and risk against rechar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305175"/>
                    </a:xfrm>
                    <a:prstGeom prst="rect">
                      <a:avLst/>
                    </a:prstGeom>
                  </pic:spPr>
                </pic:pic>
              </a:graphicData>
            </a:graphic>
          </wp:inline>
        </w:drawing>
      </w:r>
    </w:p>
    <w:p>
      <w:pPr>
        <w:spacing w:after="200"/>
        <w:jc w:val="both"/>
      </w:pPr>
      <w:r>
        <w:rPr>
          <w:b/>
          <w:bCs/>
          <w:color w:val="3A4350"/>
          <w:sz w:val="18"/>
          <w:szCs w:val="18"/>
        </w:rPr>
        <w:t xml:space="preserve">Figure 3.</w:t>
      </w:r>
      <w:r>
        <w:rPr>
          <w:color w:val="3A4350"/>
          <w:sz w:val="18"/>
          <w:szCs w:val="18"/>
        </w:rPr>
        <w:t xml:space="preserve"> PRAG-MAR with the geolocated sea boundary (Supplementary Fig. S1 of the chloride study). (a) PRAG-MAR field: reduction of the probability that A or B is intruded per unit recharge, at the prior mean, with the three PRAG-MAR sites. (b) Area-adjoint field (the published pipeline, recomputed) with its three sites and the published site that lies in the sector. (c) Exact probability that A or B is intruded against the recharge per site. Solid lines: each well pumped to a prior intrusion probability of ½; dashed lines: one pumping rate at both wells.</w:t>
      </w:r>
    </w:p>
    <w:p>
      <w:pPr>
        <w:spacing w:after="120"/>
        <w:jc w:val="both"/>
      </w:pPr>
      <w:r>
        <w:t xml:space="preserve">With the same water, PRAG-MAR lowers the probability that either well is intruded from 0.56 to 0.06, within 0.02 of the exact optimum of the ensemble (0.04). The sites chosen for the intruded area reach 0.30, and the published sites 0.53, because two of them lie outside the sector and the third acts on the northern coast. Each goal calls for its own sites. The area design is the best for its own goal (mean intruded area 9.2 km², against 11.0 km² for PRAG-MAR), because it recharges the northern coastal strip where the intrusion is. PRAG-MAR recharges next to the well field and up-gradient of it.</w:t>
      </w:r>
    </w:p>
    <w:p>
      <w:pPr>
        <w:spacing w:after="120"/>
        <w:jc w:val="both"/>
      </w:pPr>
      <w:r>
        <w:t xml:space="preserve">The ranking holds at every recharge rate. With 2 500 and 10 000 m³/day per site, P(A or B) becomes 0.212 and 0.004 with PRAG-MAR, against 0.427 and 0.153 for the area design and 0.542 and 0.491 for the published sites. It also holds under another pumping rule: with one rate at both wells (</w:t>
      </w:r>
      <m:oMath>
        <m:sSub>
          <m:e>
            <m:r>
              <m:t>Q</m:t>
            </m:r>
          </m:e>
          <m:sub>
            <m:r>
              <m:t>A</m:t>
            </m:r>
          </m:sub>
        </m:sSub>
        <m:r>
          <m:rPr>
            <m:sty m:val="p"/>
          </m:rPr>
          <m:t>=</m:t>
        </m:r>
        <m:sSub>
          <m:e>
            <m:r>
              <m:t>Q</m:t>
            </m:r>
          </m:e>
          <m:sub>
            <m:r>
              <m:t>B</m:t>
            </m:r>
          </m:sub>
        </m:sSub>
        <m:r>
          <m:rPr>
            <m:sty m:val="p"/>
          </m:rPr>
          <m:t>=</m:t>
        </m:r>
        <m:r>
          <m:t>5</m:t>
        </m:r>
        <m:r>
          <m:t> </m:t>
        </m:r>
        <m:r>
          <m:t>638</m:t>
        </m:r>
      </m:oMath>
      <w:r>
        <w:t xml:space="preserve"> m³/day, chosen so that P(A or B) = ½), the probability falls from 0.476 to 0.017 with PRAG-MAR, equal to the exact optimum (0.017), against 0.226 for the area design and 0.448 for the published sites. MATLAB (chloride_fk/matlab/fkcl_prag_mar.m) reproduces these probabilities exactly from the same prior draws.</w:t>
      </w:r>
    </w:p>
    <w:p>
      <w:pPr>
        <w:spacing w:after="240"/>
      </w:pPr>
    </w:p>
    <w:p>
      <w:pPr>
        <w:pStyle w:val="Heading1"/>
      </w:pPr>
      <w:r>
        <w:rPr>
          <w:color w:val="1F3864"/>
        </w:rPr>
        <w:t xml:space="preserve">6. What changed from the first version</w:t>
      </w:r>
    </w:p>
    <w:p>
      <w:pPr>
        <w:spacing w:after="120"/>
        <w:jc w:val="both"/>
      </w:pPr>
      <w:r>
        <w:t xml:space="preserve">The table puts the main results of the two versions side by side. Both use the same physics, prior, criteria and exact estimators; only the sea boundary, and with it the supply wells, differ.</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3638"/>
        <w:gridCol w:w="3000"/>
        <w:gridCol w:w="3000"/>
      </w:tblGrid>
      <w:tr>
        <w:trPr>
          <w:cantSplit/>
          <w:tblHeader/>
        </w:trPr>
        <w:tc>
          <w:tcPr>
            <w:tcW w:type="dxa" w:w="3638"/>
            <w:shd w:fill="1F3864" w:color="auto" w:val="clear"/>
            <w:tcMar>
              <w:top w:type="dxa" w:w="60"/>
              <w:left w:type="dxa" w:w="100"/>
              <w:bottom w:type="dxa" w:w="60"/>
              <w:right w:type="dxa" w:w="100"/>
            </w:tcMar>
            <w:vAlign w:val="top"/>
          </w:tcPr>
          <w:p>
            <w:r>
              <w:rPr>
                <w:b/>
                <w:bCs/>
                <w:color w:val="FFFFFF"/>
                <w:sz w:val="16"/>
                <w:szCs w:val="16"/>
              </w:rPr>
              <w:t xml:space="preserve">Result</w:t>
            </w:r>
          </w:p>
        </w:tc>
        <w:tc>
          <w:tcPr>
            <w:tcW w:type="dxa" w:w="3000"/>
            <w:shd w:fill="1F3864" w:color="auto" w:val="clear"/>
            <w:tcMar>
              <w:top w:type="dxa" w:w="60"/>
              <w:left w:type="dxa" w:w="100"/>
              <w:bottom w:type="dxa" w:w="60"/>
              <w:right w:type="dxa" w:w="100"/>
            </w:tcMar>
            <w:vAlign w:val="top"/>
          </w:tcPr>
          <w:p>
            <w:r>
              <w:rPr>
                <w:b/>
                <w:bCs/>
                <w:color w:val="FFFFFF"/>
                <w:sz w:val="16"/>
                <w:szCs w:val="16"/>
              </w:rPr>
              <w:t xml:space="preserve">First version (full margin)</w:t>
            </w:r>
          </w:p>
        </w:tc>
        <w:tc>
          <w:tcPr>
            <w:tcW w:type="dxa" w:w="3000"/>
            <w:shd w:fill="1F3864" w:color="auto" w:val="clear"/>
            <w:tcMar>
              <w:top w:type="dxa" w:w="60"/>
              <w:left w:type="dxa" w:w="100"/>
              <w:bottom w:type="dxa" w:w="60"/>
              <w:right w:type="dxa" w:w="100"/>
            </w:tcMar>
            <w:vAlign w:val="top"/>
          </w:tcPr>
          <w:p>
            <w:r>
              <w:rPr>
                <w:b/>
                <w:bCs/>
                <w:color w:val="FFFFFF"/>
                <w:sz w:val="16"/>
                <w:szCs w:val="16"/>
              </w:rPr>
              <w:t xml:space="preserve">This version (geolocated)</w:t>
            </w:r>
          </w:p>
        </w:tc>
      </w:tr>
      <w:tr>
        <w:trPr>
          <w:cantSplit/>
        </w:trPr>
        <w:tc>
          <w:tcPr>
            <w:tcW w:type="dxa" w:w="3638"/>
            <w:tcMar>
              <w:top w:type="dxa" w:w="60"/>
              <w:left w:type="dxa" w:w="100"/>
              <w:bottom w:type="dxa" w:w="60"/>
              <w:right w:type="dxa" w:w="100"/>
            </w:tcMar>
            <w:vAlign w:val="top"/>
          </w:tcPr>
          <w:p>
            <w:r>
              <w:rPr>
                <w:sz w:val="16"/>
                <w:szCs w:val="16"/>
              </w:rPr>
              <w:t xml:space="preserve">Supply wells; prior correlation of their heads</w:t>
            </w:r>
          </w:p>
        </w:tc>
        <w:tc>
          <w:tcPr>
            <w:tcW w:type="dxa" w:w="3000"/>
            <w:tcMar>
              <w:top w:type="dxa" w:w="60"/>
              <w:left w:type="dxa" w:w="100"/>
              <w:bottom w:type="dxa" w:w="60"/>
              <w:right w:type="dxa" w:w="100"/>
            </w:tcMar>
            <w:vAlign w:val="top"/>
          </w:tcPr>
          <w:p>
            <w:r>
              <w:rPr>
                <w:sz w:val="16"/>
                <w:szCs w:val="16"/>
              </w:rPr>
              <w:t xml:space="preserve">A23, R16 (not pumped); r = 0.18</w:t>
            </w:r>
          </w:p>
        </w:tc>
        <w:tc>
          <w:tcPr>
            <w:tcW w:type="dxa" w:w="3000"/>
            <w:tcMar>
              <w:top w:type="dxa" w:w="60"/>
              <w:left w:type="dxa" w:w="100"/>
              <w:bottom w:type="dxa" w:w="60"/>
              <w:right w:type="dxa" w:w="100"/>
            </w:tcMar>
            <w:vAlign w:val="top"/>
          </w:tcPr>
          <w:p>
            <w:r>
              <w:rPr>
                <w:sz w:val="16"/>
                <w:szCs w:val="16"/>
              </w:rPr>
              <w:t xml:space="preserve">A1, P10 (pumped); r = 0.87</w:t>
            </w:r>
          </w:p>
        </w:tc>
      </w:tr>
      <w:tr>
        <w:trPr>
          <w:cantSplit/>
        </w:trPr>
        <w:tc>
          <w:tcPr>
            <w:tcW w:type="dxa" w:w="3638"/>
            <w:shd w:fill="F7F9FC" w:color="auto" w:val="clear"/>
            <w:tcMar>
              <w:top w:type="dxa" w:w="60"/>
              <w:left w:type="dxa" w:w="100"/>
              <w:bottom w:type="dxa" w:w="60"/>
              <w:right w:type="dxa" w:w="100"/>
            </w:tcMar>
            <w:vAlign w:val="top"/>
          </w:tcPr>
          <w:p>
            <w:r>
              <w:rPr>
                <w:sz w:val="16"/>
                <w:szCs w:val="16"/>
              </w:rPr>
              <w:t xml:space="preserve">Published 5-well design, information on A / on A or B</w:t>
            </w:r>
          </w:p>
        </w:tc>
        <w:tc>
          <w:tcPr>
            <w:tcW w:type="dxa" w:w="3000"/>
            <w:shd w:fill="F7F9FC" w:color="auto" w:val="clear"/>
            <w:tcMar>
              <w:top w:type="dxa" w:w="60"/>
              <w:left w:type="dxa" w:w="100"/>
              <w:bottom w:type="dxa" w:w="60"/>
              <w:right w:type="dxa" w:w="100"/>
            </w:tcMar>
            <w:vAlign w:val="top"/>
          </w:tcPr>
          <w:p>
            <w:r>
              <w:rPr>
                <w:sz w:val="16"/>
                <w:szCs w:val="16"/>
              </w:rPr>
              <w:t xml:space="preserve">57% / 82%</w:t>
            </w:r>
          </w:p>
        </w:tc>
        <w:tc>
          <w:tcPr>
            <w:tcW w:type="dxa" w:w="3000"/>
            <w:shd w:fill="F7F9FC" w:color="auto" w:val="clear"/>
            <w:tcMar>
              <w:top w:type="dxa" w:w="60"/>
              <w:left w:type="dxa" w:w="100"/>
              <w:bottom w:type="dxa" w:w="60"/>
              <w:right w:type="dxa" w:w="100"/>
            </w:tcMar>
            <w:vAlign w:val="top"/>
          </w:tcPr>
          <w:p>
            <w:r>
              <w:rPr>
                <w:sz w:val="16"/>
                <w:szCs w:val="16"/>
              </w:rPr>
              <w:t xml:space="preserve">2 wells in the sector; as a pair 69% / 66% of the best pair</w:t>
            </w:r>
          </w:p>
        </w:tc>
      </w:tr>
      <w:tr>
        <w:trPr>
          <w:cantSplit/>
        </w:trPr>
        <w:tc>
          <w:tcPr>
            <w:tcW w:type="dxa" w:w="3638"/>
            <w:tcMar>
              <w:top w:type="dxa" w:w="60"/>
              <w:left w:type="dxa" w:w="100"/>
              <w:bottom w:type="dxa" w:w="60"/>
              <w:right w:type="dxa" w:w="100"/>
            </w:tcMar>
            <w:vAlign w:val="top"/>
          </w:tcPr>
          <w:p>
            <w:r>
              <w:rPr>
                <w:sz w:val="16"/>
                <w:szCs w:val="16"/>
              </w:rPr>
              <w:t xml:space="preserve">3-well area design, information on A / on A or B</w:t>
            </w:r>
          </w:p>
        </w:tc>
        <w:tc>
          <w:tcPr>
            <w:tcW w:type="dxa" w:w="3000"/>
            <w:tcMar>
              <w:top w:type="dxa" w:w="60"/>
              <w:left w:type="dxa" w:w="100"/>
              <w:bottom w:type="dxa" w:w="60"/>
              <w:right w:type="dxa" w:w="100"/>
            </w:tcMar>
            <w:vAlign w:val="top"/>
          </w:tcPr>
          <w:p>
            <w:r>
              <w:rPr>
                <w:sz w:val="16"/>
                <w:szCs w:val="16"/>
              </w:rPr>
              <w:t xml:space="preserve">32% / 80%</w:t>
            </w:r>
          </w:p>
        </w:tc>
        <w:tc>
          <w:tcPr>
            <w:tcW w:type="dxa" w:w="3000"/>
            <w:tcMar>
              <w:top w:type="dxa" w:w="60"/>
              <w:left w:type="dxa" w:w="100"/>
              <w:bottom w:type="dxa" w:w="60"/>
              <w:right w:type="dxa" w:w="100"/>
            </w:tcMar>
            <w:vAlign w:val="top"/>
          </w:tcPr>
          <w:p>
            <w:r>
              <w:rPr>
                <w:sz w:val="16"/>
                <w:szCs w:val="16"/>
              </w:rPr>
              <w:t xml:space="preserve">74% / 52%</w:t>
            </w:r>
          </w:p>
        </w:tc>
      </w:tr>
      <w:tr>
        <w:trPr>
          <w:cantSplit/>
        </w:trPr>
        <w:tc>
          <w:tcPr>
            <w:tcW w:type="dxa" w:w="3638"/>
            <w:shd w:fill="F7F9FC" w:color="auto" w:val="clear"/>
            <w:tcMar>
              <w:top w:type="dxa" w:w="60"/>
              <w:left w:type="dxa" w:w="100"/>
              <w:bottom w:type="dxa" w:w="60"/>
              <w:right w:type="dxa" w:w="100"/>
            </w:tcMar>
            <w:vAlign w:val="top"/>
          </w:tcPr>
          <w:p>
            <w:r>
              <w:rPr>
                <w:sz w:val="16"/>
                <w:szCs w:val="16"/>
              </w:rPr>
              <w:t xml:space="preserve">3-well PRAG-GO design, information on A or B</w:t>
            </w:r>
          </w:p>
        </w:tc>
        <w:tc>
          <w:tcPr>
            <w:tcW w:type="dxa" w:w="3000"/>
            <w:shd w:fill="F7F9FC" w:color="auto" w:val="clear"/>
            <w:tcMar>
              <w:top w:type="dxa" w:w="60"/>
              <w:left w:type="dxa" w:w="100"/>
              <w:bottom w:type="dxa" w:w="60"/>
              <w:right w:type="dxa" w:w="100"/>
            </w:tcMar>
            <w:vAlign w:val="top"/>
          </w:tcPr>
          <w:p>
            <w:r>
              <w:rPr>
                <w:sz w:val="16"/>
                <w:szCs w:val="16"/>
              </w:rPr>
              <w:t xml:space="preserve">98%</w:t>
            </w:r>
          </w:p>
        </w:tc>
        <w:tc>
          <w:tcPr>
            <w:tcW w:type="dxa" w:w="3000"/>
            <w:shd w:fill="F7F9FC" w:color="auto" w:val="clear"/>
            <w:tcMar>
              <w:top w:type="dxa" w:w="60"/>
              <w:left w:type="dxa" w:w="100"/>
              <w:bottom w:type="dxa" w:w="60"/>
              <w:right w:type="dxa" w:w="100"/>
            </w:tcMar>
            <w:vAlign w:val="top"/>
          </w:tcPr>
          <w:p>
            <w:r>
              <w:rPr>
                <w:sz w:val="16"/>
                <w:szCs w:val="16"/>
              </w:rPr>
              <w:t xml:space="preserve">100%</w:t>
            </w:r>
          </w:p>
        </w:tc>
      </w:tr>
      <w:tr>
        <w:trPr>
          <w:cantSplit/>
        </w:trPr>
        <w:tc>
          <w:tcPr>
            <w:tcW w:type="dxa" w:w="3638"/>
            <w:tcMar>
              <w:top w:type="dxa" w:w="60"/>
              <w:left w:type="dxa" w:w="100"/>
              <w:bottom w:type="dxa" w:w="60"/>
              <w:right w:type="dxa" w:w="100"/>
            </w:tcMar>
            <w:vAlign w:val="top"/>
          </w:tcPr>
          <w:p>
            <w:r>
              <w:rPr>
                <w:sz w:val="16"/>
                <w:szCs w:val="16"/>
              </w:rPr>
              <w:t xml:space="preserve">5-well PRAG-GO design, information on A or B</w:t>
            </w:r>
          </w:p>
        </w:tc>
        <w:tc>
          <w:tcPr>
            <w:tcW w:type="dxa" w:w="3000"/>
            <w:tcMar>
              <w:top w:type="dxa" w:w="60"/>
              <w:left w:type="dxa" w:w="100"/>
              <w:bottom w:type="dxa" w:w="60"/>
              <w:right w:type="dxa" w:w="100"/>
            </w:tcMar>
            <w:vAlign w:val="top"/>
          </w:tcPr>
          <w:p>
            <w:r>
              <w:rPr>
                <w:sz w:val="16"/>
                <w:szCs w:val="16"/>
              </w:rPr>
              <w:t xml:space="preserve">100% (best found)</w:t>
            </w:r>
          </w:p>
        </w:tc>
        <w:tc>
          <w:tcPr>
            <w:tcW w:type="dxa" w:w="3000"/>
            <w:tcMar>
              <w:top w:type="dxa" w:w="60"/>
              <w:left w:type="dxa" w:w="100"/>
              <w:bottom w:type="dxa" w:w="60"/>
              <w:right w:type="dxa" w:w="100"/>
            </w:tcMar>
            <w:vAlign w:val="top"/>
          </w:tcPr>
          <w:p>
            <w:r>
              <w:rPr>
                <w:sz w:val="16"/>
                <w:szCs w:val="16"/>
              </w:rPr>
              <w:t xml:space="preserve">99.6%</w:t>
            </w:r>
          </w:p>
        </w:tc>
      </w:tr>
      <w:tr>
        <w:trPr>
          <w:cantSplit/>
        </w:trPr>
        <w:tc>
          <w:tcPr>
            <w:tcW w:type="dxa" w:w="3638"/>
            <w:shd w:fill="F7F9FC" w:color="auto" w:val="clear"/>
            <w:tcMar>
              <w:top w:type="dxa" w:w="60"/>
              <w:left w:type="dxa" w:w="100"/>
              <w:bottom w:type="dxa" w:w="60"/>
              <w:right w:type="dxa" w:w="100"/>
            </w:tcMar>
            <w:vAlign w:val="top"/>
          </w:tcPr>
          <w:p>
            <w:r>
              <w:rPr>
                <w:sz w:val="16"/>
                <w:szCs w:val="16"/>
              </w:rPr>
              <w:t xml:space="preserve">Head at A alone, 3 wells, information on A or B</w:t>
            </w:r>
          </w:p>
        </w:tc>
        <w:tc>
          <w:tcPr>
            <w:tcW w:type="dxa" w:w="3000"/>
            <w:shd w:fill="F7F9FC" w:color="auto" w:val="clear"/>
            <w:tcMar>
              <w:top w:type="dxa" w:w="60"/>
              <w:left w:type="dxa" w:w="100"/>
              <w:bottom w:type="dxa" w:w="60"/>
              <w:right w:type="dxa" w:w="100"/>
            </w:tcMar>
            <w:vAlign w:val="top"/>
          </w:tcPr>
          <w:p>
            <w:r>
              <w:rPr>
                <w:sz w:val="16"/>
                <w:szCs w:val="16"/>
              </w:rPr>
              <w:t xml:space="preserve">40%</w:t>
            </w:r>
          </w:p>
        </w:tc>
        <w:tc>
          <w:tcPr>
            <w:tcW w:type="dxa" w:w="3000"/>
            <w:shd w:fill="F7F9FC" w:color="auto" w:val="clear"/>
            <w:tcMar>
              <w:top w:type="dxa" w:w="60"/>
              <w:left w:type="dxa" w:w="100"/>
              <w:bottom w:type="dxa" w:w="60"/>
              <w:right w:type="dxa" w:w="100"/>
            </w:tcMar>
            <w:vAlign w:val="top"/>
          </w:tcPr>
          <w:p>
            <w:r>
              <w:rPr>
                <w:sz w:val="16"/>
                <w:szCs w:val="16"/>
              </w:rPr>
              <w:t xml:space="preserve">100%</w:t>
            </w:r>
          </w:p>
        </w:tc>
      </w:tr>
      <w:tr>
        <w:trPr>
          <w:cantSplit/>
        </w:trPr>
        <w:tc>
          <w:tcPr>
            <w:tcW w:type="dxa" w:w="3638"/>
            <w:tcMar>
              <w:top w:type="dxa" w:w="60"/>
              <w:left w:type="dxa" w:w="100"/>
              <w:bottom w:type="dxa" w:w="60"/>
              <w:right w:type="dxa" w:w="100"/>
            </w:tcMar>
            <w:vAlign w:val="top"/>
          </w:tcPr>
          <w:p>
            <w:r>
              <w:rPr>
                <w:sz w:val="16"/>
                <w:szCs w:val="16"/>
              </w:rPr>
              <w:t xml:space="preserve">P(A or B intruded): no recharge → PRAG-MAR</w:t>
            </w:r>
          </w:p>
        </w:tc>
        <w:tc>
          <w:tcPr>
            <w:tcW w:type="dxa" w:w="3000"/>
            <w:tcMar>
              <w:top w:type="dxa" w:w="60"/>
              <w:left w:type="dxa" w:w="100"/>
              <w:bottom w:type="dxa" w:w="60"/>
              <w:right w:type="dxa" w:w="100"/>
            </w:tcMar>
            <w:vAlign w:val="top"/>
          </w:tcPr>
          <w:p>
            <w:r>
              <w:rPr>
                <w:sz w:val="16"/>
                <w:szCs w:val="16"/>
              </w:rPr>
              <w:t xml:space="preserve">0.79 → 0.04</w:t>
            </w:r>
          </w:p>
        </w:tc>
        <w:tc>
          <w:tcPr>
            <w:tcW w:type="dxa" w:w="3000"/>
            <w:tcMar>
              <w:top w:type="dxa" w:w="60"/>
              <w:left w:type="dxa" w:w="100"/>
              <w:bottom w:type="dxa" w:w="60"/>
              <w:right w:type="dxa" w:w="100"/>
            </w:tcMar>
            <w:vAlign w:val="top"/>
          </w:tcPr>
          <w:p>
            <w:r>
              <w:rPr>
                <w:sz w:val="16"/>
                <w:szCs w:val="16"/>
              </w:rPr>
              <w:t xml:space="preserve">0.56 → 0.06</w:t>
            </w:r>
          </w:p>
        </w:tc>
      </w:tr>
      <w:tr>
        <w:trPr>
          <w:cantSplit/>
        </w:trPr>
        <w:tc>
          <w:tcPr>
            <w:tcW w:type="dxa" w:w="3638"/>
            <w:shd w:fill="F7F9FC" w:color="auto" w:val="clear"/>
            <w:tcMar>
              <w:top w:type="dxa" w:w="60"/>
              <w:left w:type="dxa" w:w="100"/>
              <w:bottom w:type="dxa" w:w="60"/>
              <w:right w:type="dxa" w:w="100"/>
            </w:tcMar>
            <w:vAlign w:val="top"/>
          </w:tcPr>
          <w:p>
            <w:r>
              <w:rPr>
                <w:sz w:val="16"/>
                <w:szCs w:val="16"/>
              </w:rPr>
              <w:t xml:space="preserve">P(A or B intruded) with the published sites</w:t>
            </w:r>
          </w:p>
        </w:tc>
        <w:tc>
          <w:tcPr>
            <w:tcW w:type="dxa" w:w="3000"/>
            <w:shd w:fill="F7F9FC" w:color="auto" w:val="clear"/>
            <w:tcMar>
              <w:top w:type="dxa" w:w="60"/>
              <w:left w:type="dxa" w:w="100"/>
              <w:bottom w:type="dxa" w:w="60"/>
              <w:right w:type="dxa" w:w="100"/>
            </w:tcMar>
            <w:vAlign w:val="top"/>
          </w:tcPr>
          <w:p>
            <w:r>
              <w:rPr>
                <w:sz w:val="16"/>
                <w:szCs w:val="16"/>
              </w:rPr>
              <w:t xml:space="preserve">0.62</w:t>
            </w:r>
          </w:p>
        </w:tc>
        <w:tc>
          <w:tcPr>
            <w:tcW w:type="dxa" w:w="3000"/>
            <w:shd w:fill="F7F9FC" w:color="auto" w:val="clear"/>
            <w:tcMar>
              <w:top w:type="dxa" w:w="60"/>
              <w:left w:type="dxa" w:w="100"/>
              <w:bottom w:type="dxa" w:w="60"/>
              <w:right w:type="dxa" w:w="100"/>
            </w:tcMar>
            <w:vAlign w:val="top"/>
          </w:tcPr>
          <w:p>
            <w:r>
              <w:rPr>
                <w:sz w:val="16"/>
                <w:szCs w:val="16"/>
              </w:rPr>
              <w:t xml:space="preserve">0.53</w:t>
            </w:r>
          </w:p>
        </w:tc>
      </w:tr>
      <w:tr>
        <w:trPr>
          <w:cantSplit/>
        </w:trPr>
        <w:tc>
          <w:tcPr>
            <w:tcW w:type="dxa" w:w="3638"/>
            <w:tcMar>
              <w:top w:type="dxa" w:w="60"/>
              <w:left w:type="dxa" w:w="100"/>
              <w:bottom w:type="dxa" w:w="60"/>
              <w:right w:type="dxa" w:w="100"/>
            </w:tcMar>
            <w:vAlign w:val="top"/>
          </w:tcPr>
          <w:p>
            <w:r>
              <w:rPr>
                <w:sz w:val="16"/>
                <w:szCs w:val="16"/>
              </w:rPr>
              <w:t xml:space="preserve">P(A or B intruded) with the area adjoint, recomputed</w:t>
            </w:r>
          </w:p>
        </w:tc>
        <w:tc>
          <w:tcPr>
            <w:tcW w:type="dxa" w:w="3000"/>
            <w:tcMar>
              <w:top w:type="dxa" w:w="60"/>
              <w:left w:type="dxa" w:w="100"/>
              <w:bottom w:type="dxa" w:w="60"/>
              <w:right w:type="dxa" w:w="100"/>
            </w:tcMar>
            <w:vAlign w:val="top"/>
          </w:tcPr>
          <w:p>
            <w:r>
              <w:rPr>
                <w:sz w:val="16"/>
                <w:szCs w:val="16"/>
              </w:rPr>
              <w:t xml:space="preserve">= published sites</w:t>
            </w:r>
          </w:p>
        </w:tc>
        <w:tc>
          <w:tcPr>
            <w:tcW w:type="dxa" w:w="3000"/>
            <w:tcMar>
              <w:top w:type="dxa" w:w="60"/>
              <w:left w:type="dxa" w:w="100"/>
              <w:bottom w:type="dxa" w:w="60"/>
              <w:right w:type="dxa" w:w="100"/>
            </w:tcMar>
            <w:vAlign w:val="top"/>
          </w:tcPr>
          <w:p>
            <w:r>
              <w:rPr>
                <w:sz w:val="16"/>
                <w:szCs w:val="16"/>
              </w:rPr>
              <w:t xml:space="preserve">0.30</w:t>
            </w:r>
          </w:p>
        </w:tc>
      </w:tr>
      <w:tr>
        <w:trPr>
          <w:cantSplit/>
        </w:trPr>
        <w:tc>
          <w:tcPr>
            <w:tcW w:type="dxa" w:w="3638"/>
            <w:shd w:fill="F7F9FC" w:color="auto" w:val="clear"/>
            <w:tcMar>
              <w:top w:type="dxa" w:w="60"/>
              <w:left w:type="dxa" w:w="100"/>
              <w:bottom w:type="dxa" w:w="60"/>
              <w:right w:type="dxa" w:w="100"/>
            </w:tcMar>
            <w:vAlign w:val="top"/>
          </w:tcPr>
          <w:p>
            <w:r>
              <w:rPr>
                <w:sz w:val="16"/>
                <w:szCs w:val="16"/>
              </w:rPr>
              <w:t xml:space="preserve">PRAG-MAR sites</w:t>
            </w:r>
          </w:p>
        </w:tc>
        <w:tc>
          <w:tcPr>
            <w:tcW w:type="dxa" w:w="3000"/>
            <w:shd w:fill="F7F9FC" w:color="auto" w:val="clear"/>
            <w:tcMar>
              <w:top w:type="dxa" w:w="60"/>
              <w:left w:type="dxa" w:w="100"/>
              <w:bottom w:type="dxa" w:w="60"/>
              <w:right w:type="dxa" w:w="100"/>
            </w:tcMar>
            <w:vAlign w:val="top"/>
          </w:tcPr>
          <w:p>
            <w:r>
              <w:rPr>
                <w:sz w:val="16"/>
                <w:szCs w:val="16"/>
              </w:rPr>
              <w:t xml:space="preserve">A23, R16, P21 (two in the supply-well cells)</w:t>
            </w:r>
          </w:p>
        </w:tc>
        <w:tc>
          <w:tcPr>
            <w:tcW w:type="dxa" w:w="3000"/>
            <w:shd w:fill="F7F9FC" w:color="auto" w:val="clear"/>
            <w:tcMar>
              <w:top w:type="dxa" w:w="60"/>
              <w:left w:type="dxa" w:w="100"/>
              <w:bottom w:type="dxa" w:w="60"/>
              <w:right w:type="dxa" w:w="100"/>
            </w:tcMar>
            <w:vAlign w:val="top"/>
          </w:tcPr>
          <w:p>
            <w:r>
              <w:rPr>
                <w:sz w:val="16"/>
                <w:szCs w:val="16"/>
              </w:rPr>
              <w:t xml:space="preserve">P9, A25, A3 (≥ 1 km from the supply wells)</w:t>
            </w:r>
          </w:p>
        </w:tc>
      </w:tr>
    </w:tbl>
    <w:p>
      <w:pPr>
        <w:spacing w:after="160"/>
      </w:pPr>
    </w:p>
    <w:p>
      <w:pPr>
        <w:spacing w:after="120"/>
        <w:jc w:val="both"/>
      </w:pPr>
      <w:r>
        <w:rPr>
          <w:b/>
          <w:bCs/>
        </w:rPr>
        <w:t xml:space="preserve">What holds.</w:t>
      </w:r>
      <w:r>
        <w:t xml:space="preserve"> For goals at the supply wells, designs built on the threshold risk beat designs built on the intruded area, for monitoring and for recharge. For "A or B", PRAG-GO comes within 2.5 percentage points of the best design in every test of both versions, three or five wells and every prior, and PRAG-MAR protects the wells several times better than area-sited recharge with the same water.</w:t>
      </w:r>
    </w:p>
    <w:p>
      <w:pPr>
        <w:spacing w:after="120"/>
        <w:jc w:val="both"/>
      </w:pPr>
      <w:r>
        <w:rPr>
          <w:b/>
          <w:bCs/>
        </w:rPr>
        <w:t xml:space="preserve">What does not hold.</w:t>
      </w:r>
      <w:r>
        <w:t xml:space="preserve"> The specific wells, sites and numbers of the first version do not carry over. The headline 0.79 → 0.04 against 0.62 belonged to a model in which the southern plain was in contact with the sea. The supply well R16 and the published MAR sites A18 and P21 lie in that plain, which has no sea contact. The first version's finding that the head at A alone misses the "A or B" optimum depended on two distant, nearly independent supply wells; with two wells of one field it disappears. The general lesson is that a goal-oriented design inherits every boundary assumption of its model, and the boundary should be checked against independent geographic data before a design is recommended.</w:t>
      </w:r>
    </w:p>
    <w:p>
      <w:pPr>
        <w:spacing w:after="240"/>
      </w:pPr>
    </w:p>
    <w:p>
      <w:pPr>
        <w:pStyle w:val="Heading1"/>
      </w:pPr>
      <w:r>
        <w:rPr>
          <w:color w:val="1F3864"/>
        </w:rPr>
        <w:t xml:space="preserve">7. What we learn</w:t>
      </w:r>
    </w:p>
    <w:p>
      <w:pPr>
        <w:pStyle w:val="ListParagraph"/>
        <w:numPr>
          <w:ilvl w:val="0"/>
          <w:numId w:val="2"/>
        </w:numPr>
        <w:spacing w:after="60"/>
        <w:jc w:val="both"/>
      </w:pPr>
      <w:r>
        <w:rPr>
          <w:b/>
          <w:bCs/>
        </w:rPr>
        <w:t xml:space="preserve">The target of the design matters more than the model.</w:t>
      </w:r>
      <w:r>
        <w:t xml:space="preserve"> With either boundary, the wells that inform the intruded area are not the wells that inform the supply wells. Here the area design keeps only 52% (three wells) and 48% (five wells) of the information on "A or B intruded".</w:t>
      </w:r>
    </w:p>
    <w:p>
      <w:pPr>
        <w:pStyle w:val="ListParagraph"/>
        <w:numPr>
          <w:ilvl w:val="0"/>
          <w:numId w:val="2"/>
        </w:numPr>
        <w:spacing w:after="60"/>
        <w:jc w:val="both"/>
      </w:pPr>
      <w:r>
        <w:rPr>
          <w:b/>
          <w:bCs/>
        </w:rPr>
        <w:t xml:space="preserve">PRAG-GO is exact enough.</w:t>
      </w:r>
      <w:r>
        <w:t xml:space="preserve"> With the linear moments that the project already computes, it selects the exact optimum with three wells and 99.6% of the best design with five, with </w:t>
      </w:r>
      <m:oMath>
        <m:sSub>
          <m:e>
            <m:r>
              <m:t>ρ</m:t>
            </m:r>
          </m:e>
          <m:sub>
            <m:r>
              <m:t>s</m:t>
            </m:r>
          </m:sub>
        </m:sSub>
        <m:r>
          <m:rPr>
            <m:sty m:val="p"/>
          </m:rPr>
          <m:t>=</m:t>
        </m:r>
        <m:r>
          <m:t>0.97</m:t>
        </m:r>
      </m:oMath>
      <w:r>
        <w:t xml:space="preserve"> over all three-well designs.</w:t>
      </w:r>
    </w:p>
    <w:p>
      <w:pPr>
        <w:pStyle w:val="ListParagraph"/>
        <w:numPr>
          <w:ilvl w:val="0"/>
          <w:numId w:val="2"/>
        </w:numPr>
        <w:spacing w:after="60"/>
        <w:jc w:val="both"/>
      </w:pPr>
      <w:r>
        <w:rPr>
          <w:b/>
          <w:bCs/>
        </w:rPr>
        <w:t xml:space="preserve">Recharge for the wells goes next to the wells.</w:t>
      </w:r>
      <w:r>
        <w:t xml:space="preserve"> PRAG-MAR lowers the risk from 0.56 to 0.06 with two adjoint solves, close to the exact optimum (0.04). The area adjoint reaches 0.30: it is right for the area, wrong for the wells.</w:t>
      </w:r>
    </w:p>
    <w:p>
      <w:pPr>
        <w:pStyle w:val="ListParagraph"/>
        <w:numPr>
          <w:ilvl w:val="0"/>
          <w:numId w:val="2"/>
        </w:numPr>
        <w:spacing w:after="60"/>
        <w:jc w:val="both"/>
      </w:pPr>
      <w:r>
        <w:rPr>
          <w:b/>
          <w:bCs/>
        </w:rPr>
        <w:t xml:space="preserve">The boundary decides where the risk is.</w:t>
      </w:r>
      <w:r>
        <w:t xml:space="preserve"> Geolocating the sea contact shrinks the intrusion from 92.7 to 10.1 km² and moves the risk from the whole western margin to the pumped well field. Designs computed with the full-margin boundary should not be used in the field.</w:t>
      </w:r>
    </w:p>
    <w:p>
      <w:pPr>
        <w:spacing w:after="240"/>
      </w:pPr>
    </w:p>
    <w:p>
      <w:pPr>
        <w:pStyle w:val="Heading1"/>
      </w:pPr>
      <w:r>
        <w:rPr>
          <w:color w:val="1F3864"/>
        </w:rPr>
        <w:t xml:space="preserve">8. Limitations and next steps</w:t>
      </w:r>
    </w:p>
    <w:p>
      <w:pPr>
        <w:pStyle w:val="ListParagraph"/>
        <w:numPr>
          <w:ilvl w:val="0"/>
          <w:numId w:val="4"/>
        </w:numPr>
        <w:spacing w:after="60"/>
        <w:jc w:val="both"/>
      </w:pPr>
      <w:r>
        <w:rPr>
          <w:b/>
          <w:bCs/>
        </w:rPr>
        <w:t xml:space="preserve">Uncalibrated physics.</w:t>
      </w:r>
      <w:r>
        <w:t xml:space="preserve"> The model keeps the representative thickness, base and recharge of the companion model; it is not the calibrated chloride model of the chloride study. The absolute probabilities are illustrative; the comparison between designs is not affected, because all of them are evaluated in the same model.</w:t>
      </w:r>
    </w:p>
    <w:p>
      <w:pPr>
        <w:pStyle w:val="ListParagraph"/>
        <w:numPr>
          <w:ilvl w:val="0"/>
          <w:numId w:val="4"/>
        </w:numPr>
        <w:spacing w:after="60"/>
        <w:jc w:val="both"/>
      </w:pPr>
      <w:r>
        <w:rPr>
          <w:b/>
          <w:bCs/>
        </w:rPr>
        <w:t xml:space="preserve">Supply wells and pumping.</w:t>
      </w:r>
      <w:r>
        <w:t xml:space="preserve"> A1 and P10 stand in for the Gorre and Fushë-Kuqe pumping stations, whose coordinates are not in the data, and the pumping rates follow the ½ rule rather than records. A pumping that reproduced the documented head decline at the well field (from 8.0 to 1.5 m above ground) would make intrusion of both wells certain in this model, leaving no risk to design for. The result to retain is the comparison: for a given pumping, recharge sited on the supply-well risk protects the wells several times better than recharge sited on the intruded area.</w:t>
      </w:r>
    </w:p>
    <w:p>
      <w:pPr>
        <w:pStyle w:val="ListParagraph"/>
        <w:numPr>
          <w:ilvl w:val="0"/>
          <w:numId w:val="4"/>
        </w:numPr>
        <w:spacing w:after="60"/>
        <w:jc w:val="both"/>
      </w:pPr>
      <w:r>
        <w:rPr>
          <w:b/>
          <w:bCs/>
        </w:rPr>
        <w:t xml:space="preserve">The 250 mg/L threshold.</w:t>
      </w:r>
      <w:r>
        <w:t xml:space="preserve"> The Ghyben–Herzberg criterion treats the interface as sharp. The chloride study adds a dispersive transition zone and a variable-density section along A–A′; PRAG-GO on that model, with chloride samples at three depths as data, is the next step.</w:t>
      </w:r>
    </w:p>
    <w:p>
      <w:pPr>
        <w:pStyle w:val="ListParagraph"/>
        <w:numPr>
          <w:ilvl w:val="0"/>
          <w:numId w:val="4"/>
        </w:numPr>
        <w:spacing w:after="60"/>
        <w:jc w:val="both"/>
      </w:pPr>
      <w:r>
        <w:rPr>
          <w:b/>
          <w:bCs/>
        </w:rPr>
        <w:t xml:space="preserve">Code.</w:t>
      </w:r>
      <w:r>
        <w:t xml:space="preserve"> Python: experiments/prag_go_fushe_kuqe (fk_geo.py, fk_mar_geo.py, fk_prag_geo.py, fk_prag_geo_check.py, fk_geo_figs.py). MATLAB: chloride_fk/matlab/fkcl_prag_mar.m and fkcl_prag_go.m, which reproduce the Python results from the same random draws, and src/prag_mar.m.</w:t>
      </w:r>
    </w:p>
    <w:p>
      <w:pPr>
        <w:pStyle w:val="ListParagraph"/>
        <w:numPr>
          <w:ilvl w:val="0"/>
          <w:numId w:val="4"/>
        </w:numPr>
        <w:spacing w:after="60"/>
        <w:jc w:val="both"/>
      </w:pPr>
      <w:r>
        <w:rPr>
          <w:b/>
          <w:bCs/>
        </w:rPr>
        <w:t xml:space="preserve">Joint design.</w:t>
      </w:r>
      <w:r>
        <w:t xml:space="preserve"> Monitoring and recharge can be chosen together, with the value of information for the recharge decision as the goal.</w:t>
      </w:r>
    </w:p>
    <w:p>
      <w:pPr>
        <w:spacing w:after="240"/>
      </w:pPr>
    </w:p>
    <w:p>
      <w:pPr>
        <w:pStyle w:val="Heading1"/>
      </w:pPr>
      <w:r>
        <w:rPr>
          <w:color w:val="1F3864"/>
        </w:rPr>
        <w:t xml:space="preserve">9. References</w:t>
      </w:r>
    </w:p>
    <w:p>
      <w:pPr>
        <w:tabs>
          <w:tab w:val="left" w:pos="567"/>
        </w:tabs>
        <w:spacing w:after="90"/>
        <w:ind w:left="567" w:hanging="567"/>
        <w:jc w:val="left"/>
      </w:pPr>
      <w:r>
        <w:rPr>
          <w:b/>
          <w:bCs/>
          <w:color w:val="1F3864"/>
          <w:sz w:val="19"/>
          <w:szCs w:val="19"/>
        </w:rPr>
        <w:t xml:space="preserve">[B1]	</w:t>
      </w:r>
      <w:r>
        <w:rPr>
          <w:sz w:val="19"/>
          <w:szCs w:val="19"/>
        </w:rPr>
        <w:t xml:space="preserve">Cenameri, S. &amp; Beqiraj, A. (2016). Assessment of seawater intrusion in Fushë Kuqe aquifer, Albania. </w:t>
      </w:r>
      <w:r>
        <w:rPr>
          <w:i/>
          <w:iCs/>
          <w:sz w:val="19"/>
          <w:szCs w:val="19"/>
        </w:rPr>
        <w:t xml:space="preserve">Bulletin of the Geological Society of Greece</w:t>
      </w:r>
      <w:r>
        <w:rPr>
          <w:sz w:val="19"/>
          <w:szCs w:val="19"/>
        </w:rPr>
        <w:t xml:space="preserve">, 50(2), 665–670.</w:t>
      </w:r>
      <w:r>
        <w:rPr>
          <w:sz w:val="19"/>
          <w:szCs w:val="19"/>
        </w:rPr>
        <w:t xml:space="preserve"> </w:t>
      </w:r>
      <w:hyperlink w:history="1" r:id="rIdz3gcbv0zk8p1jpfr8lnpj">
        <w:r>
          <w:rPr>
            <w:color w:val="1D4ED8"/>
            <w:sz w:val="19"/>
            <w:szCs w:val="19"/>
            <w:u w:val="single"/>
          </w:rPr>
          <w:t xml:space="preserve">https://doi.org/10.12681/bgsg.11772</w:t>
        </w:r>
      </w:hyperlink>
    </w:p>
    <w:p>
      <w:pPr>
        <w:tabs>
          <w:tab w:val="left" w:pos="567"/>
        </w:tabs>
        <w:spacing w:after="90"/>
        <w:ind w:left="567" w:hanging="567"/>
        <w:jc w:val="left"/>
      </w:pPr>
      <w:r>
        <w:rPr>
          <w:b/>
          <w:bCs/>
          <w:color w:val="1F3864"/>
          <w:sz w:val="19"/>
          <w:szCs w:val="19"/>
        </w:rPr>
        <w:t xml:space="preserve">[B2]	</w:t>
      </w:r>
      <w:r>
        <w:rPr>
          <w:sz w:val="19"/>
          <w:szCs w:val="19"/>
        </w:rPr>
        <w:t xml:space="preserve">Albanian Geological Survey (2024). Fushë-Kuqe aquifer data: polygon, 43 wells with K, and piezometric levels. Used with permission; data/Fushe_Kuqe_All_Data.xlsx in the repository.</w:t>
      </w:r>
    </w:p>
    <w:p>
      <w:pPr>
        <w:tabs>
          <w:tab w:val="left" w:pos="567"/>
        </w:tabs>
        <w:spacing w:after="90"/>
        <w:ind w:left="567" w:hanging="567"/>
        <w:jc w:val="left"/>
      </w:pPr>
      <w:r>
        <w:rPr>
          <w:b/>
          <w:bCs/>
          <w:color w:val="1F3864"/>
          <w:sz w:val="19"/>
          <w:szCs w:val="19"/>
        </w:rPr>
        <w:t xml:space="preserve">[B3]	</w:t>
      </w:r>
      <w:r>
        <w:rPr>
          <w:sz w:val="19"/>
          <w:szCs w:val="19"/>
        </w:rPr>
        <w:t xml:space="preserve">GLOBE Task Team and others (Hastings, D. A., Dunbar, P. K., et al., eds.) (1999). The Global Land One-kilometer Base Elevation (GLOBE) Digital Elevation Model, Version 1.0. NOAA National Geophysical Data Center, Boulder, Colorado.</w:t>
      </w:r>
      <w:r>
        <w:rPr>
          <w:sz w:val="19"/>
          <w:szCs w:val="19"/>
        </w:rPr>
        <w:t xml:space="preserve"> </w:t>
      </w:r>
      <w:hyperlink w:history="1" r:id="rId65a7ueruglmgbqv2axvm2">
        <w:r>
          <w:rPr>
            <w:color w:val="1D4ED8"/>
            <w:sz w:val="19"/>
            <w:szCs w:val="19"/>
            <w:u w:val="single"/>
          </w:rPr>
          <w:t xml:space="preserve">https://doi.org/10.7289/V52R3PMS</w:t>
        </w:r>
      </w:hyperlink>
    </w:p>
    <w:p>
      <w:pPr>
        <w:tabs>
          <w:tab w:val="left" w:pos="567"/>
        </w:tabs>
        <w:spacing w:after="90"/>
        <w:ind w:left="567" w:hanging="567"/>
        <w:jc w:val="left"/>
      </w:pPr>
      <w:r>
        <w:rPr>
          <w:b/>
          <w:bCs/>
          <w:color w:val="1F3864"/>
          <w:sz w:val="19"/>
          <w:szCs w:val="19"/>
        </w:rPr>
        <w:t xml:space="preserve">[B4]	</w:t>
      </w:r>
      <w:r>
        <w:rPr>
          <w:sz w:val="19"/>
          <w:szCs w:val="19"/>
        </w:rPr>
        <w:t xml:space="preserve">Strack, O. D. L. (1976). A single-potential solution for regional interface problems in coastal aquifers. </w:t>
      </w:r>
      <w:r>
        <w:rPr>
          <w:i/>
          <w:iCs/>
          <w:sz w:val="19"/>
          <w:szCs w:val="19"/>
        </w:rPr>
        <w:t xml:space="preserve">Water Resources Research</w:t>
      </w:r>
      <w:r>
        <w:rPr>
          <w:sz w:val="19"/>
          <w:szCs w:val="19"/>
        </w:rPr>
        <w:t xml:space="preserve">, 12(6), 1165–1174.</w:t>
      </w:r>
      <w:r>
        <w:rPr>
          <w:sz w:val="19"/>
          <w:szCs w:val="19"/>
        </w:rPr>
        <w:t xml:space="preserve"> </w:t>
      </w:r>
      <w:hyperlink w:history="1" r:id="rIdazqklcfbqgymbkngxupwh">
        <w:r>
          <w:rPr>
            <w:color w:val="1D4ED8"/>
            <w:sz w:val="19"/>
            <w:szCs w:val="19"/>
            <w:u w:val="single"/>
          </w:rPr>
          <w:t xml:space="preserve">https://doi.org/10.1029/WR012i006p01165</w:t>
        </w:r>
      </w:hyperlink>
    </w:p>
    <w:p>
      <w:pPr>
        <w:tabs>
          <w:tab w:val="left" w:pos="567"/>
        </w:tabs>
        <w:spacing w:after="90"/>
        <w:ind w:left="567" w:hanging="567"/>
        <w:jc w:val="left"/>
      </w:pPr>
      <w:r>
        <w:rPr>
          <w:b/>
          <w:bCs/>
          <w:color w:val="1F3864"/>
          <w:sz w:val="19"/>
          <w:szCs w:val="19"/>
        </w:rPr>
        <w:t xml:space="preserve">[B5]	</w:t>
      </w:r>
      <w:r>
        <w:rPr>
          <w:sz w:val="19"/>
          <w:szCs w:val="19"/>
        </w:rPr>
        <w:t xml:space="preserve">Werner, A. D., Bakker, M., Post, V. E. A., Vandenbohede, A., Lu, C., Ataie-Ashtiani, B., Simmons, C. T. &amp; Barry, D. A. (2013). Seawater intrusion processes, investigation and management: Recent advances and future challenges. </w:t>
      </w:r>
      <w:r>
        <w:rPr>
          <w:i/>
          <w:iCs/>
          <w:sz w:val="19"/>
          <w:szCs w:val="19"/>
        </w:rPr>
        <w:t xml:space="preserve">Advances in Water Resources</w:t>
      </w:r>
      <w:r>
        <w:rPr>
          <w:sz w:val="19"/>
          <w:szCs w:val="19"/>
        </w:rPr>
        <w:t xml:space="preserve">, 51, 3–26.</w:t>
      </w:r>
      <w:r>
        <w:rPr>
          <w:sz w:val="19"/>
          <w:szCs w:val="19"/>
        </w:rPr>
        <w:t xml:space="preserve"> </w:t>
      </w:r>
      <w:hyperlink w:history="1" r:id="rIdu42-uux1tmzisyelz-tu9">
        <w:r>
          <w:rPr>
            <w:color w:val="1D4ED8"/>
            <w:sz w:val="19"/>
            <w:szCs w:val="19"/>
            <w:u w:val="single"/>
          </w:rPr>
          <w:t xml:space="preserve">https://doi.org/10.1016/j.advwatres.2012.03.004</w:t>
        </w:r>
      </w:hyperlink>
    </w:p>
    <w:p>
      <w:pPr>
        <w:tabs>
          <w:tab w:val="left" w:pos="567"/>
        </w:tabs>
        <w:spacing w:after="90"/>
        <w:ind w:left="567" w:hanging="567"/>
        <w:jc w:val="left"/>
      </w:pPr>
      <w:r>
        <w:rPr>
          <w:b/>
          <w:bCs/>
          <w:color w:val="1F3864"/>
          <w:sz w:val="19"/>
          <w:szCs w:val="19"/>
        </w:rPr>
        <w:t xml:space="preserve">[B6]	</w:t>
      </w:r>
      <w:r>
        <w:rPr>
          <w:sz w:val="19"/>
          <w:szCs w:val="19"/>
        </w:rPr>
        <w:t xml:space="preserve">Dillon, P. (2005). Future management of aquifer recharge. </w:t>
      </w:r>
      <w:r>
        <w:rPr>
          <w:i/>
          <w:iCs/>
          <w:sz w:val="19"/>
          <w:szCs w:val="19"/>
        </w:rPr>
        <w:t xml:space="preserve">Hydrogeology Journal</w:t>
      </w:r>
      <w:r>
        <w:rPr>
          <w:sz w:val="19"/>
          <w:szCs w:val="19"/>
        </w:rPr>
        <w:t xml:space="preserve">, 13(1), 313–316.</w:t>
      </w:r>
      <w:r>
        <w:rPr>
          <w:sz w:val="19"/>
          <w:szCs w:val="19"/>
        </w:rPr>
        <w:t xml:space="preserve"> </w:t>
      </w:r>
      <w:hyperlink w:history="1" r:id="rIdnvmg4tzpkvtuhswh7a68o">
        <w:r>
          <w:rPr>
            <w:color w:val="1D4ED8"/>
            <w:sz w:val="19"/>
            <w:szCs w:val="19"/>
            <w:u w:val="single"/>
          </w:rPr>
          <w:t xml:space="preserve">https://doi.org/10.1007/s10040-004-0413-6</w:t>
        </w:r>
      </w:hyperlink>
    </w:p>
    <w:p>
      <w:pPr>
        <w:tabs>
          <w:tab w:val="left" w:pos="567"/>
        </w:tabs>
        <w:spacing w:after="90"/>
        <w:ind w:left="567" w:hanging="567"/>
        <w:jc w:val="left"/>
      </w:pPr>
      <w:r>
        <w:rPr>
          <w:b/>
          <w:bCs/>
          <w:color w:val="1F3864"/>
          <w:sz w:val="19"/>
          <w:szCs w:val="19"/>
        </w:rPr>
        <w:t xml:space="preserve">[B7]	</w:t>
      </w:r>
      <w:r>
        <w:rPr>
          <w:sz w:val="19"/>
          <w:szCs w:val="19"/>
        </w:rPr>
        <w:t xml:space="preserve">Lindley, D. V. (1956). On a measure of the information provided by an experiment. </w:t>
      </w:r>
      <w:r>
        <w:rPr>
          <w:i/>
          <w:iCs/>
          <w:sz w:val="19"/>
          <w:szCs w:val="19"/>
        </w:rPr>
        <w:t xml:space="preserve">The Annals of Mathematical Statistics</w:t>
      </w:r>
      <w:r>
        <w:rPr>
          <w:sz w:val="19"/>
          <w:szCs w:val="19"/>
        </w:rPr>
        <w:t xml:space="preserve">, 27(4), 986–1005.</w:t>
      </w:r>
      <w:r>
        <w:rPr>
          <w:sz w:val="19"/>
          <w:szCs w:val="19"/>
        </w:rPr>
        <w:t xml:space="preserve"> </w:t>
      </w:r>
      <w:hyperlink w:history="1" r:id="rIdb9_ftecooywfrjnsa2zam">
        <w:r>
          <w:rPr>
            <w:color w:val="1D4ED8"/>
            <w:sz w:val="19"/>
            <w:szCs w:val="19"/>
            <w:u w:val="single"/>
          </w:rPr>
          <w:t xml:space="preserve">https://doi.org/10.1214/aoms/1177728069</w:t>
        </w:r>
      </w:hyperlink>
    </w:p>
    <w:p>
      <w:pPr>
        <w:tabs>
          <w:tab w:val="left" w:pos="567"/>
        </w:tabs>
        <w:spacing w:after="90"/>
        <w:ind w:left="567" w:hanging="567"/>
        <w:jc w:val="left"/>
      </w:pPr>
      <w:r>
        <w:rPr>
          <w:b/>
          <w:bCs/>
          <w:color w:val="1F3864"/>
          <w:sz w:val="19"/>
          <w:szCs w:val="19"/>
        </w:rPr>
        <w:t xml:space="preserve">[B8]	</w:t>
      </w:r>
      <w:r>
        <w:rPr>
          <w:sz w:val="19"/>
          <w:szCs w:val="19"/>
        </w:rPr>
        <w:t xml:space="preserve">Zeqiraj, D. (2026). Goal-oriented Bayesian experimental design for variable-density seawater intrusion: Adjoint expected information gain for joint monitoring and managed-aquifer-recharge placement. </w:t>
      </w:r>
      <w:r>
        <w:rPr>
          <w:i/>
          <w:iCs/>
          <w:sz w:val="19"/>
          <w:szCs w:val="19"/>
        </w:rPr>
        <w:t xml:space="preserve">Journal of Hydrology</w:t>
      </w:r>
      <w:r>
        <w:rPr>
          <w:sz w:val="19"/>
          <w:szCs w:val="19"/>
        </w:rPr>
        <w:t xml:space="preserve">, 680, 136559.</w:t>
      </w:r>
      <w:r>
        <w:rPr>
          <w:sz w:val="19"/>
          <w:szCs w:val="19"/>
        </w:rPr>
        <w:t xml:space="preserve"> </w:t>
      </w:r>
      <w:hyperlink w:history="1" r:id="rIduneh6cipzw21v4lerrcip">
        <w:r>
          <w:rPr>
            <w:color w:val="1D4ED8"/>
            <w:sz w:val="19"/>
            <w:szCs w:val="19"/>
            <w:u w:val="single"/>
          </w:rPr>
          <w:t xml:space="preserve">https://doi.org/10.1016/j.jhydrol.2026.136559</w:t>
        </w:r>
      </w:hyperlink>
    </w:p>
    <w:p>
      <w:pPr>
        <w:tabs>
          <w:tab w:val="left" w:pos="567"/>
        </w:tabs>
        <w:spacing w:after="90"/>
        <w:ind w:left="567" w:hanging="567"/>
        <w:jc w:val="left"/>
      </w:pPr>
      <w:r>
        <w:rPr>
          <w:b/>
          <w:bCs/>
          <w:color w:val="1F3864"/>
          <w:sz w:val="19"/>
          <w:szCs w:val="19"/>
        </w:rPr>
        <w:t xml:space="preserve">[B9]	</w:t>
      </w:r>
      <w:r>
        <w:rPr>
          <w:sz w:val="19"/>
          <w:szCs w:val="19"/>
        </w:rPr>
        <w:t xml:space="preserve">Zeqiraj, D. (in preparation). From sparse hydrochemistry to decision-relevant information: probabilistic chloride mapping and goal-oriented monitoring design for seawater intrusion in the Fushë-Kuqe coastal aquifer, Albania. Supplementary Sections S7.2a–S7.2b give the results of this note.</w:t>
      </w:r>
    </w:p>
    <w:p>
      <w:pPr>
        <w:spacing w:after="200"/>
      </w:pPr>
    </w:p>
    <w:p>
      <w:pPr>
        <w:spacing w:after="120"/>
      </w:pPr>
      <w:r>
        <w:rPr>
          <w:i/>
          <w:iCs/>
          <w:color w:val="5B6573"/>
          <w:sz w:val="18"/>
          <w:szCs w:val="18"/>
        </w:rPr>
        <w:t xml:space="preserve">Note on reliability: the geometry, the conductivity and the shoreline are real; the thickness, base and recharge are the project's representative values. Intrusion comes from the Ghyben–Herzberg criterion in an uncalibrated model, so the absolute probabilities are illustrative. The comparison between criteria and designs does not depend on this, because all of them are evaluated in the same model. The supply wells and their pumping follow rules fixed in advance, and the recharge of 2 500–10 000 m³/day per site is an assumption. The code and all numbers are in experiments/prag_go_fushe_kuqe (folder res_geo) of the repository.</w:t>
      </w: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3"/>
        <w:sz w:val="16"/>
        <w:szCs w:val="16"/>
      </w:rPr>
      <w:t xml:space="preserve">Research note · PRAG-GO and PRAG-MAR at Fushë-Kuqe · version 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lang w:val="en-US"/>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9D1DC" w:sz="6" w:space="4"/>
      </w:pBdr>
      <w:spacing w:after="200" w:before="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360"/>
      <w:outlineLvl w:val="1"/>
    </w:pPr>
    <w:rPr>
      <w:rFonts w:ascii="Calibri" w:cs="Calibri" w:eastAsia="Calibri" w:hAnsi="Calibri"/>
      <w:b/>
      <w:bCs/>
      <w:color w:val="1F3864"/>
      <w:sz w:val="25"/>
      <w:szCs w:val="25"/>
    </w:rPr>
  </w:style>
  <w:style w:type="paragraph" w:styleId="Heading3">
    <w:name w:val="Heading 3"/>
    <w:basedOn w:val="Normal"/>
    <w:next w:val="Normal"/>
    <w:qFormat/>
    <w:pPr>
      <w:keepNext/>
      <w:spacing w:after="80" w:before="220"/>
      <w:outlineLvl w:val="2"/>
    </w:pPr>
    <w:rPr>
      <w:rFonts w:ascii="Calibri" w:cs="Calibri" w:eastAsia="Calibri" w:hAnsi="Calibri"/>
      <w:b/>
      <w:bCs/>
      <w:color w:val="1F3864"/>
      <w:sz w:val="22"/>
      <w:szCs w:val="22"/>
    </w:rPr>
  </w:style>
  <w:style w:type="paragraph" w:styleId="Equation">
    <w:name w:val="Equation"/>
    <w:basedOn w:val="Normal"/>
    <w:next w:val="Normal"/>
    <w:pPr>
      <w:spacing w:after="100" w:before="80"/>
      <w:jc w:val="center"/>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z3gcbv0zk8p1jpfr8lnpj" Type="http://schemas.openxmlformats.org/officeDocument/2006/relationships/hyperlink" Target="https://doi.org/10.12681/bgsg.11772" TargetMode="External"/><Relationship Id="rId65a7ueruglmgbqv2axvm2" Type="http://schemas.openxmlformats.org/officeDocument/2006/relationships/hyperlink" Target="https://doi.org/10.7289/V52R3PMS" TargetMode="External"/><Relationship Id="rIdazqklcfbqgymbkngxupwh" Type="http://schemas.openxmlformats.org/officeDocument/2006/relationships/hyperlink" Target="https://doi.org/10.1029/WR012i006p01165" TargetMode="External"/><Relationship Id="rIdu42-uux1tmzisyelz-tu9" Type="http://schemas.openxmlformats.org/officeDocument/2006/relationships/hyperlink" Target="https://doi.org/10.1016/j.advwatres.2012.03.004" TargetMode="External"/><Relationship Id="rIdnvmg4tzpkvtuhswh7a68o" Type="http://schemas.openxmlformats.org/officeDocument/2006/relationships/hyperlink" Target="https://doi.org/10.1007/s10040-004-0413-6" TargetMode="External"/><Relationship Id="rIdb9_ftecooywfrjnsa2zam" Type="http://schemas.openxmlformats.org/officeDocument/2006/relationships/hyperlink" Target="https://doi.org/10.1214/aoms/1177728069" TargetMode="External"/><Relationship Id="rIduneh6cipzw21v4lerrcip" Type="http://schemas.openxmlformats.org/officeDocument/2006/relationships/hyperlink" Target="https://doi.org/10.1016/j.jhydrol.2026.136559" TargetMode="External"/><Relationship Id="rId11" Type="http://schemas.openxmlformats.org/officeDocument/2006/relationships/image" Target="media/23c3dc4f90835ff11d27e9d50b238716ec10c671.png"/><Relationship Id="rId12" Type="http://schemas.openxmlformats.org/officeDocument/2006/relationships/image" Target="media/766b69632367c12dce9a8d67f9f02a952fb5b401.png"/><Relationship Id="rId13" Type="http://schemas.openxmlformats.org/officeDocument/2006/relationships/image" Target="media/74fec2ccf43cdcb2a67c87f455673d1557c02e13.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PRAG-GO and PRAG-MAR at Fushë-Kuqe</dc:title>
  <dc:creator>D. Zeqiraj</dc:creator>
  <dc:description>Monitoring and managed aquifer recharge oriented to the intrusion risk of supply wells, recomputed with the geolocated sea boundary</dc:description>
  <cp:lastModifiedBy>Un-named</cp:lastModifiedBy>
  <cp:revision>1</cp:revision>
  <dcterms:created xsi:type="dcterms:W3CDTF">2026-10-19T17:03:41.999Z</dcterms:created>
  <dcterms:modified xsi:type="dcterms:W3CDTF">2026-10-19T17:03:42.000Z</dcterms:modified>
</cp:coreProperties>
</file>

<file path=docProps/custom.xml><?xml version="1.0" encoding="utf-8"?>
<Properties xmlns="http://schemas.openxmlformats.org/officeDocument/2006/custom-properties" xmlns:vt="http://schemas.openxmlformats.org/officeDocument/2006/docPropsVTypes"/>
</file>