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SHËNIM KËRKIMOR · DY INOVACIONE TË TESTUARA</w:t>
      </w:r>
    </w:p>
    <w:p>
      <w:pPr>
        <w:pBdr>
          <w:bottom w:val="single" w:color="1F3864" w:sz="12" w:space="8"/>
        </w:pBdr>
        <w:spacing w:after="240"/>
      </w:pPr>
      <w:r>
        <w:rPr>
          <w:b/>
          <w:bCs/>
          <w:color w:val="1F3864"/>
          <w:sz w:val="52"/>
          <w:szCs w:val="52"/>
        </w:rPr>
        <w:t xml:space="preserve">PRAG-GO dhe PRAG-MAR në Fushë-Kuqe</w:t>
      </w:r>
    </w:p>
    <w:p>
      <w:pPr>
        <w:spacing w:after="360"/>
      </w:pPr>
      <w:r>
        <w:rPr>
          <w:color w:val="3A4350"/>
          <w:sz w:val="26"/>
          <w:szCs w:val="26"/>
        </w:rPr>
        <w:t xml:space="preserve">Monitorimi dhe rimbushja artificiale të orientuara nga rreziku i kripëzimit të puseve të furnizimit, të testuara në modelin e fushës së projektit SWI-Goal-OED</w:t>
      </w:r>
    </w:p>
    <w:p>
      <w:pPr>
        <w:spacing w:after="360"/>
      </w:pPr>
      <w:r>
        <w:rPr>
          <w:b/>
          <w:bCs/>
          <w:color w:val="92400E"/>
          <w:sz w:val="22"/>
          <w:szCs w:val="22"/>
        </w:rPr>
        <w:t xml:space="preserve">Poligoni real 349 km² · 5 589 qeliza · 14 000 zgjidhje për prior · 142 506 dizajne me 5 puse · EIG e saktë</w:t>
      </w:r>
    </w:p>
    <w:p>
      <w:pPr>
        <w:pBdr>
          <w:left w:val="single" w:color="1F3864" w:sz="24" w:space="6"/>
        </w:pBdr>
        <w:shd w:fill="EEF3FA" w:color="auto" w:val="clear"/>
        <w:spacing w:after="220" w:before="120" w:line="276" w:lineRule="auto"/>
        <w:ind w:left="140" w:right="60"/>
        <w:jc w:val="both"/>
      </w:pPr>
      <w:r>
        <w:rPr>
          <w:b/>
          <w:bCs/>
          <w:color w:val="1F3864"/>
        </w:rPr>
        <w:t xml:space="preserve">PËRMBLEDHJE  </w:t>
      </w:r>
      <w:r>
        <w:rPr>
          <w:b/>
          <w:bCs/>
        </w:rPr>
        <w:t xml:space="preserve">Pyetja:</w:t>
      </w:r>
      <w:r>
        <w:t xml:space="preserve"> a shërbejnë puset e monitorimit dhe vendet e MAR-it, të zgjedhura për sipërfaqen e intruduar, edhe për pyetjen rregullatore «a do të kripëzohen puset e furnizimit»? </w:t>
      </w:r>
      <w:r>
        <w:rPr>
          <w:b/>
          <w:bCs/>
        </w:rPr>
        <w:t xml:space="preserve">Metoda:</w:t>
      </w:r>
      <w:r>
        <w:t xml:space="preserve"> modeli i fushës i projektit, i transferuar në Python dhe i kontrolluar kundrejt numrave të publikuar (92.7 km²; P21, A12, A13, A21, A10). Përdoren dy puse furnizimi reale, A23 në veri dhe R16 në jug, dhe EIG e saktë pa linearizim mbi të gjitha dizajnet. </w:t>
      </w:r>
      <w:r>
        <w:rPr>
          <w:b/>
          <w:bCs/>
        </w:rPr>
        <w:t xml:space="preserve">Rezultati:</w:t>
      </w:r>
      <w:r>
        <w:t xml:space="preserve"> Teorema 1 vlen, sepse dizajni për sipërfaqen është optimal për pragun e sipërfaqes. Dizajni i publikuar kap megjithatë vetëm 57% të informacionit për rrezikun në A23 dhe 82% për «A23 ose R16». PRAG-GO zgjedh dizajnin më të mirë të gjetur për «A23 ose R16». PRAG-MAR e ul rrezikun nga 0.79 në 0.04 me të njëjtin ujë.</w:t>
      </w:r>
    </w:p>
    <w:p>
      <w:pPr>
        <w:spacing w:after="80" w:before="240"/>
      </w:pPr>
      <w:r>
        <w:rPr>
          <w:b/>
          <w:bCs/>
          <w:color w:val="1F3864"/>
        </w:rPr>
        <w:t xml:space="preserve">Çfarë përmban</w:t>
      </w:r>
    </w:p>
    <w:p>
      <w:pPr>
        <w:pStyle w:val="ListParagraph"/>
        <w:numPr>
          <w:ilvl w:val="0"/>
          <w:numId w:val="2"/>
        </w:numPr>
        <w:spacing w:after="60"/>
        <w:jc w:val="both"/>
      </w:pPr>
      <w:r>
        <w:rPr>
          <w:b/>
          <w:bCs/>
        </w:rPr>
        <w:t xml:space="preserve">Modeli:</w:t>
      </w:r>
      <w:r>
        <w:t xml:space="preserve"> transferimi i modelit të fushës dhe riprodhimi i dizajnit të publikuar.</w:t>
      </w:r>
    </w:p>
    <w:p>
      <w:pPr>
        <w:pStyle w:val="ListParagraph"/>
        <w:numPr>
          <w:ilvl w:val="0"/>
          <w:numId w:val="2"/>
        </w:numPr>
        <w:spacing w:after="60"/>
        <w:jc w:val="both"/>
      </w:pPr>
      <w:r>
        <w:rPr>
          <w:b/>
          <w:bCs/>
        </w:rPr>
        <w:t xml:space="preserve">Eksperimenti:</w:t>
      </w:r>
      <w:r>
        <w:t xml:space="preserve"> puset e furnizimit, tri qëllime binare, kriteret dhe vlerësuesi i saktë.</w:t>
      </w:r>
    </w:p>
    <w:p>
      <w:pPr>
        <w:pStyle w:val="ListParagraph"/>
        <w:numPr>
          <w:ilvl w:val="0"/>
          <w:numId w:val="2"/>
        </w:numPr>
        <w:spacing w:after="60"/>
        <w:jc w:val="both"/>
      </w:pPr>
      <w:r>
        <w:rPr>
          <w:b/>
          <w:bCs/>
        </w:rPr>
        <w:t xml:space="preserve">Rezultatet:</w:t>
      </w:r>
      <w:r>
        <w:t xml:space="preserve"> dizajnet me 3 dhe 5 puse, kontrolli i konvergjencës dhe dy prior-ë të tjerë.</w:t>
      </w:r>
    </w:p>
    <w:p>
      <w:pPr>
        <w:pStyle w:val="ListParagraph"/>
        <w:numPr>
          <w:ilvl w:val="0"/>
          <w:numId w:val="2"/>
        </w:numPr>
        <w:spacing w:after="60"/>
        <w:jc w:val="both"/>
      </w:pPr>
      <w:r>
        <w:rPr>
          <w:b/>
          <w:bCs/>
        </w:rPr>
        <w:t xml:space="preserve">PRAG-MAR:</w:t>
      </w:r>
      <w:r>
        <w:t xml:space="preserve"> formula e mbyllur për vendet e rimbushjes dhe vlerësimi i saj i saktë.</w:t>
      </w:r>
    </w:p>
    <w:p>
      <w:pPr>
        <w:spacing w:before="600"/>
      </w:pPr>
      <w:r>
        <w:rPr>
          <w:color w:val="5B6573"/>
          <w:sz w:val="20"/>
          <w:szCs w:val="20"/>
        </w:rPr>
        <w:t xml:space="preserve">Data: 12 tetor 2026  ·  Vazhdim i shënimit «PRAG-GO në problemin e Henry-t»</w:t>
      </w:r>
    </w:p>
    <w:p>
      <w:pPr>
        <w:pStyle w:val="Heading1"/>
        <w:pageBreakBefore/>
      </w:pPr>
      <w:r>
        <w:rPr>
          <w:color w:val="1F3864"/>
        </w:rPr>
        <w:t xml:space="preserve">1. Pyetja dhe përgjigjja e shkurtër</w:t>
      </w:r>
    </w:p>
    <w:p>
      <w:pPr>
        <w:spacing w:after="120"/>
        <w:jc w:val="both"/>
      </w:pPr>
      <w:r>
        <w:t xml:space="preserve">Shënimi i mëparshëm provoi PRAG-GO-n në problemin e Henry-t: kur qëllimi është kalimi i një pragu të kripësisë në puset e furnizimit, dizajni i optimizuar për masën e kripës humb 16–25% të informacionit, ndërsa formula e mbyllur e PRAG-GO-s arrin 99.6–100% të optimumit të saktë. Hapi i radhës ishte fusha. Projekti përdor në Fushë-Kuqe një model rrjedhjeje të kufizuar mbi poligonin real (349 km²) dhe zgjedh 5 puse monitorimi që janë informuese për sipërfaqen e intruduar, si dhe 3 vende rimbushjeje artificiale (MAR) që e zvogëlojnë atë. Ky shënim i bën të njëjtat pyetje në këtë model:</w:t>
      </w:r>
    </w:p>
    <w:p>
      <w:pPr>
        <w:pStyle w:val="ListParagraph"/>
        <w:numPr>
          <w:ilvl w:val="0"/>
          <w:numId w:val="3"/>
        </w:numPr>
        <w:spacing w:after="60"/>
        <w:jc w:val="both"/>
      </w:pPr>
      <w:r>
        <w:rPr>
          <w:b/>
          <w:bCs/>
        </w:rPr>
        <w:t xml:space="preserve">A vlen Teorema 1 për qëllimin e vetë projektit?</w:t>
      </w:r>
      <w:r>
        <w:t xml:space="preserve"> Nëse sipërfaqja kthehet në prag (a kalon 100 km²), a mbetet optimal dizajni i Lemës 1 për sipërfaqen?</w:t>
      </w:r>
    </w:p>
    <w:p>
      <w:pPr>
        <w:pStyle w:val="ListParagraph"/>
        <w:numPr>
          <w:ilvl w:val="0"/>
          <w:numId w:val="3"/>
        </w:numPr>
        <w:spacing w:after="60"/>
        <w:jc w:val="both"/>
      </w:pPr>
      <w:r>
        <w:rPr>
          <w:b/>
          <w:bCs/>
        </w:rPr>
        <w:t xml:space="preserve">Sa informacion japin puset e publikuara për puset e furnizimit?</w:t>
      </w:r>
      <w:r>
        <w:t xml:space="preserve"> Pyetja rregullatore është nëse ndërfaqja e ujit të kripur arrin bazën e akuiferit poshtë një pusi furnizimi.</w:t>
      </w:r>
    </w:p>
    <w:p>
      <w:pPr>
        <w:pStyle w:val="ListParagraph"/>
        <w:numPr>
          <w:ilvl w:val="0"/>
          <w:numId w:val="3"/>
        </w:numPr>
        <w:spacing w:after="60"/>
        <w:jc w:val="both"/>
      </w:pPr>
      <w:r>
        <w:rPr>
          <w:b/>
          <w:bCs/>
        </w:rPr>
        <w:t xml:space="preserve">A e gjen PRAG-GO dizajnin optimal të saktë në fushë?</w:t>
      </w:r>
      <w:r>
        <w:t xml:space="preserve"> Dizajnet krahasohen me EIG-në e saktë, pa linearizim.</w:t>
      </w:r>
    </w:p>
    <w:p>
      <w:pPr>
        <w:pStyle w:val="ListParagraph"/>
        <w:numPr>
          <w:ilvl w:val="0"/>
          <w:numId w:val="3"/>
        </w:numPr>
        <w:spacing w:after="60"/>
        <w:jc w:val="both"/>
      </w:pPr>
      <w:r>
        <w:rPr>
          <w:b/>
          <w:bCs/>
        </w:rPr>
        <w:t xml:space="preserve">A duhet ndryshuar edhe vendi i MAR-it?</w:t>
      </w:r>
      <w:r>
        <w:t xml:space="preserve"> Shtrohet pyetja kur qëllimi i rimbushjes është mbrojtja e puseve dhe jo sipërfaqja. Për këtë propozohet PRAG-MAR.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Në modelin e fushës së Fushë-Kuqes, dizajni i publikuar i monitorimit me 5 puse kap 86% të informacionit për pyetjen e projektit (a e kalon sipërfaqja e intruduar 100 km²), por vetëm 57% për rrezikun e kripëzimit të pusit A23 dhe 82% për «A23 ose R16». Formula e mbyllur e PRAG-GO-s zgjedh dizajnin më të mirë të gjetur për «A23 ose R16». PRAG-MAR, një formulë e re me dy zgjidhje adjoint, me të njëjtin ujë ul probabilitetin që të kripëzohet njëri prej puseve nga 0.79 në 0.04, kundrejt 0.62 me vendet e publikuara të MAR-it.</w:t>
      </w:r>
    </w:p>
    <w:p>
      <w:pPr>
        <w:spacing w:after="240"/>
      </w:pPr>
    </w:p>
    <w:p>
      <w:pPr>
        <w:pStyle w:val="Heading1"/>
      </w:pPr>
      <w:r>
        <w:rPr>
          <w:color w:val="1F3864"/>
        </w:rPr>
        <w:t xml:space="preserve">2. Modeli i fushës dhe riprodhimi i tij</w:t>
      </w:r>
    </w:p>
    <w:p>
      <w:pPr>
        <w:spacing w:after="120"/>
        <w:jc w:val="both"/>
      </w:pPr>
      <w:r>
        <w:t xml:space="preserve">Transferuam në Python skriptin e përbashkët të projektit src/fushe_kuqe_field_design.m, rresht pas rreshti. Gjeometria përdor poligonin me 3 411 kulme dhe rrjetë me hap 0.25 km. Përçueshmëria </w:t>
      </w:r>
      <m:oMath>
        <m:sSub>
          <m:e>
            <m:r>
              <m:t>K</m:t>
            </m:r>
          </m:e>
          <m:sub>
            <m:r>
              <m:t>0</m:t>
            </m:r>
          </m:sub>
        </m:sSub>
      </m:oMath>
      <w:r>
        <w:t xml:space="preserve"> interpolohet me IDW nga 43 puset me matje të </w:t>
      </w:r>
      <m:oMath>
        <m:r>
          <m:t>K</m:t>
        </m:r>
      </m:oMath>
      <w:r>
        <w:t xml:space="preserve">, dhe bregdeti është qeliza më perëndimore e çdo rreshti, me </w:t>
      </w:r>
      <m:oMath>
        <m:r>
          <m:t>h</m:t>
        </m:r>
        <m:r>
          <m:rPr>
            <m:sty m:val="p"/>
          </m:rPr>
          <m:t>=</m:t>
        </m:r>
        <m:r>
          <m:t>0</m:t>
        </m:r>
      </m:oMath>
      <w:r>
        <w:t xml:space="preserve">. Rrjedhja është e qëndrueshme në një akuifer të kufizuar me trashësi </w:t>
      </w:r>
      <m:oMath>
        <m:r>
          <m:t>b</m:t>
        </m:r>
        <m:r>
          <m:rPr>
            <m:sty m:val="p"/>
          </m:rPr>
          <m:t>=</m:t>
        </m:r>
        <m:r>
          <m:t>30</m:t>
        </m:r>
      </m:oMath>
      <w:r>
        <w:t xml:space="preserve"> m dhe rimbushje </w:t>
      </w:r>
      <m:oMath>
        <m:r>
          <m:t>R</m:t>
        </m:r>
        <m:r>
          <m:rPr>
            <m:sty m:val="p"/>
          </m:rPr>
          <m:t>=</m:t>
        </m:r>
        <m:r>
          <m:t>5</m:t>
        </m:r>
        <m:r>
          <m:rPr>
            <m:sty m:val="p"/>
          </m:rPr>
          <m:t>⋅</m:t>
        </m:r>
        <m:sSup>
          <m:e>
            <m:r>
              <m:t>10</m:t>
            </m:r>
          </m:e>
          <m:sup>
            <m:r>
              <m:rPr>
                <m:sty m:val="p"/>
              </m:rPr>
              <m:t>−</m:t>
            </m:r>
            <m:r>
              <m:t>4</m:t>
            </m:r>
          </m:sup>
        </m:sSup>
      </m:oMath>
      <w:r>
        <w:t xml:space="preserve"> m/ditë:</w:t>
      </w:r>
    </w:p>
    <w:p>
      <w:pPr>
        <w:pStyle w:val="Equation"/>
      </w:pPr>
      <m:oMathPara>
        <m:oMathParaPr>
          <m:jc m:val="center"/>
        </m:oMathParaPr>
        <m:oMath>
          <m:r>
            <m:rPr>
              <m:sty m:val="p"/>
            </m:rPr>
            <m:t>∇</m:t>
          </m:r>
          <m:r>
            <m:rPr>
              <m:sty m:val="p"/>
            </m:rPr>
            <m:t>⋅</m:t>
          </m:r>
          <m:d>
            <m:dPr>
              <m:begChr m:val="("/>
              <m:sepChr m:val=""/>
              <m:endChr m:val=")"/>
              <m:grow/>
            </m:dPr>
            <m:e>
              <m:r>
                <m:t>T</m:t>
              </m:r>
              <m:r>
                <m:rPr>
                  <m:sty m:val="p"/>
                </m:rPr>
                <m:t>∇</m:t>
              </m:r>
              <m:r>
                <m:t>h</m:t>
              </m:r>
            </m:e>
          </m:d>
          <m:r>
            <m:rPr>
              <m:sty m:val="p"/>
            </m:rPr>
            <m:t>=</m:t>
          </m:r>
          <m:r>
            <m:rPr>
              <m:sty m:val="p"/>
            </m:rPr>
            <m:t>−</m:t>
          </m:r>
          <m:r>
            <m:t>R</m:t>
          </m:r>
          <m:r>
            <m:rPr>
              <m:sty m:val="p"/>
            </m:rPr>
            <m:t>,</m:t>
          </m:r>
          <m:r>
            <m:t>  </m:t>
          </m:r>
          <m:r>
            <m:t>T</m:t>
          </m:r>
          <m:r>
            <m:rPr>
              <m:sty m:val="p"/>
            </m:rPr>
            <m:t>=</m:t>
          </m:r>
          <m:sSub>
            <m:e>
              <m:r>
                <m:t>K</m:t>
              </m:r>
            </m:e>
            <m:sub>
              <m:r>
                <m:t>0</m:t>
              </m:r>
            </m:sub>
          </m:sSub>
          <m:r>
            <m:t> </m:t>
          </m:r>
          <m:r>
            <m:t>b</m:t>
          </m:r>
          <m:r>
            <m:t> </m:t>
          </m:r>
          <m:sSup>
            <m:e>
              <m:r>
                <m:t>e</m:t>
              </m:r>
            </m:e>
            <m:sup>
              <m:sSub>
                <m:e>
                  <m:r>
                    <m:t>θ</m:t>
                  </m:r>
                </m:e>
                <m:sub>
                  <m:r>
                    <m:t>z</m:t>
                  </m:r>
                </m:sub>
              </m:sSub>
            </m:sup>
          </m:sSup>
        </m:oMath>
      </m:oMathPara>
    </w:p>
    <w:p>
      <w:pPr>
        <w:spacing w:after="120"/>
        <w:jc w:val="both"/>
      </w:pPr>
      <w:r>
        <w:t xml:space="preserve">Në të, </w:t>
      </w:r>
      <m:oMath>
        <m:sSub>
          <m:e>
            <m:r>
              <m:t>θ</m:t>
            </m:r>
          </m:e>
          <m:sub>
            <m:r>
              <m:t>z</m:t>
            </m:r>
          </m:sub>
        </m:sSub>
      </m:oMath>
      <w:r>
        <w:t xml:space="preserve"> është shumëzuesi logaritmik i zonës pilot </w:t>
      </w:r>
      <m:oMath>
        <m:r>
          <m:t>z</m:t>
        </m:r>
      </m:oMath>
      <w:r>
        <w:t xml:space="preserve">. Intrusioni përcaktohet me kriterin Ghyben–Herzberg: ndërfaqja ndodhet në thellësinë </w:t>
      </w:r>
      <m:oMath>
        <m:r>
          <m:t>ζ</m:t>
        </m:r>
        <m:r>
          <m:rPr>
            <m:sty m:val="p"/>
          </m:rPr>
          <m:t>=</m:t>
        </m:r>
        <m:r>
          <m:t>h</m:t>
        </m:r>
        <m:r>
          <m:rPr>
            <m:sty m:val="p"/>
          </m:rPr>
          <m:t>/</m:t>
        </m:r>
        <m:r>
          <m:t>δ</m:t>
        </m:r>
      </m:oMath>
      <w:r>
        <w:t xml:space="preserve"> nën nivelin e detit dhe uji i kripur arrin bazën e akuiferit, në thellësinë </w:t>
      </w:r>
      <m:oMath>
        <m:sSub>
          <m:e>
            <m:r>
              <m:t>b</m:t>
            </m:r>
          </m:e>
          <m:sub>
            <m:r>
              <m:t>0</m:t>
            </m:r>
          </m:sub>
        </m:sSub>
        <m:r>
          <m:rPr>
            <m:sty m:val="p"/>
          </m:rPr>
          <m:t>=</m:t>
        </m:r>
        <m:r>
          <m:t>40</m:t>
        </m:r>
      </m:oMath>
      <w:r>
        <w:t xml:space="preserve"> m, kur (në metra):</w:t>
      </w:r>
    </w:p>
    <w:p>
      <w:pPr>
        <w:pStyle w:val="Equation"/>
      </w:pPr>
      <m:oMathPara>
        <m:oMathParaPr>
          <m:jc m:val="center"/>
        </m:oMathParaPr>
        <m:oMath>
          <m:sSub>
            <m:e>
              <m:r>
                <m:t>q</m:t>
              </m:r>
            </m:e>
            <m:sub>
              <m:r>
                <m:t>w</m:t>
              </m:r>
            </m:sub>
          </m:sSub>
          <m:r>
            <m:rPr>
              <m:sty m:val="p"/>
            </m:rPr>
            <m:t>=</m:t>
          </m:r>
          <m:r>
            <m:rPr>
              <m:sty m:val="p"/>
            </m:rPr>
            <m:t>I</m:t>
          </m:r>
          <m:d>
            <m:dPr>
              <m:begChr m:val="("/>
              <m:sepChr m:val=""/>
              <m:endChr m:val=")"/>
              <m:grow/>
            </m:dPr>
            <m:e>
              <m:sSub>
                <m:e>
                  <m:r>
                    <m:t>ζ</m:t>
                  </m:r>
                </m:e>
                <m:sub>
                  <m:r>
                    <m:t>w</m:t>
                  </m:r>
                </m:sub>
              </m:sSub>
              <m:r>
                <m:rPr>
                  <m:sty m:val="p"/>
                </m:rPr>
                <m:t>&lt;</m:t>
              </m:r>
              <m:sSub>
                <m:e>
                  <m:r>
                    <m:t>b</m:t>
                  </m:r>
                </m:e>
                <m:sub>
                  <m:r>
                    <m:t>0</m:t>
                  </m:r>
                </m:sub>
              </m:sSub>
            </m:e>
          </m:d>
          <m:r>
            <m:rPr>
              <m:sty m:val="p"/>
            </m:rPr>
            <m:t>=</m:t>
          </m:r>
          <m:r>
            <m:rPr>
              <m:sty m:val="p"/>
            </m:rPr>
            <m:t>I</m:t>
          </m:r>
          <m:d>
            <m:dPr>
              <m:begChr m:val="("/>
              <m:sepChr m:val=""/>
              <m:endChr m:val=")"/>
              <m:grow/>
            </m:dPr>
            <m:e>
              <m:sSub>
                <m:e>
                  <m:r>
                    <m:t>h</m:t>
                  </m:r>
                </m:e>
                <m:sub>
                  <m:r>
                    <m:t>w</m:t>
                  </m:r>
                </m:sub>
              </m:sSub>
              <m:r>
                <m:rPr>
                  <m:sty m:val="p"/>
                </m:rPr>
                <m:t>&lt;</m:t>
              </m:r>
              <m:sSub>
                <m:e>
                  <m:r>
                    <m:t>h</m:t>
                  </m:r>
                </m:e>
                <m:sub>
                  <m:r>
                    <m:t>c</m:t>
                  </m:r>
                </m:sub>
              </m:sSub>
            </m:e>
          </m:d>
          <m:r>
            <m:rPr>
              <m:sty m:val="p"/>
            </m:rPr>
            <m:t>,</m:t>
          </m:r>
          <m:r>
            <m:t>  </m:t>
          </m:r>
          <m:sSub>
            <m:e>
              <m:r>
                <m:t>h</m:t>
              </m:r>
            </m:e>
            <m:sub>
              <m:r>
                <m:t>c</m:t>
              </m:r>
            </m:sub>
          </m:sSub>
          <m:r>
            <m:rPr>
              <m:sty m:val="p"/>
            </m:rPr>
            <m:t>=</m:t>
          </m:r>
          <m:r>
            <m:t>δ</m:t>
          </m:r>
          <m:r>
            <m:t> </m:t>
          </m:r>
          <m:sSub>
            <m:e>
              <m:r>
                <m:t>b</m:t>
              </m:r>
            </m:e>
            <m:sub>
              <m:r>
                <m:t>0</m:t>
              </m:r>
            </m:sub>
          </m:sSub>
          <m:r>
            <m:rPr>
              <m:sty m:val="p"/>
            </m:rPr>
            <m:t>=</m:t>
          </m:r>
          <m:r>
            <m:t>0.025</m:t>
          </m:r>
          <m:r>
            <m:rPr>
              <m:sty m:val="p"/>
            </m:rPr>
            <m:t>⋅</m:t>
          </m:r>
          <m:r>
            <m:t>40</m:t>
          </m:r>
          <m:r>
            <m:rPr>
              <m:sty m:val="p"/>
            </m:rPr>
            <m:t>=</m:t>
          </m:r>
          <m:r>
            <m:t>1.0</m:t>
          </m:r>
        </m:oMath>
      </m:oMathPara>
    </w:p>
    <w:p>
      <w:pPr>
        <w:spacing w:after="120"/>
        <w:jc w:val="both"/>
      </w:pPr>
      <w:r>
        <w:t xml:space="preserve">Prior-i i projektit ka 12 zona pilot. Klasa e facies-it të çdo zone vjen nga </w:t>
      </w:r>
      <m:oMath>
        <m:r>
          <m:t>K</m:t>
        </m:r>
      </m:oMath>
      <w:r>
        <w:t xml:space="preserve"> mesatar i saj: 4 zona me zhavorr të trashë dhe 8 me zhavorr mesatar. Kovarianca është </w:t>
      </w:r>
      <m:oMath>
        <m:sSub>
          <m:e>
            <m:d>
              <m:dPr>
                <m:begChr m:val="("/>
                <m:sepChr m:val=""/>
                <m:endChr m:val=")"/>
                <m:grow/>
              </m:dPr>
              <m:e>
                <m:sSub>
                  <m:e>
                    <m:r>
                      <m:t>Γ</m:t>
                    </m:r>
                  </m:e>
                  <m:sub>
                    <m:r>
                      <m:t>F</m:t>
                    </m:r>
                  </m:sub>
                </m:sSub>
              </m:e>
            </m:d>
          </m:e>
          <m:sub>
            <m:r>
              <m:t>i</m:t>
            </m:r>
            <m:r>
              <m:t>j</m:t>
            </m:r>
          </m:sub>
        </m:sSub>
        <m:r>
          <m:rPr>
            <m:sty m:val="p"/>
          </m:rPr>
          <m:t>=</m:t>
        </m:r>
        <m:sSub>
          <m:e>
            <m:r>
              <m:t>s</m:t>
            </m:r>
          </m:e>
          <m:sub>
            <m:r>
              <m:t>i</m:t>
            </m:r>
          </m:sub>
        </m:sSub>
        <m:sSub>
          <m:e>
            <m:r>
              <m:t>s</m:t>
            </m:r>
          </m:e>
          <m:sub>
            <m:r>
              <m:t>j</m:t>
            </m:r>
          </m:sub>
        </m:sSub>
        <m:r>
          <m:t> </m:t>
        </m:r>
        <m:sSup>
          <m:e>
            <m:r>
              <m:t>e</m:t>
            </m:r>
          </m:e>
          <m:sup>
            <m:r>
              <m:rPr>
                <m:sty m:val="p"/>
              </m:rPr>
              <m:t>−</m:t>
            </m:r>
            <m:sSub>
              <m:e>
                <m:r>
                  <m:t>d</m:t>
                </m:r>
              </m:e>
              <m:sub>
                <m:r>
                  <m:t>i</m:t>
                </m:r>
                <m:r>
                  <m:t>j</m:t>
                </m:r>
              </m:sub>
            </m:sSub>
            <m:r>
              <m:rPr>
                <m:sty m:val="p"/>
              </m:rPr>
              <m:t>/</m:t>
            </m:r>
            <m:sSub>
              <m:e>
                <m:r>
                  <m:t>L</m:t>
                </m:r>
              </m:e>
              <m:sub>
                <m:r>
                  <m:t>c</m:t>
                </m:r>
              </m:sub>
            </m:sSub>
          </m:sup>
        </m:sSup>
        <m:sSub>
          <m:e>
            <m:r>
              <m:t>ρ</m:t>
            </m:r>
          </m:e>
          <m:sub>
            <m:r>
              <m:t>i</m:t>
            </m:r>
            <m:r>
              <m:t>j</m:t>
            </m:r>
          </m:sub>
        </m:sSub>
      </m:oMath>
      <w:r>
        <w:t xml:space="preserve">, ku </w:t>
      </w:r>
      <m:oMath>
        <m:sSub>
          <m:e>
            <m:r>
              <m:t>L</m:t>
            </m:r>
          </m:e>
          <m:sub>
            <m:r>
              <m:t>c</m:t>
            </m:r>
          </m:sub>
        </m:sSub>
        <m:r>
          <m:rPr>
            <m:sty m:val="p"/>
          </m:rPr>
          <m:t>=</m:t>
        </m:r>
        <m:r>
          <m:t>8</m:t>
        </m:r>
      </m:oMath>
      <w:r>
        <w:t xml:space="preserve"> km, </w:t>
      </w:r>
      <m:oMath>
        <m:r>
          <m:t>s</m:t>
        </m:r>
        <m:r>
          <m:rPr>
            <m:sty m:val="p"/>
          </m:rPr>
          <m:t>=</m:t>
        </m:r>
        <m:r>
          <m:t>0.30</m:t>
        </m:r>
      </m:oMath>
      <w:r>
        <w:t xml:space="preserve">, </w:t>
      </w:r>
      <m:oMath>
        <m:r>
          <m:t>0.45</m:t>
        </m:r>
      </m:oMath>
      <w:r>
        <w:t xml:space="preserve"> ose </w:t>
      </w:r>
      <m:oMath>
        <m:r>
          <m:t>0.60</m:t>
        </m:r>
      </m:oMath>
      <w:r>
        <w:t xml:space="preserve"> sipas facies-it, dhe </w:t>
      </w:r>
      <m:oMath>
        <m:sSub>
          <m:e>
            <m:r>
              <m:t>ρ</m:t>
            </m:r>
          </m:e>
          <m:sub>
            <m:r>
              <m:t>i</m:t>
            </m:r>
            <m:r>
              <m:t>j</m:t>
            </m:r>
          </m:sub>
        </m:sSub>
        <m:r>
          <m:rPr>
            <m:sty m:val="p"/>
          </m:rPr>
          <m:t>=</m:t>
        </m:r>
        <m:sSub>
          <m:e>
            <m:r>
              <m:t>ρ</m:t>
            </m:r>
          </m:e>
          <m:sub>
            <m:r>
              <m:t>F</m:t>
            </m:r>
          </m:sub>
        </m:sSub>
        <m:r>
          <m:rPr>
            <m:sty m:val="p"/>
          </m:rPr>
          <m:t>=</m:t>
        </m:r>
        <m:r>
          <m:t>0.6</m:t>
        </m:r>
      </m:oMath>
      <w:r>
        <w:t xml:space="preserve"> midis facies-eve të ndryshme. Transferimi riprodhon saktë numrat e publikuar të projektit: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200"/>
        <w:gridCol w:w="3219"/>
        <w:gridCol w:w="3219"/>
      </w:tblGrid>
      <w:tr>
        <w:trPr>
          <w:cantSplit/>
          <w:tblHeader/>
        </w:trPr>
        <w:tc>
          <w:tcPr>
            <w:tcW w:type="dxa" w:w="3200"/>
            <w:shd w:fill="1F3864" w:color="auto" w:val="clear"/>
            <w:tcMar>
              <w:top w:type="dxa" w:w="60"/>
              <w:left w:type="dxa" w:w="100"/>
              <w:bottom w:type="dxa" w:w="60"/>
              <w:right w:type="dxa" w:w="100"/>
            </w:tcMar>
            <w:vAlign w:val="top"/>
          </w:tcPr>
          <w:p>
            <w:r>
              <w:rPr>
                <w:b/>
                <w:bCs/>
                <w:color w:val="FFFFFF"/>
                <w:sz w:val="17"/>
                <w:szCs w:val="17"/>
              </w:rPr>
              <w:t xml:space="preserve">Madhësia</w:t>
            </w:r>
          </w:p>
        </w:tc>
        <w:tc>
          <w:tcPr>
            <w:tcW w:type="dxa" w:w="3219"/>
            <w:shd w:fill="1F3864" w:color="auto" w:val="clear"/>
            <w:tcMar>
              <w:top w:type="dxa" w:w="60"/>
              <w:left w:type="dxa" w:w="100"/>
              <w:bottom w:type="dxa" w:w="60"/>
              <w:right w:type="dxa" w:w="100"/>
            </w:tcMar>
            <w:vAlign w:val="top"/>
          </w:tcPr>
          <w:p>
            <w:r>
              <w:rPr>
                <w:b/>
                <w:bCs/>
                <w:color w:val="FFFFFF"/>
                <w:sz w:val="17"/>
                <w:szCs w:val="17"/>
              </w:rPr>
              <w:t xml:space="preserve">Python (ky shënim)</w:t>
            </w:r>
          </w:p>
        </w:tc>
        <w:tc>
          <w:tcPr>
            <w:tcW w:type="dxa" w:w="3219"/>
            <w:shd w:fill="1F3864" w:color="auto" w:val="clear"/>
            <w:tcMar>
              <w:top w:type="dxa" w:w="60"/>
              <w:left w:type="dxa" w:w="100"/>
              <w:bottom w:type="dxa" w:w="60"/>
              <w:right w:type="dxa" w:w="100"/>
            </w:tcMar>
            <w:vAlign w:val="top"/>
          </w:tcPr>
          <w:p>
            <w:r>
              <w:rPr>
                <w:b/>
                <w:bCs/>
                <w:color w:val="FFFFFF"/>
                <w:sz w:val="17"/>
                <w:szCs w:val="17"/>
              </w:rPr>
              <w:t xml:space="preserve">Projekti (README, regjistri R2)</w:t>
            </w:r>
          </w:p>
        </w:tc>
      </w:tr>
      <w:tr>
        <w:trPr>
          <w:cantSplit/>
        </w:trPr>
        <w:tc>
          <w:tcPr>
            <w:tcW w:type="dxa" w:w="3200"/>
            <w:tcMar>
              <w:top w:type="dxa" w:w="60"/>
              <w:left w:type="dxa" w:w="100"/>
              <w:bottom w:type="dxa" w:w="60"/>
              <w:right w:type="dxa" w:w="100"/>
            </w:tcMar>
            <w:vAlign w:val="top"/>
          </w:tcPr>
          <w:p>
            <w:r>
              <w:rPr>
                <w:sz w:val="17"/>
                <w:szCs w:val="17"/>
              </w:rPr>
              <w:t xml:space="preserve">Qelizat aktive / sipërfaqja</w:t>
            </w:r>
          </w:p>
        </w:tc>
        <w:tc>
          <w:tcPr>
            <w:tcW w:type="dxa" w:w="3219"/>
            <w:tcMar>
              <w:top w:type="dxa" w:w="60"/>
              <w:left w:type="dxa" w:w="100"/>
              <w:bottom w:type="dxa" w:w="60"/>
              <w:right w:type="dxa" w:w="100"/>
            </w:tcMar>
            <w:vAlign w:val="top"/>
          </w:tcPr>
          <w:p>
            <w:r>
              <w:rPr>
                <w:sz w:val="17"/>
                <w:szCs w:val="17"/>
              </w:rPr>
              <w:t xml:space="preserve">5 589 / 349.3 km²</w:t>
            </w:r>
          </w:p>
        </w:tc>
        <w:tc>
          <w:tcPr>
            <w:tcW w:type="dxa" w:w="3219"/>
            <w:tcMar>
              <w:top w:type="dxa" w:w="60"/>
              <w:left w:type="dxa" w:w="100"/>
              <w:bottom w:type="dxa" w:w="60"/>
              <w:right w:type="dxa" w:w="100"/>
            </w:tcMar>
            <w:vAlign w:val="top"/>
          </w:tcPr>
          <w:p>
            <w:r>
              <w:rPr>
                <w:sz w:val="17"/>
                <w:szCs w:val="17"/>
              </w:rPr>
              <w:t xml:space="preserve">349.3 km² qeliza aktive</w:t>
            </w:r>
          </w:p>
        </w:tc>
      </w:tr>
      <w:tr>
        <w:trPr>
          <w:cantSplit/>
        </w:trPr>
        <w:tc>
          <w:tcPr>
            <w:tcW w:type="dxa" w:w="3200"/>
            <w:shd w:fill="F7F9FC" w:color="auto" w:val="clear"/>
            <w:tcMar>
              <w:top w:type="dxa" w:w="60"/>
              <w:left w:type="dxa" w:w="100"/>
              <w:bottom w:type="dxa" w:w="60"/>
              <w:right w:type="dxa" w:w="100"/>
            </w:tcMar>
            <w:vAlign w:val="top"/>
          </w:tcPr>
          <w:p>
            <w:r>
              <w:rPr>
                <w:sz w:val="17"/>
                <w:szCs w:val="17"/>
              </w:rPr>
              <w:t xml:space="preserve">Sipërfaqja e intruduar bazë</w:t>
            </w:r>
          </w:p>
        </w:tc>
        <w:tc>
          <w:tcPr>
            <w:tcW w:type="dxa" w:w="3219"/>
            <w:shd w:fill="F7F9FC" w:color="auto" w:val="clear"/>
            <w:tcMar>
              <w:top w:type="dxa" w:w="60"/>
              <w:left w:type="dxa" w:w="100"/>
              <w:bottom w:type="dxa" w:w="60"/>
              <w:right w:type="dxa" w:w="100"/>
            </w:tcMar>
            <w:vAlign w:val="top"/>
          </w:tcPr>
          <w:p>
            <w:r>
              <w:rPr>
                <w:sz w:val="17"/>
                <w:szCs w:val="17"/>
              </w:rPr>
              <w:t xml:space="preserve">92.7 km² (26.6% e poligonit)</w:t>
            </w:r>
          </w:p>
        </w:tc>
        <w:tc>
          <w:tcPr>
            <w:tcW w:type="dxa" w:w="3219"/>
            <w:shd w:fill="F7F9FC" w:color="auto" w:val="clear"/>
            <w:tcMar>
              <w:top w:type="dxa" w:w="60"/>
              <w:left w:type="dxa" w:w="100"/>
              <w:bottom w:type="dxa" w:w="60"/>
              <w:right w:type="dxa" w:w="100"/>
            </w:tcMar>
            <w:vAlign w:val="top"/>
          </w:tcPr>
          <w:p>
            <w:r>
              <w:rPr>
                <w:sz w:val="17"/>
                <w:szCs w:val="17"/>
              </w:rPr>
              <w:t xml:space="preserve">92.7 km² (26.6%)</w:t>
            </w:r>
          </w:p>
        </w:tc>
      </w:tr>
      <w:tr>
        <w:trPr>
          <w:cantSplit/>
        </w:trPr>
        <w:tc>
          <w:tcPr>
            <w:tcW w:type="dxa" w:w="3200"/>
            <w:tcMar>
              <w:top w:type="dxa" w:w="60"/>
              <w:left w:type="dxa" w:w="100"/>
              <w:bottom w:type="dxa" w:w="60"/>
              <w:right w:type="dxa" w:w="100"/>
            </w:tcMar>
            <w:vAlign w:val="top"/>
          </w:tcPr>
          <w:p>
            <w:r>
              <w:rPr>
                <w:sz w:val="17"/>
                <w:szCs w:val="17"/>
              </w:rPr>
              <w:t xml:space="preserve">Zonat pilot</w:t>
            </w:r>
          </w:p>
        </w:tc>
        <w:tc>
          <w:tcPr>
            <w:tcW w:type="dxa" w:w="3219"/>
            <w:tcMar>
              <w:top w:type="dxa" w:w="60"/>
              <w:left w:type="dxa" w:w="100"/>
              <w:bottom w:type="dxa" w:w="60"/>
              <w:right w:type="dxa" w:w="100"/>
            </w:tcMar>
            <w:vAlign w:val="top"/>
          </w:tcPr>
          <w:p>
            <w:r>
              <w:rPr>
                <w:sz w:val="17"/>
                <w:szCs w:val="17"/>
              </w:rPr>
              <w:t xml:space="preserve">12</w:t>
            </w:r>
          </w:p>
        </w:tc>
        <w:tc>
          <w:tcPr>
            <w:tcW w:type="dxa" w:w="3219"/>
            <w:tcMar>
              <w:top w:type="dxa" w:w="60"/>
              <w:left w:type="dxa" w:w="100"/>
              <w:bottom w:type="dxa" w:w="60"/>
              <w:right w:type="dxa" w:w="100"/>
            </w:tcMar>
            <w:vAlign w:val="top"/>
          </w:tcPr>
          <w:p>
            <w:r>
              <w:rPr>
                <w:sz w:val="17"/>
                <w:szCs w:val="17"/>
              </w:rPr>
              <w:t xml:space="preserve">12</w:t>
            </w:r>
          </w:p>
        </w:tc>
      </w:tr>
      <w:tr>
        <w:trPr>
          <w:cantSplit/>
        </w:trPr>
        <w:tc>
          <w:tcPr>
            <w:tcW w:type="dxa" w:w="3200"/>
            <w:shd w:fill="F7F9FC" w:color="auto" w:val="clear"/>
            <w:tcMar>
              <w:top w:type="dxa" w:w="60"/>
              <w:left w:type="dxa" w:w="100"/>
              <w:bottom w:type="dxa" w:w="60"/>
              <w:right w:type="dxa" w:w="100"/>
            </w:tcMar>
            <w:vAlign w:val="top"/>
          </w:tcPr>
          <w:p>
            <w:r>
              <w:rPr>
                <w:sz w:val="17"/>
                <w:szCs w:val="17"/>
              </w:rPr>
              <w:t xml:space="preserve">Puset e monitorimit (5)</w:t>
            </w:r>
          </w:p>
        </w:tc>
        <w:tc>
          <w:tcPr>
            <w:tcW w:type="dxa" w:w="3219"/>
            <w:shd w:fill="F7F9FC" w:color="auto" w:val="clear"/>
            <w:tcMar>
              <w:top w:type="dxa" w:w="60"/>
              <w:left w:type="dxa" w:w="100"/>
              <w:bottom w:type="dxa" w:w="60"/>
              <w:right w:type="dxa" w:w="100"/>
            </w:tcMar>
            <w:vAlign w:val="top"/>
          </w:tcPr>
          <w:p>
            <w:r>
              <w:rPr>
                <w:sz w:val="17"/>
                <w:szCs w:val="17"/>
              </w:rPr>
              <w:t xml:space="preserve">P21, A12, A13, A21, A10</w:t>
            </w:r>
          </w:p>
        </w:tc>
        <w:tc>
          <w:tcPr>
            <w:tcW w:type="dxa" w:w="3219"/>
            <w:shd w:fill="F7F9FC" w:color="auto" w:val="clear"/>
            <w:tcMar>
              <w:top w:type="dxa" w:w="60"/>
              <w:left w:type="dxa" w:w="100"/>
              <w:bottom w:type="dxa" w:w="60"/>
              <w:right w:type="dxa" w:w="100"/>
            </w:tcMar>
            <w:vAlign w:val="top"/>
          </w:tcPr>
          <w:p>
            <w:r>
              <w:rPr>
                <w:sz w:val="17"/>
                <w:szCs w:val="17"/>
              </w:rPr>
              <w:t xml:space="preserve">P21, A12, A13, A21, A10</w:t>
            </w:r>
          </w:p>
        </w:tc>
      </w:tr>
      <w:tr>
        <w:trPr>
          <w:cantSplit/>
        </w:trPr>
        <w:tc>
          <w:tcPr>
            <w:tcW w:type="dxa" w:w="3200"/>
            <w:tcMar>
              <w:top w:type="dxa" w:w="60"/>
              <w:left w:type="dxa" w:w="100"/>
              <w:bottom w:type="dxa" w:w="60"/>
              <w:right w:type="dxa" w:w="100"/>
            </w:tcMar>
            <w:vAlign w:val="top"/>
          </w:tcPr>
          <w:p>
            <w:r>
              <w:rPr>
                <w:sz w:val="17"/>
                <w:szCs w:val="17"/>
              </w:rPr>
              <w:t xml:space="preserve">Vendet e MAR-it (3)</w:t>
            </w:r>
          </w:p>
        </w:tc>
        <w:tc>
          <w:tcPr>
            <w:tcW w:type="dxa" w:w="3219"/>
            <w:tcMar>
              <w:top w:type="dxa" w:w="60"/>
              <w:left w:type="dxa" w:w="100"/>
              <w:bottom w:type="dxa" w:w="60"/>
              <w:right w:type="dxa" w:w="100"/>
            </w:tcMar>
            <w:vAlign w:val="top"/>
          </w:tcPr>
          <w:p>
            <w:r>
              <w:rPr>
                <w:sz w:val="17"/>
                <w:szCs w:val="17"/>
              </w:rPr>
              <w:t xml:space="preserve">A18, P21, P16</w:t>
            </w:r>
          </w:p>
        </w:tc>
        <w:tc>
          <w:tcPr>
            <w:tcW w:type="dxa" w:w="3219"/>
            <w:tcMar>
              <w:top w:type="dxa" w:w="60"/>
              <w:left w:type="dxa" w:w="100"/>
              <w:bottom w:type="dxa" w:w="60"/>
              <w:right w:type="dxa" w:w="100"/>
            </w:tcMar>
            <w:vAlign w:val="top"/>
          </w:tcPr>
          <w:p>
            <w:r>
              <w:rPr>
                <w:sz w:val="17"/>
                <w:szCs w:val="17"/>
              </w:rPr>
              <w:t xml:space="preserve">A18, P21, P16</w:t>
            </w:r>
          </w:p>
        </w:tc>
      </w:tr>
    </w:tbl>
    <w:p>
      <w:pPr>
        <w:spacing w:after="160"/>
      </w:pPr>
    </w:p>
    <w:p>
      <w:pPr>
        <w:spacing w:after="240"/>
      </w:pPr>
    </w:p>
    <w:p>
      <w:pPr>
        <w:pStyle w:val="Heading1"/>
      </w:pPr>
      <w:r>
        <w:rPr>
          <w:color w:val="1F3864"/>
        </w:rPr>
        <w:t xml:space="preserve">3. Eksperimenti: qëllimet, puset dhe kriteret</w:t>
      </w:r>
    </w:p>
    <w:p>
      <w:pPr>
        <w:spacing w:after="120"/>
        <w:jc w:val="both"/>
      </w:pPr>
      <w:r>
        <w:rPr>
          <w:b/>
          <w:bCs/>
        </w:rPr>
        <w:t xml:space="preserve">Puset e furnizimit.</w:t>
      </w:r>
      <w:r>
        <w:t xml:space="preserve"> Të dhënat nuk kanë koordinatat e stacioneve të pompimit të Gorres dhe të Fushë-Kuqes, drejt të cilave lëviz pyka sipas Cenameri dhe Beqiraj (2016). Prandaj i zgjodhëm puset e furnizimit me një rregull të deklaruar paraprakisht. Në secilin sektor (veri: N &gt; 25 km; jug: N &lt; 25 km), pusi i furnizimit është pusi brenda akuiferit me probabilitet prior intrusioni më afër 1/2, jashtë dizajnit të publikuar. Kështu u zgjodhën </w:t>
      </w:r>
      <w:r>
        <w:rPr>
          <w:b/>
          <w:bCs/>
        </w:rPr>
        <w:t xml:space="preserve">A = A23</w:t>
      </w:r>
      <w:r>
        <w:t xml:space="preserve"> (zhavorr i imët, 1.9 km nga bregu, P = 0.52) dhe </w:t>
      </w:r>
      <w:r>
        <w:rPr>
          <w:b/>
          <w:bCs/>
        </w:rPr>
        <w:t xml:space="preserve">B = R16</w:t>
      </w:r>
      <w:r>
        <w:t xml:space="preserve"> (zhavorr mesatar, 1.4 km nga bregu, P = 0.64). Puset e furnizimit nuk janë kandidatë, sepse pompimi shtrembëron kokën e tyre. Kandidatët janë 30 puset e tjera brenda akuiferit, që matin kokën me zhurmë </w:t>
      </w:r>
      <m:oMath>
        <m:sSub>
          <m:e>
            <m:r>
              <m:t>σ</m:t>
            </m:r>
          </m:e>
          <m:sub>
            <m:r>
              <m:t>ε</m:t>
            </m:r>
          </m:sub>
        </m:sSub>
        <m:r>
          <m:rPr>
            <m:sty m:val="p"/>
          </m:rPr>
          <m:t>=</m:t>
        </m:r>
        <m:r>
          <m:t>0.2</m:t>
        </m:r>
      </m:oMath>
      <w:r>
        <w:t xml:space="preserve"> m, si në projekt.</w:t>
      </w:r>
    </w:p>
    <w:p>
      <w:pPr>
        <w:spacing w:after="120"/>
        <w:jc w:val="both"/>
      </w:pPr>
      <w:r>
        <w:rPr>
          <w:b/>
          <w:bCs/>
        </w:rPr>
        <w:t xml:space="preserve">Qëllimet.</w:t>
      </w:r>
      <w:r>
        <w:t xml:space="preserve"> Kemi tri qëllime binare: rreziku në A, </w:t>
      </w:r>
      <m:oMath>
        <m:sSub>
          <m:e>
            <m:r>
              <m:t>q</m:t>
            </m:r>
          </m:e>
          <m:sub>
            <m:r>
              <m:t>A</m:t>
            </m:r>
          </m:sub>
        </m:sSub>
        <m:r>
          <m:rPr>
            <m:sty m:val="p"/>
          </m:rPr>
          <m:t>=</m:t>
        </m:r>
        <m:r>
          <m:rPr>
            <m:sty m:val="p"/>
          </m:rPr>
          <m:t>I</m:t>
        </m:r>
        <m:d>
          <m:dPr>
            <m:begChr m:val="("/>
            <m:sepChr m:val=""/>
            <m:endChr m:val=")"/>
            <m:grow/>
          </m:dPr>
          <m:e>
            <m:sSub>
              <m:e>
                <m:r>
                  <m:t>h</m:t>
                </m:r>
              </m:e>
              <m:sub>
                <m:r>
                  <m:t>A</m:t>
                </m:r>
              </m:sub>
            </m:sSub>
            <m:r>
              <m:rPr>
                <m:sty m:val="p"/>
              </m:rPr>
              <m:t>&lt;</m:t>
            </m:r>
            <m:sSub>
              <m:e>
                <m:r>
                  <m:t>h</m:t>
                </m:r>
              </m:e>
              <m:sub>
                <m:r>
                  <m:t>c</m:t>
                </m:r>
              </m:sub>
            </m:sSub>
          </m:e>
        </m:d>
      </m:oMath>
      <w:r>
        <w:t xml:space="preserve">; rreziku në A ose B, </w:t>
      </w:r>
      <m:oMath>
        <m:sSub>
          <m:e>
            <m:r>
              <m:t>q</m:t>
            </m:r>
          </m:e>
          <m:sub>
            <m:r>
              <m:t>A</m:t>
            </m:r>
            <m:r>
              <m:t>B</m:t>
            </m:r>
          </m:sub>
        </m:sSub>
        <m:r>
          <m:rPr>
            <m:sty m:val="p"/>
          </m:rPr>
          <m:t>=</m:t>
        </m:r>
        <m:r>
          <m:rPr>
            <m:sty m:val="p"/>
          </m:rPr>
          <m:t>I</m:t>
        </m:r>
        <m:d>
          <m:dPr>
            <m:begChr m:val="("/>
            <m:sepChr m:val=""/>
            <m:endChr m:val=")"/>
            <m:grow/>
          </m:dPr>
          <m:e>
            <m:r>
              <m:rPr>
                <m:sty m:val="p"/>
              </m:rPr>
              <m:t>min</m:t>
            </m:r>
            <m:d>
              <m:dPr>
                <m:begChr m:val="("/>
                <m:sepChr m:val=""/>
                <m:endChr m:val=")"/>
                <m:grow/>
              </m:dPr>
              <m:e>
                <m:sSub>
                  <m:e>
                    <m:r>
                      <m:t>h</m:t>
                    </m:r>
                  </m:e>
                  <m:sub>
                    <m:r>
                      <m:t>A</m:t>
                    </m:r>
                  </m:sub>
                </m:sSub>
                <m:r>
                  <m:rPr>
                    <m:sty m:val="p"/>
                  </m:rPr>
                  <m:t>,</m:t>
                </m:r>
                <m:sSub>
                  <m:e>
                    <m:r>
                      <m:t>h</m:t>
                    </m:r>
                  </m:e>
                  <m:sub>
                    <m:r>
                      <m:t>B</m:t>
                    </m:r>
                  </m:sub>
                </m:sSub>
              </m:e>
            </m:d>
            <m:r>
              <m:rPr>
                <m:sty m:val="p"/>
              </m:rPr>
              <m:t>&lt;</m:t>
            </m:r>
            <m:sSub>
              <m:e>
                <m:r>
                  <m:t>h</m:t>
                </m:r>
              </m:e>
              <m:sub>
                <m:r>
                  <m:t>c</m:t>
                </m:r>
              </m:sub>
            </m:sSub>
          </m:e>
        </m:d>
      </m:oMath>
      <w:r>
        <w:t xml:space="preserve">; dhe pyetja e projektit e kthyer në prag, </w:t>
      </w:r>
      <m:oMath>
        <m:sSub>
          <m:e>
            <m:r>
              <m:t>q</m:t>
            </m:r>
          </m:e>
          <m:sub>
            <m:r>
              <m:t>S</m:t>
            </m:r>
          </m:sub>
        </m:sSub>
        <m:r>
          <m:rPr>
            <m:sty m:val="p"/>
          </m:rPr>
          <m:t>=</m:t>
        </m:r>
        <m:r>
          <m:rPr>
            <m:sty m:val="p"/>
          </m:rPr>
          <m:t>I</m:t>
        </m:r>
        <m:d>
          <m:dPr>
            <m:begChr m:val="("/>
            <m:sepChr m:val=""/>
            <m:endChr m:val=")"/>
            <m:grow/>
          </m:dPr>
          <m:e>
            <m:r>
              <m:t>S</m:t>
            </m:r>
            <m:r>
              <m:rPr>
                <m:sty m:val="p"/>
              </m:rPr>
              <m:t>&gt;</m:t>
            </m:r>
            <m:r>
              <m:t>100</m:t>
            </m:r>
          </m:e>
        </m:d>
      </m:oMath>
      <w:r>
        <w:t xml:space="preserve">, ku </w:t>
      </w:r>
      <m:oMath>
        <m:r>
          <m:t>S</m:t>
        </m:r>
      </m:oMath>
      <w:r>
        <w:t xml:space="preserve"> është sipërfaqja e intruduar në km². Probabilitetet prior janë 0.52, 0.80 dhe 0.44. Kalimi i majës së ndërfaqes poshtë një pusi furnizimi është përafrimi i këtij modeli me ndërfaqe të mprehtë për kalimin e pragut 250 mg/L klorur në bazën e pusit.</w:t>
      </w:r>
    </w:p>
    <w:p>
      <w:pPr>
        <w:keepNext/>
        <w:spacing w:after="60" w:before="120"/>
        <w:jc w:val="center"/>
      </w:pPr>
      <w:r>
        <w:drawing>
          <wp:inline distT="0" distB="0" distL="0" distR="0">
            <wp:extent cx="5762625" cy="3705225"/>
            <wp:effectExtent t="0" r="0" b="0" l="0"/>
            <wp:docPr id="1" name="Harta e Fushë-Kuqes me probabilitetin e intrusionit dhe dizajnet me 5 puse" descr="Harta e Fushë-Kuqes me probabilitetin e intrusionit dhe dizajnet me 5 puse" title="Harta e Fushë-Kuqes me probabilitetin e intrusionit dhe dizajnet me 5 p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05225"/>
                    </a:xfrm>
                    <a:prstGeom prst="rect">
                      <a:avLst/>
                    </a:prstGeom>
                  </pic:spPr>
                </pic:pic>
              </a:graphicData>
            </a:graphic>
          </wp:inline>
        </w:drawing>
      </w:r>
    </w:p>
    <w:p>
      <w:pPr>
        <w:spacing w:after="200"/>
        <w:jc w:val="both"/>
      </w:pPr>
      <w:r>
        <w:rPr>
          <w:b/>
          <w:bCs/>
          <w:color w:val="3A4350"/>
          <w:sz w:val="18"/>
          <w:szCs w:val="18"/>
        </w:rPr>
        <w:t xml:space="preserve">Figura 1.</w:t>
      </w:r>
      <w:r>
        <w:rPr>
          <w:color w:val="3A4350"/>
          <w:sz w:val="18"/>
          <w:szCs w:val="18"/>
        </w:rPr>
        <w:t xml:space="preserve"> (a) Probabiliteti prior i intrusionit </w:t>
      </w:r>
      <m:oMath>
        <m:r>
          <m:t>P</m:t>
        </m:r>
        <m:d>
          <m:dPr>
            <m:begChr m:val="("/>
            <m:sepChr m:val=""/>
            <m:endChr m:val=")"/>
            <m:grow/>
          </m:dPr>
          <m:e>
            <m:r>
              <m:t>h</m:t>
            </m:r>
            <m:r>
              <m:rPr>
                <m:sty m:val="p"/>
              </m:rPr>
              <m:t>&lt;</m:t>
            </m:r>
            <m:r>
              <m:t>1</m:t>
            </m:r>
            <m:r>
              <m:t> </m:t>
            </m:r>
            <m:r>
              <m:rPr>
                <m:sty m:val="p"/>
              </m:rPr>
              <m:t>m</m:t>
            </m:r>
          </m:e>
        </m:d>
      </m:oMath>
      <w:r>
        <w:rPr>
          <w:color w:val="3A4350"/>
          <w:sz w:val="18"/>
          <w:szCs w:val="18"/>
        </w:rPr>
        <w:t xml:space="preserve">, nga 1 000 realizime. Vija e ndërprerë tregon majën e ndërfaqes në prior-in mesatar, rrathët e bardhë 30 kandidatët dhe trekëndëshat puset e furnizimit A = A23 dhe B = R16. (b–d) Dizajnet me 5 puse (rrathë portokalli) dhe EIG-ja e tyre e saktë për rrezikun «A ose B»: (b) dizajni i publikuar, (c) PRAG-GO, (d) dizajni i kërkimit greedy me shkëmbime mbi EIG-në e saktë. Vlerat vijnë nga ansambli me 48 000 realizime, në përqindje të dizajnit më të mirë të gjetur.</w:t>
      </w:r>
    </w:p>
    <w:p>
      <w:pPr>
        <w:spacing w:after="120"/>
        <w:jc w:val="both"/>
      </w:pPr>
      <w:r>
        <w:rPr>
          <w:b/>
          <w:bCs/>
        </w:rPr>
        <w:t xml:space="preserve">EIG-ja e saktë.</w:t>
      </w:r>
      <w:r>
        <w:t xml:space="preserve"> Për çdo qëllim binar, </w:t>
      </w:r>
      <m:oMath>
        <m:r>
          <m:rPr>
            <m:sty m:val="p"/>
          </m:rPr>
          <m:t>E</m:t>
        </m:r>
        <m:r>
          <m:rPr>
            <m:sty m:val="p"/>
          </m:rPr>
          <m:t>I</m:t>
        </m:r>
        <m:r>
          <m:rPr>
            <m:sty m:val="p"/>
          </m:rPr>
          <m:t>G</m:t>
        </m:r>
        <m:r>
          <m:rPr>
            <m:sty m:val="p"/>
          </m:rPr>
          <m:t>=</m:t>
        </m:r>
        <m:r>
          <m:t>h</m:t>
        </m:r>
        <m:d>
          <m:dPr>
            <m:begChr m:val="("/>
            <m:sepChr m:val=""/>
            <m:endChr m:val=")"/>
            <m:grow/>
          </m:dPr>
          <m:e>
            <m:sSub>
              <m:e>
                <m:r>
                  <m:t>p</m:t>
                </m:r>
              </m:e>
              <m:sub>
                <m:r>
                  <m:t>0</m:t>
                </m:r>
              </m:sub>
            </m:sSub>
          </m:e>
        </m:d>
        <m:r>
          <m:rPr>
            <m:sty m:val="p"/>
          </m:rPr>
          <m:t>−</m:t>
        </m:r>
        <m:sSub>
          <m:e>
            <m:r>
              <m:rPr>
                <m:scr m:val="double-struck"/>
                <m:sty m:val="p"/>
              </m:rPr>
              <m:t>E</m:t>
            </m:r>
          </m:e>
          <m:sub>
            <m:r>
              <m:t>y</m:t>
            </m:r>
          </m:sub>
        </m:sSub>
        <m:d>
          <m:dPr>
            <m:begChr m:val="["/>
            <m:sepChr m:val=""/>
            <m:endChr m:val="]"/>
            <m:grow/>
          </m:dPr>
          <m:e>
            <m:r>
              <m:t>h</m:t>
            </m:r>
            <m:d>
              <m:dPr>
                <m:begChr m:val="("/>
                <m:sepChr m:val=""/>
                <m:endChr m:val=")"/>
                <m:grow/>
              </m:dPr>
              <m:e>
                <m:r>
                  <m:t>P</m:t>
                </m:r>
                <m:d>
                  <m:dPr>
                    <m:begChr m:val="("/>
                    <m:sepChr m:val=""/>
                    <m:endChr m:val=")"/>
                    <m:grow/>
                  </m:dPr>
                  <m:e>
                    <m:r>
                      <m:t>q</m:t>
                    </m:r>
                    <m:r>
                      <m:rPr>
                        <m:sty m:val="p"/>
                      </m:rPr>
                      <m:t>=</m:t>
                    </m:r>
                    <m:r>
                      <m:t>1</m:t>
                    </m:r>
                    <m:r>
                      <m:rPr>
                        <m:sty m:val="p"/>
                      </m:rPr>
                      <m:t>∣</m:t>
                    </m:r>
                    <m:r>
                      <m:t>y</m:t>
                    </m:r>
                  </m:e>
                </m:d>
              </m:e>
            </m:d>
          </m:e>
        </m:d>
      </m:oMath>
      <w:r>
        <w:t xml:space="preserve">, ku </w:t>
      </w:r>
      <m:oMath>
        <m:r>
          <m:t>h</m:t>
        </m:r>
      </m:oMath>
      <w:r>
        <w:t xml:space="preserve"> është entropia binare. E vlerësojmë pa linearizim, me ripeshim të 12 000 zgjidhjeve prior dhe 2 000 të dhënave sintetike të jashtme, të njëjta për të gjitha dizajnet:</w:t>
      </w:r>
    </w:p>
    <w:p>
      <w:pPr>
        <w:pStyle w:val="Equation"/>
      </w:pPr>
      <m:oMathPara>
        <m:oMathParaPr>
          <m:jc m:val="center"/>
        </m:oMathParaPr>
        <m:oMath>
          <m:acc>
            <m:accPr>
              <m:chr m:val="̂"/>
            </m:accPr>
            <m:e>
              <m:r>
                <m:rPr>
                  <m:sty m:val="p"/>
                </m:rPr>
                <m:t>E</m:t>
              </m:r>
              <m:r>
                <m:rPr>
                  <m:sty m:val="p"/>
                </m:rPr>
                <m:t>I</m:t>
              </m:r>
              <m:r>
                <m:rPr>
                  <m:sty m:val="p"/>
                </m:rPr>
                <m:t>G</m:t>
              </m:r>
            </m:e>
          </m:acc>
          <m:d>
            <m:dPr>
              <m:begChr m:val="("/>
              <m:sepChr m:val=""/>
              <m:endChr m:val=")"/>
              <m:grow/>
            </m:dPr>
            <m:e>
              <m:r>
                <m:t>d</m:t>
              </m:r>
            </m:e>
          </m:d>
          <m:r>
            <m:rPr>
              <m:sty m:val="p"/>
            </m:rPr>
            <m:t>=</m:t>
          </m:r>
          <m:r>
            <m:t>h</m:t>
          </m:r>
          <m:d>
            <m:dPr>
              <m:begChr m:val="("/>
              <m:sepChr m:val=""/>
              <m:endChr m:val=")"/>
              <m:grow/>
            </m:dPr>
            <m:e>
              <m:bar>
                <m:barPr>
                  <m:pos m:val="top"/>
                </m:barPr>
                <m:e>
                  <m:r>
                    <m:t>q</m:t>
                  </m:r>
                </m:e>
              </m:bar>
            </m:e>
          </m:d>
          <m:r>
            <m:rPr>
              <m:sty m:val="p"/>
            </m:rPr>
            <m:t>−</m:t>
          </m:r>
          <m:f>
            <m:fPr>
              <m:type m:val="bar"/>
            </m:fPr>
            <m:num>
              <m:r>
                <m:t>1</m:t>
              </m:r>
            </m:num>
            <m:den>
              <m:sSub>
                <m:e>
                  <m:r>
                    <m:t>N</m:t>
                  </m:r>
                </m:e>
                <m:sub>
                  <m:r>
                    <m:t>y</m:t>
                  </m:r>
                </m:sub>
              </m:sSub>
            </m:den>
          </m:f>
          <m:nary>
            <m:naryPr>
              <m:chr m:val="∑"/>
              <m:limLoc m:val="undOvr"/>
              <m:subHide m:val="off"/>
              <m:supHide m:val="off"/>
            </m:naryPr>
            <m:sub>
              <m:r>
                <m:t>j</m:t>
              </m:r>
              <m:r>
                <m:rPr>
                  <m:sty m:val="p"/>
                </m:rPr>
                <m:t>=</m:t>
              </m:r>
              <m:r>
                <m:t>1</m:t>
              </m:r>
            </m:sub>
            <m:sup>
              <m:sSub>
                <m:e>
                  <m:r>
                    <m:t>N</m:t>
                  </m:r>
                </m:e>
                <m:sub>
                  <m:r>
                    <m:t>y</m:t>
                  </m:r>
                </m:sub>
              </m:sSub>
            </m:sup>
            <m:e>
              <m:r>
                <m:t>h</m:t>
              </m:r>
            </m:e>
          </m:nary>
          <m:d>
            <m:dPr>
              <m:begChr m:val="("/>
              <m:sepChr m:val=""/>
              <m:endChr m:val=")"/>
              <m:grow/>
            </m:dPr>
            <m:e>
              <m:sSub>
                <m:e>
                  <m:acc>
                    <m:accPr>
                      <m:chr m:val="̂"/>
                    </m:accPr>
                    <m:e>
                      <m:r>
                        <m:t>p</m:t>
                      </m:r>
                    </m:e>
                  </m:acc>
                </m:e>
                <m:sub>
                  <m:r>
                    <m:t>j</m:t>
                  </m:r>
                </m:sub>
              </m:sSub>
            </m:e>
          </m:d>
          <m:r>
            <m:rPr>
              <m:sty m:val="p"/>
            </m:rPr>
            <m:t>,</m:t>
          </m:r>
          <m:r>
            <m:t>  </m:t>
          </m:r>
          <m:sSub>
            <m:e>
              <m:acc>
                <m:accPr>
                  <m:chr m:val="̂"/>
                </m:accPr>
                <m:e>
                  <m:r>
                    <m:t>p</m:t>
                  </m:r>
                </m:e>
              </m:acc>
            </m:e>
            <m:sub>
              <m:r>
                <m:t>j</m:t>
              </m:r>
            </m:sub>
          </m:sSub>
          <m:r>
            <m:rPr>
              <m:sty m:val="p"/>
            </m:rPr>
            <m:t>=</m:t>
          </m:r>
          <m:f>
            <m:fPr>
              <m:type m:val="bar"/>
            </m:fPr>
            <m:num>
              <m:nary>
                <m:naryPr>
                  <m:chr m:val="∑"/>
                  <m:limLoc m:val="undOvr"/>
                  <m:subHide m:val="off"/>
                  <m:supHide m:val="on"/>
                </m:naryPr>
                <m:sub>
                  <m:r>
                    <m:t>i</m:t>
                  </m:r>
                </m:sub>
                <m:sup>
                  <m:r>
                    <m:t>​</m:t>
                  </m:r>
                </m:sup>
                <m:e>
                  <m:sSub>
                    <m:e>
                      <m:r>
                        <m:t>w</m:t>
                      </m:r>
                    </m:e>
                    <m:sub>
                      <m:r>
                        <m:t>i</m:t>
                      </m:r>
                      <m:r>
                        <m:t>j</m:t>
                      </m:r>
                    </m:sub>
                  </m:sSub>
                </m:e>
              </m:nary>
              <m:sSub>
                <m:e>
                  <m:r>
                    <m:t>q</m:t>
                  </m:r>
                </m:e>
                <m:sub>
                  <m:r>
                    <m:t>i</m:t>
                  </m:r>
                </m:sub>
              </m:sSub>
            </m:num>
            <m:den>
              <m:nary>
                <m:naryPr>
                  <m:chr m:val="∑"/>
                  <m:limLoc m:val="undOvr"/>
                  <m:subHide m:val="off"/>
                  <m:supHide m:val="on"/>
                </m:naryPr>
                <m:sub>
                  <m:r>
                    <m:t>i</m:t>
                  </m:r>
                </m:sub>
                <m:sup>
                  <m:r>
                    <m:t>​</m:t>
                  </m:r>
                </m:sup>
                <m:e>
                  <m:sSub>
                    <m:e>
                      <m:r>
                        <m:t>w</m:t>
                      </m:r>
                    </m:e>
                    <m:sub>
                      <m:r>
                        <m:t>i</m:t>
                      </m:r>
                      <m:r>
                        <m:t>j</m:t>
                      </m:r>
                    </m:sub>
                  </m:sSub>
                </m:e>
              </m:nary>
            </m:den>
          </m:f>
          <m:r>
            <m:rPr>
              <m:sty m:val="p"/>
            </m:rPr>
            <m:t>,</m:t>
          </m:r>
          <m:r>
            <m:t>  </m:t>
          </m:r>
          <m:sSub>
            <m:e>
              <m:r>
                <m:t>w</m:t>
              </m:r>
            </m:e>
            <m:sub>
              <m:r>
                <m:t>i</m:t>
              </m:r>
              <m:r>
                <m:t>j</m:t>
              </m:r>
            </m:sub>
          </m:sSub>
          <m:r>
            <m:rPr>
              <m:sty m:val="p"/>
            </m:rPr>
            <m:t>=</m:t>
          </m:r>
          <m:r>
            <m:rPr>
              <m:sty m:val="p"/>
            </m:rPr>
            <m:t>exp</m:t>
          </m:r>
          <m:d>
            <m:dPr>
              <m:begChr m:val="("/>
              <m:sepChr m:val=""/>
              <m:endChr m:val=")"/>
              <m:grow/>
            </m:dPr>
            <m:e>
              <m:r>
                <m:rPr>
                  <m:sty m:val="p"/>
                </m:rPr>
                <m:t>−</m:t>
              </m:r>
              <m:f>
                <m:fPr>
                  <m:type m:val="bar"/>
                </m:fPr>
                <m:num>
                  <m:sSup>
                    <m:e>
                      <m:d>
                        <m:dPr>
                          <m:begChr m:val="∥"/>
                          <m:sepChr m:val=""/>
                          <m:endChr m:val="∥"/>
                          <m:grow/>
                        </m:dPr>
                        <m:e>
                          <m:sSub>
                            <m:e>
                              <m:r>
                                <m:t>y</m:t>
                              </m:r>
                            </m:e>
                            <m:sub>
                              <m:r>
                                <m:t>j</m:t>
                              </m:r>
                            </m:sub>
                          </m:sSub>
                          <m:r>
                            <m:rPr>
                              <m:sty m:val="p"/>
                            </m:rPr>
                            <m:t>−</m:t>
                          </m:r>
                          <m:sSub>
                            <m:e>
                              <m:r>
                                <m:t>g</m:t>
                              </m:r>
                            </m:e>
                            <m:sub>
                              <m:r>
                                <m:t>d</m:t>
                              </m:r>
                            </m:sub>
                          </m:sSub>
                          <m:d>
                            <m:dPr>
                              <m:begChr m:val="("/>
                              <m:sepChr m:val=""/>
                              <m:endChr m:val=")"/>
                              <m:grow/>
                            </m:dPr>
                            <m:e>
                              <m:sSub>
                                <m:e>
                                  <m:r>
                                    <m:t>θ</m:t>
                                  </m:r>
                                </m:e>
                                <m:sub>
                                  <m:r>
                                    <m:t>i</m:t>
                                  </m:r>
                                </m:sub>
                              </m:sSub>
                            </m:e>
                          </m:d>
                        </m:e>
                      </m:d>
                    </m:e>
                    <m:sup>
                      <m:r>
                        <m:t>2</m:t>
                      </m:r>
                    </m:sup>
                  </m:sSup>
                </m:num>
                <m:den>
                  <m:r>
                    <m:t>2</m:t>
                  </m:r>
                  <m:sSubSup>
                    <m:e>
                      <m:r>
                        <m:t>σ</m:t>
                      </m:r>
                    </m:e>
                    <m:sub>
                      <m:r>
                        <m:t>ε</m:t>
                      </m:r>
                    </m:sub>
                    <m:sup>
                      <m:r>
                        <m:t>2</m:t>
                      </m:r>
                    </m:sup>
                  </m:sSubSup>
                </m:den>
              </m:f>
            </m:e>
          </m:d>
        </m:oMath>
      </m:oMathPara>
    </w:p>
    <w:p>
      <w:pPr>
        <w:spacing w:after="120"/>
        <w:jc w:val="both"/>
      </w:pPr>
      <w:r>
        <w:rPr>
          <w:b/>
          <w:bCs/>
        </w:rPr>
        <w:t xml:space="preserve">Kriteret.</w:t>
      </w:r>
      <w:r>
        <w:t xml:space="preserve"> Krahasojmë katër kritere:</w:t>
      </w:r>
    </w:p>
    <w:p>
      <w:pPr>
        <w:pStyle w:val="ListParagraph"/>
        <w:numPr>
          <w:ilvl w:val="0"/>
          <w:numId w:val="2"/>
        </w:numPr>
        <w:spacing w:after="60"/>
        <w:jc w:val="both"/>
      </w:pPr>
      <w:r>
        <w:t xml:space="preserve">EIG-ja lineare e sipërfaqes, që është pipeline-i i publikuar me Lemën 1;</w:t>
      </w:r>
    </w:p>
    <w:p>
      <w:pPr>
        <w:pStyle w:val="ListParagraph"/>
        <w:numPr>
          <w:ilvl w:val="0"/>
          <w:numId w:val="2"/>
        </w:numPr>
        <w:spacing w:after="60"/>
        <w:jc w:val="both"/>
      </w:pPr>
      <w:r>
        <w:t xml:space="preserve">EIG-ja lineare e kokës në A, që sipas Teoremës 1 jep dizajnin për rrezikun në A;</w:t>
      </w:r>
    </w:p>
    <w:p>
      <w:pPr>
        <w:pStyle w:val="ListParagraph"/>
        <w:numPr>
          <w:ilvl w:val="0"/>
          <w:numId w:val="2"/>
        </w:numPr>
        <w:spacing w:after="60"/>
        <w:jc w:val="both"/>
      </w:pPr>
      <w:r>
        <w:t xml:space="preserve">EIG-ja lineare e kokës mesatare në A dhe B;</w:t>
      </w:r>
    </w:p>
    <w:p>
      <w:pPr>
        <w:pStyle w:val="ListParagraph"/>
        <w:numPr>
          <w:ilvl w:val="0"/>
          <w:numId w:val="2"/>
        </w:numPr>
        <w:spacing w:after="60"/>
        <w:jc w:val="both"/>
      </w:pPr>
      <w:r>
        <w:t xml:space="preserve">formula e mbyllur e PRAG-GO-s për rrezikun «A ose B». E llogaritim me tre lloje momentesh: momentet lineare të projektit, momentet e ansamblit dhe momentet pas transformimit normal-score.</w:t>
      </w:r>
    </w:p>
    <w:p>
      <w:pPr>
        <w:spacing w:after="120"/>
        <w:jc w:val="both"/>
      </w:pPr>
      <w:r>
        <w:t xml:space="preserve">Për ngjarjet e intrusionit </w:t>
      </w:r>
      <m:oMath>
        <m:d>
          <m:dPr>
            <m:begChr m:val="{"/>
            <m:sepChr m:val=""/>
            <m:endChr m:val="}"/>
            <m:grow/>
          </m:dPr>
          <m:e>
            <m:r>
              <m:t>h</m:t>
            </m:r>
            <m:r>
              <m:rPr>
                <m:sty m:val="p"/>
              </m:rPr>
              <m:t>&lt;</m:t>
            </m:r>
            <m:sSub>
              <m:e>
                <m:r>
                  <m:t>h</m:t>
                </m:r>
              </m:e>
              <m:sub>
                <m:r>
                  <m:t>c</m:t>
                </m:r>
              </m:sub>
            </m:sSub>
          </m:e>
        </m:d>
      </m:oMath>
      <w:r>
        <w:t xml:space="preserve">, formula është:</w:t>
      </w:r>
    </w:p>
    <w:p>
      <w:pPr>
        <w:pStyle w:val="Equation"/>
      </w:pPr>
      <m:oMathPara>
        <m:oMathParaPr>
          <m:jc m:val="center"/>
        </m:oMathParaPr>
        <m:oMath>
          <m:sSub>
            <m:e>
              <m:r>
                <m:rPr>
                  <m:sty m:val="p"/>
                </m:rPr>
                <m:t>E</m:t>
              </m:r>
              <m:r>
                <m:rPr>
                  <m:sty m:val="p"/>
                </m:rPr>
                <m:t>I</m:t>
              </m:r>
              <m:r>
                <m:rPr>
                  <m:sty m:val="p"/>
                </m:rPr>
                <m:t>G</m:t>
              </m:r>
            </m:e>
            <m:sub>
              <m:r>
                <m:t>A</m:t>
              </m:r>
              <m:r>
                <m:t>B</m:t>
              </m:r>
            </m:sub>
          </m:sSub>
          <m:d>
            <m:dPr>
              <m:begChr m:val="("/>
              <m:sepChr m:val=""/>
              <m:endChr m:val=")"/>
              <m:grow/>
            </m:dPr>
            <m:e>
              <m:r>
                <m:t>d</m:t>
              </m:r>
            </m:e>
          </m:d>
          <m:r>
            <m:rPr>
              <m:sty m:val="p"/>
            </m:rPr>
            <m:t>=</m:t>
          </m:r>
          <m:r>
            <m:t>h</m:t>
          </m:r>
          <m:d>
            <m:dPr>
              <m:begChr m:val="("/>
              <m:sepChr m:val=""/>
              <m:endChr m:val=")"/>
              <m:grow/>
            </m:dPr>
            <m:e>
              <m:sSub>
                <m:e>
                  <m:r>
                    <m:t>p</m:t>
                  </m:r>
                </m:e>
                <m:sub>
                  <m:r>
                    <m:t>0</m:t>
                  </m:r>
                </m:sub>
              </m:sSub>
            </m:e>
          </m:d>
          <m:r>
            <m:rPr>
              <m:sty m:val="p"/>
            </m:rPr>
            <m:t>−</m:t>
          </m:r>
          <m:sSub>
            <m:e>
              <m:r>
                <m:rPr>
                  <m:scr m:val="double-struck"/>
                  <m:sty m:val="p"/>
                </m:rPr>
                <m:t>E</m:t>
              </m:r>
            </m:e>
            <m:sub>
              <m:acc>
                <m:accPr>
                  <m:chr m:val="̂"/>
                </m:accPr>
                <m:e>
                  <m:r>
                    <m:t>z</m:t>
                  </m:r>
                </m:e>
              </m:acc>
              <m:r>
                <m:rPr>
                  <m:sty m:val="p"/>
                </m:rPr>
                <m:t>∼</m:t>
              </m:r>
              <m:r>
                <m:rPr>
                  <m:scr m:val="script"/>
                  <m:sty m:val="p"/>
                </m:rPr>
                <m:t>N</m:t>
              </m:r>
              <m:d>
                <m:dPr>
                  <m:begChr m:val="("/>
                  <m:sepChr m:val=""/>
                  <m:endChr m:val=")"/>
                  <m:grow/>
                </m:dPr>
                <m:e>
                  <m:r>
                    <m:t>0</m:t>
                  </m:r>
                  <m:r>
                    <m:rPr>
                      <m:sty m:val="p"/>
                    </m:rPr>
                    <m:t>,</m:t>
                  </m:r>
                  <m:sSub>
                    <m:e>
                      <m:r>
                        <m:t>K</m:t>
                      </m:r>
                    </m:e>
                    <m:sub>
                      <m:r>
                        <m:t>d</m:t>
                      </m:r>
                    </m:sub>
                  </m:sSub>
                </m:e>
              </m:d>
            </m:sub>
          </m:sSub>
          <m:d>
            <m:dPr>
              <m:begChr m:val="["/>
              <m:sepChr m:val=""/>
              <m:endChr m:val="]"/>
              <m:grow/>
            </m:dPr>
            <m:e>
              <m:r>
                <m:t>h</m:t>
              </m:r>
              <m:d>
                <m:dPr>
                  <m:begChr m:val="("/>
                  <m:sepChr m:val=""/>
                  <m:endChr m:val=")"/>
                  <m:grow/>
                </m:dPr>
                <m:e>
                  <m:r>
                    <m:t>1</m:t>
                  </m:r>
                  <m:r>
                    <m:rPr>
                      <m:sty m:val="p"/>
                    </m:rPr>
                    <m:t>−</m:t>
                  </m:r>
                  <m:sSub>
                    <m:e>
                      <m:r>
                        <m:t>Φ</m:t>
                      </m:r>
                    </m:e>
                    <m:sub>
                      <m:r>
                        <m:t>2</m:t>
                      </m:r>
                    </m:sub>
                  </m:sSub>
                  <m:d>
                    <m:dPr>
                      <m:begChr m:val="("/>
                      <m:sepChr m:val=""/>
                      <m:endChr m:val=")"/>
                      <m:grow/>
                    </m:dPr>
                    <m:e>
                      <m:f>
                        <m:fPr>
                          <m:type m:val="bar"/>
                        </m:fPr>
                        <m:num>
                          <m:sSub>
                            <m:e>
                              <m:r>
                                <m:t>μ</m:t>
                              </m:r>
                            </m:e>
                            <m:sub>
                              <m:r>
                                <m:t>A</m:t>
                              </m:r>
                            </m:sub>
                          </m:sSub>
                          <m:r>
                            <m:rPr>
                              <m:sty m:val="p"/>
                            </m:rPr>
                            <m:t>+</m:t>
                          </m:r>
                          <m:sSub>
                            <m:e>
                              <m:acc>
                                <m:accPr>
                                  <m:chr m:val="̂"/>
                                </m:accPr>
                                <m:e>
                                  <m:r>
                                    <m:t>z</m:t>
                                  </m:r>
                                </m:e>
                              </m:acc>
                            </m:e>
                            <m:sub>
                              <m:r>
                                <m:t>1</m:t>
                              </m:r>
                            </m:sub>
                          </m:sSub>
                          <m:r>
                            <m:rPr>
                              <m:sty m:val="p"/>
                            </m:rPr>
                            <m:t>−</m:t>
                          </m:r>
                          <m:sSub>
                            <m:e>
                              <m:r>
                                <m:t>h</m:t>
                              </m:r>
                            </m:e>
                            <m:sub>
                              <m:r>
                                <m:t>c</m:t>
                              </m:r>
                            </m:sub>
                          </m:sSub>
                        </m:num>
                        <m:den>
                          <m:sSub>
                            <m:e>
                              <m:r>
                                <m:t>s</m:t>
                              </m:r>
                            </m:e>
                            <m:sub>
                              <m:r>
                                <m:t>A</m:t>
                              </m:r>
                            </m:sub>
                          </m:sSub>
                        </m:den>
                      </m:f>
                      <m:r>
                        <m:rPr>
                          <m:sty m:val="p"/>
                        </m:rPr>
                        <m:t>,</m:t>
                      </m:r>
                      <m:f>
                        <m:fPr>
                          <m:type m:val="bar"/>
                        </m:fPr>
                        <m:num>
                          <m:sSub>
                            <m:e>
                              <m:r>
                                <m:t>μ</m:t>
                              </m:r>
                            </m:e>
                            <m:sub>
                              <m:r>
                                <m:t>B</m:t>
                              </m:r>
                            </m:sub>
                          </m:sSub>
                          <m:r>
                            <m:rPr>
                              <m:sty m:val="p"/>
                            </m:rPr>
                            <m:t>+</m:t>
                          </m:r>
                          <m:sSub>
                            <m:e>
                              <m:acc>
                                <m:accPr>
                                  <m:chr m:val="̂"/>
                                </m:accPr>
                                <m:e>
                                  <m:r>
                                    <m:t>z</m:t>
                                  </m:r>
                                </m:e>
                              </m:acc>
                            </m:e>
                            <m:sub>
                              <m:r>
                                <m:t>2</m:t>
                              </m:r>
                            </m:sub>
                          </m:sSub>
                          <m:r>
                            <m:rPr>
                              <m:sty m:val="p"/>
                            </m:rPr>
                            <m:t>−</m:t>
                          </m:r>
                          <m:sSub>
                            <m:e>
                              <m:r>
                                <m:t>h</m:t>
                              </m:r>
                            </m:e>
                            <m:sub>
                              <m:r>
                                <m:t>c</m:t>
                              </m:r>
                            </m:sub>
                          </m:sSub>
                        </m:num>
                        <m:den>
                          <m:sSub>
                            <m:e>
                              <m:r>
                                <m:t>s</m:t>
                              </m:r>
                            </m:e>
                            <m:sub>
                              <m:r>
                                <m:t>B</m:t>
                              </m:r>
                            </m:sub>
                          </m:sSub>
                        </m:den>
                      </m:f>
                      <m:r>
                        <m:rPr>
                          <m:sty m:val="p"/>
                        </m:rPr>
                        <m:t>;</m:t>
                      </m:r>
                      <m:r>
                        <m:t>r</m:t>
                      </m:r>
                    </m:e>
                  </m:d>
                </m:e>
              </m:d>
            </m:e>
          </m:d>
        </m:oMath>
      </m:oMathPara>
    </w:p>
    <w:p>
      <w:pPr>
        <w:spacing w:after="120"/>
        <w:jc w:val="both"/>
      </w:pPr>
      <w:r>
        <w:t xml:space="preserve">Këtu </w:t>
      </w:r>
      <m:oMath>
        <m:sSub>
          <m:e>
            <m:r>
              <m:t>K</m:t>
            </m:r>
          </m:e>
          <m:sub>
            <m:r>
              <m:t>d</m:t>
            </m:r>
          </m:sub>
        </m:sSub>
      </m:oMath>
      <w:r>
        <w:t xml:space="preserve"> është operatori i informacionit i dy kokave, </w:t>
      </w:r>
      <m:oMath>
        <m:sSub>
          <m:e>
            <m:r>
              <m:t>s</m:t>
            </m:r>
          </m:e>
          <m:sub>
            <m:r>
              <m:t>A</m:t>
            </m:r>
          </m:sub>
        </m:sSub>
      </m:oMath>
      <w:r>
        <w:t xml:space="preserve">, </w:t>
      </w:r>
      <m:oMath>
        <m:sSub>
          <m:e>
            <m:r>
              <m:t>s</m:t>
            </m:r>
          </m:e>
          <m:sub>
            <m:r>
              <m:t>B</m:t>
            </m:r>
          </m:sub>
        </m:sSub>
      </m:oMath>
      <w:r>
        <w:t xml:space="preserve"> dhe </w:t>
      </w:r>
      <m:oMath>
        <m:r>
          <m:t>r</m:t>
        </m:r>
      </m:oMath>
      <w:r>
        <w:t xml:space="preserve"> janë devijimet standarde dhe korrelacioni aposteriori, dhe pritja llogaritet me kuadraturë Gauss–Hermite 24 × 24.</w:t>
      </w:r>
    </w:p>
    <w:p>
      <w:pPr>
        <w:spacing w:after="240"/>
      </w:pPr>
    </w:p>
    <w:p>
      <w:pPr>
        <w:pStyle w:val="Heading1"/>
      </w:pPr>
      <w:r>
        <w:rPr>
          <w:color w:val="1F3864"/>
        </w:rPr>
        <w:t xml:space="preserve">4. Rezultatet me prior-in e publikuar</w:t>
      </w:r>
    </w:p>
    <w:p>
      <w:pPr>
        <w:spacing w:after="120"/>
        <w:jc w:val="both"/>
      </w:pPr>
      <w:r>
        <w:rPr>
          <w:b/>
          <w:bCs/>
        </w:rPr>
        <w:t xml:space="preserve">Tre puse, të gjitha 4 060 dizajnet.</w:t>
      </w:r>
      <w:r>
        <w:t xml:space="preserve"> Tabela jep EIG-në e saktë të dizajnit që zgjedh çdo kriter, si përqindje e optimumit të saktë për çdo qëllim, dhe korrelacionin e renditjes (Spearman) me EIG-në e saktë të rrezikut «A ose B».</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238"/>
        <w:gridCol w:w="1600"/>
        <w:gridCol w:w="1600"/>
        <w:gridCol w:w="1600"/>
        <w:gridCol w:w="1600"/>
      </w:tblGrid>
      <w:tr>
        <w:trPr>
          <w:cantSplit/>
          <w:tblHeader/>
        </w:trPr>
        <w:tc>
          <w:tcPr>
            <w:tcW w:type="dxa" w:w="3238"/>
            <w:shd w:fill="D97706" w:color="auto" w:val="clear"/>
            <w:tcMar>
              <w:top w:type="dxa" w:w="60"/>
              <w:left w:type="dxa" w:w="100"/>
              <w:bottom w:type="dxa" w:w="60"/>
              <w:right w:type="dxa" w:w="100"/>
            </w:tcMar>
            <w:vAlign w:val="top"/>
          </w:tcPr>
          <w:p>
            <w:r>
              <w:rPr>
                <w:b/>
                <w:bCs/>
                <w:color w:val="FFFFFF"/>
                <w:sz w:val="17"/>
                <w:szCs w:val="17"/>
              </w:rPr>
              <w:t xml:space="preserve">Kriteri</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Sipërfaqja &gt; 100 km²</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Rreziku në A</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A ose B</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Spearman (A ose B)</w:t>
            </w:r>
          </w:p>
        </w:tc>
      </w:tr>
      <w:tr>
        <w:trPr>
          <w:cantSplit/>
        </w:trPr>
        <w:tc>
          <w:tcPr>
            <w:tcW w:type="dxa" w:w="3238"/>
            <w:tcMar>
              <w:top w:type="dxa" w:w="60"/>
              <w:left w:type="dxa" w:w="100"/>
              <w:bottom w:type="dxa" w:w="60"/>
              <w:right w:type="dxa" w:w="100"/>
            </w:tcMar>
            <w:vAlign w:val="top"/>
          </w:tcPr>
          <w:p>
            <w:r>
              <w:rPr>
                <w:sz w:val="17"/>
                <w:szCs w:val="17"/>
              </w:rPr>
              <w:t xml:space="preserve">EIG lineare e sipërfaqes (pipeline-i i publikuar)</w:t>
            </w:r>
          </w:p>
        </w:tc>
        <w:tc>
          <w:tcPr>
            <w:tcW w:type="dxa" w:w="1600"/>
            <w:tcMar>
              <w:top w:type="dxa" w:w="60"/>
              <w:left w:type="dxa" w:w="100"/>
              <w:bottom w:type="dxa" w:w="60"/>
              <w:right w:type="dxa" w:w="100"/>
            </w:tcMar>
            <w:vAlign w:val="top"/>
          </w:tcPr>
          <w:p>
            <w:r>
              <w:rPr>
                <w:sz w:val="17"/>
                <w:szCs w:val="17"/>
              </w:rPr>
              <w:t xml:space="preserve">100.0%</w:t>
            </w:r>
          </w:p>
        </w:tc>
        <w:tc>
          <w:tcPr>
            <w:tcW w:type="dxa" w:w="1600"/>
            <w:tcMar>
              <w:top w:type="dxa" w:w="60"/>
              <w:left w:type="dxa" w:w="100"/>
              <w:bottom w:type="dxa" w:w="60"/>
              <w:right w:type="dxa" w:w="100"/>
            </w:tcMar>
            <w:vAlign w:val="top"/>
          </w:tcPr>
          <w:p>
            <w:r>
              <w:rPr>
                <w:sz w:val="17"/>
                <w:szCs w:val="17"/>
              </w:rPr>
              <w:t xml:space="preserve">32.3%</w:t>
            </w:r>
          </w:p>
        </w:tc>
        <w:tc>
          <w:tcPr>
            <w:tcW w:type="dxa" w:w="1600"/>
            <w:tcMar>
              <w:top w:type="dxa" w:w="60"/>
              <w:left w:type="dxa" w:w="100"/>
              <w:bottom w:type="dxa" w:w="60"/>
              <w:right w:type="dxa" w:w="100"/>
            </w:tcMar>
            <w:vAlign w:val="top"/>
          </w:tcPr>
          <w:p>
            <w:r>
              <w:rPr>
                <w:sz w:val="17"/>
                <w:szCs w:val="17"/>
              </w:rPr>
              <w:t xml:space="preserve">80.2%</w:t>
            </w:r>
          </w:p>
        </w:tc>
        <w:tc>
          <w:tcPr>
            <w:tcW w:type="dxa" w:w="1600"/>
            <w:tcMar>
              <w:top w:type="dxa" w:w="60"/>
              <w:left w:type="dxa" w:w="100"/>
              <w:bottom w:type="dxa" w:w="60"/>
              <w:right w:type="dxa" w:w="100"/>
            </w:tcMar>
            <w:vAlign w:val="top"/>
          </w:tcPr>
          <w:p>
            <w:r>
              <w:rPr>
                <w:sz w:val="17"/>
                <w:szCs w:val="17"/>
              </w:rPr>
              <w:t xml:space="preserve">0.827</w:t>
            </w:r>
          </w:p>
        </w:tc>
      </w:tr>
      <w:tr>
        <w:trPr>
          <w:cantSplit/>
        </w:trPr>
        <w:tc>
          <w:tcPr>
            <w:tcW w:type="dxa" w:w="3238"/>
            <w:shd w:fill="F7F9FC" w:color="auto" w:val="clear"/>
            <w:tcMar>
              <w:top w:type="dxa" w:w="60"/>
              <w:left w:type="dxa" w:w="100"/>
              <w:bottom w:type="dxa" w:w="60"/>
              <w:right w:type="dxa" w:w="100"/>
            </w:tcMar>
            <w:vAlign w:val="top"/>
          </w:tcPr>
          <w:p>
            <w:r>
              <w:rPr>
                <w:sz w:val="17"/>
                <w:szCs w:val="17"/>
              </w:rPr>
              <w:t xml:space="preserve">EIG lineare e kokës në A (Teorema 1)</w:t>
            </w:r>
          </w:p>
        </w:tc>
        <w:tc>
          <w:tcPr>
            <w:tcW w:type="dxa" w:w="1600"/>
            <w:shd w:fill="F7F9FC" w:color="auto" w:val="clear"/>
            <w:tcMar>
              <w:top w:type="dxa" w:w="60"/>
              <w:left w:type="dxa" w:w="100"/>
              <w:bottom w:type="dxa" w:w="60"/>
              <w:right w:type="dxa" w:w="100"/>
            </w:tcMar>
            <w:vAlign w:val="top"/>
          </w:tcPr>
          <w:p>
            <w:r>
              <w:rPr>
                <w:sz w:val="17"/>
                <w:szCs w:val="17"/>
              </w:rPr>
              <w:t xml:space="preserve">33.0%</w:t>
            </w:r>
          </w:p>
        </w:tc>
        <w:tc>
          <w:tcPr>
            <w:tcW w:type="dxa" w:w="1600"/>
            <w:shd w:fill="F7F9FC" w:color="auto" w:val="clear"/>
            <w:tcMar>
              <w:top w:type="dxa" w:w="60"/>
              <w:left w:type="dxa" w:w="100"/>
              <w:bottom w:type="dxa" w:w="60"/>
              <w:right w:type="dxa" w:w="100"/>
            </w:tcMar>
            <w:vAlign w:val="top"/>
          </w:tcPr>
          <w:p>
            <w:r>
              <w:rPr>
                <w:sz w:val="17"/>
                <w:szCs w:val="17"/>
              </w:rPr>
              <w:t xml:space="preserve">100.0%</w:t>
            </w:r>
          </w:p>
        </w:tc>
        <w:tc>
          <w:tcPr>
            <w:tcW w:type="dxa" w:w="1600"/>
            <w:shd w:fill="F7F9FC" w:color="auto" w:val="clear"/>
            <w:tcMar>
              <w:top w:type="dxa" w:w="60"/>
              <w:left w:type="dxa" w:w="100"/>
              <w:bottom w:type="dxa" w:w="60"/>
              <w:right w:type="dxa" w:w="100"/>
            </w:tcMar>
            <w:vAlign w:val="top"/>
          </w:tcPr>
          <w:p>
            <w:r>
              <w:rPr>
                <w:sz w:val="17"/>
                <w:szCs w:val="17"/>
              </w:rPr>
              <w:t xml:space="preserve">40.1%</w:t>
            </w:r>
          </w:p>
        </w:tc>
        <w:tc>
          <w:tcPr>
            <w:tcW w:type="dxa" w:w="1600"/>
            <w:shd w:fill="F7F9FC" w:color="auto" w:val="clear"/>
            <w:tcMar>
              <w:top w:type="dxa" w:w="60"/>
              <w:left w:type="dxa" w:w="100"/>
              <w:bottom w:type="dxa" w:w="60"/>
              <w:right w:type="dxa" w:w="100"/>
            </w:tcMar>
            <w:vAlign w:val="top"/>
          </w:tcPr>
          <w:p>
            <w:r>
              <w:rPr>
                <w:sz w:val="17"/>
                <w:szCs w:val="17"/>
              </w:rPr>
              <w:t xml:space="preserve">0.203</w:t>
            </w:r>
          </w:p>
        </w:tc>
      </w:tr>
      <w:tr>
        <w:trPr>
          <w:cantSplit/>
        </w:trPr>
        <w:tc>
          <w:tcPr>
            <w:tcW w:type="dxa" w:w="3238"/>
            <w:tcMar>
              <w:top w:type="dxa" w:w="60"/>
              <w:left w:type="dxa" w:w="100"/>
              <w:bottom w:type="dxa" w:w="60"/>
              <w:right w:type="dxa" w:w="100"/>
            </w:tcMar>
            <w:vAlign w:val="top"/>
          </w:tcPr>
          <w:p>
            <w:r>
              <w:rPr>
                <w:sz w:val="17"/>
                <w:szCs w:val="17"/>
              </w:rPr>
              <w:t xml:space="preserve">EIG lineare e kokës mesatare në A dhe B</w:t>
            </w:r>
          </w:p>
        </w:tc>
        <w:tc>
          <w:tcPr>
            <w:tcW w:type="dxa" w:w="1600"/>
            <w:tcMar>
              <w:top w:type="dxa" w:w="60"/>
              <w:left w:type="dxa" w:w="100"/>
              <w:bottom w:type="dxa" w:w="60"/>
              <w:right w:type="dxa" w:w="100"/>
            </w:tcMar>
            <w:vAlign w:val="top"/>
          </w:tcPr>
          <w:p>
            <w:r>
              <w:rPr>
                <w:sz w:val="17"/>
                <w:szCs w:val="17"/>
              </w:rPr>
              <w:t xml:space="preserve">85.4%</w:t>
            </w:r>
          </w:p>
        </w:tc>
        <w:tc>
          <w:tcPr>
            <w:tcW w:type="dxa" w:w="1600"/>
            <w:tcMar>
              <w:top w:type="dxa" w:w="60"/>
              <w:left w:type="dxa" w:w="100"/>
              <w:bottom w:type="dxa" w:w="60"/>
              <w:right w:type="dxa" w:w="100"/>
            </w:tcMar>
            <w:vAlign w:val="top"/>
          </w:tcPr>
          <w:p>
            <w:r>
              <w:rPr>
                <w:sz w:val="17"/>
                <w:szCs w:val="17"/>
              </w:rPr>
              <w:t xml:space="preserve">91.4%</w:t>
            </w:r>
          </w:p>
        </w:tc>
        <w:tc>
          <w:tcPr>
            <w:tcW w:type="dxa" w:w="1600"/>
            <w:tcMar>
              <w:top w:type="dxa" w:w="60"/>
              <w:left w:type="dxa" w:w="100"/>
              <w:bottom w:type="dxa" w:w="60"/>
              <w:right w:type="dxa" w:w="100"/>
            </w:tcMar>
            <w:vAlign w:val="top"/>
          </w:tcPr>
          <w:p>
            <w:r>
              <w:rPr>
                <w:sz w:val="17"/>
                <w:szCs w:val="17"/>
              </w:rPr>
              <w:t xml:space="preserve">100.0%</w:t>
            </w:r>
          </w:p>
        </w:tc>
        <w:tc>
          <w:tcPr>
            <w:tcW w:type="dxa" w:w="1600"/>
            <w:tcMar>
              <w:top w:type="dxa" w:w="60"/>
              <w:left w:type="dxa" w:w="100"/>
              <w:bottom w:type="dxa" w:w="60"/>
              <w:right w:type="dxa" w:w="100"/>
            </w:tcMar>
            <w:vAlign w:val="top"/>
          </w:tcPr>
          <w:p>
            <w:r>
              <w:rPr>
                <w:sz w:val="17"/>
                <w:szCs w:val="17"/>
              </w:rPr>
              <w:t xml:space="preserve">0.957</w:t>
            </w:r>
          </w:p>
        </w:tc>
      </w:tr>
      <w:tr>
        <w:trPr>
          <w:cantSplit/>
        </w:trPr>
        <w:tc>
          <w:tcPr>
            <w:tcW w:type="dxa" w:w="3238"/>
            <w:shd w:fill="F7F9FC" w:color="auto" w:val="clear"/>
            <w:tcMar>
              <w:top w:type="dxa" w:w="60"/>
              <w:left w:type="dxa" w:w="100"/>
              <w:bottom w:type="dxa" w:w="60"/>
              <w:right w:type="dxa" w:w="100"/>
            </w:tcMar>
            <w:vAlign w:val="top"/>
          </w:tcPr>
          <w:p>
            <w:r>
              <w:rPr>
                <w:sz w:val="17"/>
                <w:szCs w:val="17"/>
              </w:rPr>
              <w:t xml:space="preserve">PRAG-GO, momente lineare</w:t>
            </w:r>
          </w:p>
        </w:tc>
        <w:tc>
          <w:tcPr>
            <w:tcW w:type="dxa" w:w="1600"/>
            <w:shd w:fill="F7F9FC" w:color="auto" w:val="clear"/>
            <w:tcMar>
              <w:top w:type="dxa" w:w="60"/>
              <w:left w:type="dxa" w:w="100"/>
              <w:bottom w:type="dxa" w:w="60"/>
              <w:right w:type="dxa" w:w="100"/>
            </w:tcMar>
            <w:vAlign w:val="top"/>
          </w:tcPr>
          <w:p>
            <w:r>
              <w:rPr>
                <w:sz w:val="17"/>
                <w:szCs w:val="17"/>
              </w:rPr>
              <w:t xml:space="preserve">90.2%</w:t>
            </w:r>
          </w:p>
        </w:tc>
        <w:tc>
          <w:tcPr>
            <w:tcW w:type="dxa" w:w="1600"/>
            <w:shd w:fill="F7F9FC" w:color="auto" w:val="clear"/>
            <w:tcMar>
              <w:top w:type="dxa" w:w="60"/>
              <w:left w:type="dxa" w:w="100"/>
              <w:bottom w:type="dxa" w:w="60"/>
              <w:right w:type="dxa" w:w="100"/>
            </w:tcMar>
            <w:vAlign w:val="top"/>
          </w:tcPr>
          <w:p>
            <w:r>
              <w:rPr>
                <w:sz w:val="17"/>
                <w:szCs w:val="17"/>
              </w:rPr>
              <w:t xml:space="preserve">91.6%</w:t>
            </w:r>
          </w:p>
        </w:tc>
        <w:tc>
          <w:tcPr>
            <w:tcW w:type="dxa" w:w="1600"/>
            <w:shd w:fill="F7F9FC" w:color="auto" w:val="clear"/>
            <w:tcMar>
              <w:top w:type="dxa" w:w="60"/>
              <w:left w:type="dxa" w:w="100"/>
              <w:bottom w:type="dxa" w:w="60"/>
              <w:right w:type="dxa" w:w="100"/>
            </w:tcMar>
            <w:vAlign w:val="top"/>
          </w:tcPr>
          <w:p>
            <w:r>
              <w:rPr>
                <w:sz w:val="17"/>
                <w:szCs w:val="17"/>
              </w:rPr>
              <w:t xml:space="preserve">97.6%</w:t>
            </w:r>
          </w:p>
        </w:tc>
        <w:tc>
          <w:tcPr>
            <w:tcW w:type="dxa" w:w="1600"/>
            <w:shd w:fill="F7F9FC" w:color="auto" w:val="clear"/>
            <w:tcMar>
              <w:top w:type="dxa" w:w="60"/>
              <w:left w:type="dxa" w:w="100"/>
              <w:bottom w:type="dxa" w:w="60"/>
              <w:right w:type="dxa" w:w="100"/>
            </w:tcMar>
            <w:vAlign w:val="top"/>
          </w:tcPr>
          <w:p>
            <w:r>
              <w:rPr>
                <w:sz w:val="17"/>
                <w:szCs w:val="17"/>
              </w:rPr>
              <w:t xml:space="preserve">0.996</w:t>
            </w:r>
          </w:p>
        </w:tc>
      </w:tr>
      <w:tr>
        <w:trPr>
          <w:cantSplit/>
        </w:trPr>
        <w:tc>
          <w:tcPr>
            <w:tcW w:type="dxa" w:w="3238"/>
            <w:tcMar>
              <w:top w:type="dxa" w:w="60"/>
              <w:left w:type="dxa" w:w="100"/>
              <w:bottom w:type="dxa" w:w="60"/>
              <w:right w:type="dxa" w:w="100"/>
            </w:tcMar>
            <w:vAlign w:val="top"/>
          </w:tcPr>
          <w:p>
            <w:r>
              <w:rPr>
                <w:sz w:val="17"/>
                <w:szCs w:val="17"/>
              </w:rPr>
              <w:t xml:space="preserve">PRAG-GO, momente ansambli</w:t>
            </w:r>
          </w:p>
        </w:tc>
        <w:tc>
          <w:tcPr>
            <w:tcW w:type="dxa" w:w="1600"/>
            <w:tcMar>
              <w:top w:type="dxa" w:w="60"/>
              <w:left w:type="dxa" w:w="100"/>
              <w:bottom w:type="dxa" w:w="60"/>
              <w:right w:type="dxa" w:w="100"/>
            </w:tcMar>
            <w:vAlign w:val="top"/>
          </w:tcPr>
          <w:p>
            <w:r>
              <w:rPr>
                <w:sz w:val="17"/>
                <w:szCs w:val="17"/>
              </w:rPr>
              <w:t xml:space="preserve">85.4%</w:t>
            </w:r>
          </w:p>
        </w:tc>
        <w:tc>
          <w:tcPr>
            <w:tcW w:type="dxa" w:w="1600"/>
            <w:tcMar>
              <w:top w:type="dxa" w:w="60"/>
              <w:left w:type="dxa" w:w="100"/>
              <w:bottom w:type="dxa" w:w="60"/>
              <w:right w:type="dxa" w:w="100"/>
            </w:tcMar>
            <w:vAlign w:val="top"/>
          </w:tcPr>
          <w:p>
            <w:r>
              <w:rPr>
                <w:sz w:val="17"/>
                <w:szCs w:val="17"/>
              </w:rPr>
              <w:t xml:space="preserve">91.4%</w:t>
            </w:r>
          </w:p>
        </w:tc>
        <w:tc>
          <w:tcPr>
            <w:tcW w:type="dxa" w:w="1600"/>
            <w:tcMar>
              <w:top w:type="dxa" w:w="60"/>
              <w:left w:type="dxa" w:w="100"/>
              <w:bottom w:type="dxa" w:w="60"/>
              <w:right w:type="dxa" w:w="100"/>
            </w:tcMar>
            <w:vAlign w:val="top"/>
          </w:tcPr>
          <w:p>
            <w:r>
              <w:rPr>
                <w:sz w:val="17"/>
                <w:szCs w:val="17"/>
              </w:rPr>
              <w:t xml:space="preserve">100.0%</w:t>
            </w:r>
          </w:p>
        </w:tc>
        <w:tc>
          <w:tcPr>
            <w:tcW w:type="dxa" w:w="1600"/>
            <w:tcMar>
              <w:top w:type="dxa" w:w="60"/>
              <w:left w:type="dxa" w:w="100"/>
              <w:bottom w:type="dxa" w:w="60"/>
              <w:right w:type="dxa" w:w="100"/>
            </w:tcMar>
            <w:vAlign w:val="top"/>
          </w:tcPr>
          <w:p>
            <w:r>
              <w:rPr>
                <w:sz w:val="17"/>
                <w:szCs w:val="17"/>
              </w:rPr>
              <w:t xml:space="preserve">0.995</w:t>
            </w:r>
          </w:p>
        </w:tc>
      </w:tr>
      <w:tr>
        <w:trPr>
          <w:cantSplit/>
        </w:trPr>
        <w:tc>
          <w:tcPr>
            <w:tcW w:type="dxa" w:w="3238"/>
            <w:shd w:fill="F7F9FC" w:color="auto" w:val="clear"/>
            <w:tcMar>
              <w:top w:type="dxa" w:w="60"/>
              <w:left w:type="dxa" w:w="100"/>
              <w:bottom w:type="dxa" w:w="60"/>
              <w:right w:type="dxa" w:w="100"/>
            </w:tcMar>
            <w:vAlign w:val="top"/>
          </w:tcPr>
          <w:p>
            <w:r>
              <w:rPr>
                <w:sz w:val="17"/>
                <w:szCs w:val="17"/>
              </w:rPr>
              <w:t xml:space="preserve">PRAG-GO, normal-score</w:t>
            </w:r>
          </w:p>
        </w:tc>
        <w:tc>
          <w:tcPr>
            <w:tcW w:type="dxa" w:w="1600"/>
            <w:shd w:fill="F7F9FC" w:color="auto" w:val="clear"/>
            <w:tcMar>
              <w:top w:type="dxa" w:w="60"/>
              <w:left w:type="dxa" w:w="100"/>
              <w:bottom w:type="dxa" w:w="60"/>
              <w:right w:type="dxa" w:w="100"/>
            </w:tcMar>
            <w:vAlign w:val="top"/>
          </w:tcPr>
          <w:p>
            <w:r>
              <w:rPr>
                <w:sz w:val="17"/>
                <w:szCs w:val="17"/>
              </w:rPr>
              <w:t xml:space="preserve">90.2%</w:t>
            </w:r>
          </w:p>
        </w:tc>
        <w:tc>
          <w:tcPr>
            <w:tcW w:type="dxa" w:w="1600"/>
            <w:shd w:fill="F7F9FC" w:color="auto" w:val="clear"/>
            <w:tcMar>
              <w:top w:type="dxa" w:w="60"/>
              <w:left w:type="dxa" w:w="100"/>
              <w:bottom w:type="dxa" w:w="60"/>
              <w:right w:type="dxa" w:w="100"/>
            </w:tcMar>
            <w:vAlign w:val="top"/>
          </w:tcPr>
          <w:p>
            <w:r>
              <w:rPr>
                <w:sz w:val="17"/>
                <w:szCs w:val="17"/>
              </w:rPr>
              <w:t xml:space="preserve">91.6%</w:t>
            </w:r>
          </w:p>
        </w:tc>
        <w:tc>
          <w:tcPr>
            <w:tcW w:type="dxa" w:w="1600"/>
            <w:shd w:fill="F7F9FC" w:color="auto" w:val="clear"/>
            <w:tcMar>
              <w:top w:type="dxa" w:w="60"/>
              <w:left w:type="dxa" w:w="100"/>
              <w:bottom w:type="dxa" w:w="60"/>
              <w:right w:type="dxa" w:w="100"/>
            </w:tcMar>
            <w:vAlign w:val="top"/>
          </w:tcPr>
          <w:p>
            <w:r>
              <w:rPr>
                <w:sz w:val="17"/>
                <w:szCs w:val="17"/>
              </w:rPr>
              <w:t xml:space="preserve">97.6%</w:t>
            </w:r>
          </w:p>
        </w:tc>
        <w:tc>
          <w:tcPr>
            <w:tcW w:type="dxa" w:w="1600"/>
            <w:shd w:fill="F7F9FC" w:color="auto" w:val="clear"/>
            <w:tcMar>
              <w:top w:type="dxa" w:w="60"/>
              <w:left w:type="dxa" w:w="100"/>
              <w:bottom w:type="dxa" w:w="60"/>
              <w:right w:type="dxa" w:w="100"/>
            </w:tcMar>
            <w:vAlign w:val="top"/>
          </w:tcPr>
          <w:p>
            <w:r>
              <w:rPr>
                <w:sz w:val="17"/>
                <w:szCs w:val="17"/>
              </w:rPr>
              <w:t xml:space="preserve">0.996</w:t>
            </w:r>
          </w:p>
        </w:tc>
      </w:tr>
    </w:tbl>
    <w:p>
      <w:pPr>
        <w:spacing w:after="160"/>
      </w:pPr>
    </w:p>
    <w:p>
      <w:pPr>
        <w:spacing w:after="120"/>
        <w:jc w:val="both"/>
      </w:pPr>
      <w:r>
        <w:t xml:space="preserve">Teorema 1 vlen në fushë për qëllimin e projektit. Dizajni i Lemës 1 për sipërfaqen (P21, A3, A18) është optimumi i saktë edhe për pragun e sipërfaqes, me Spearman 0.995. Ky dizajn shtrihet në të gjithë gjatësinë e bregut, sepse sipërfaqja mbledh kripësinë e të gjithë brezit bregdetar. Për rrezikun në A23 ai kap vetëm 32.3%, dhe renditja e tij nuk ka pothuajse asnjë lidhje me EIG-në e saktë (Spearman 0.072). Informacioni për A23 vjen nga puset P13, A11, A25, 2–4 km në lindje të tij. EIG-ja lineare e kokës në A i gjen saktë (100%), pra edhe Teorema 1 për pusin e furnizimit vlen pa ndryshim. Për rrezikun «A ose B», formula e PRAG-GO-s arrin 97.6% me momente lineare dhe 100.0% me momente ansambli, me Spearman 0.996.</w:t>
      </w:r>
    </w:p>
    <w:p>
      <w:pPr>
        <w:keepNext/>
        <w:spacing w:after="60" w:before="120"/>
        <w:jc w:val="center"/>
      </w:pPr>
      <w:r>
        <w:drawing>
          <wp:inline distT="0" distB="0" distL="0" distR="0">
            <wp:extent cx="5762625" cy="2143125"/>
            <wp:effectExtent t="0" r="0" b="0" l="0"/>
            <wp:docPr id="1" name="Kriteri kundrejt EIG-së së saktë për 4060 dizajnet me 3 puse" descr="Kriteri kundrejt EIG-së së saktë për 4060 dizajnet me 3 puse" title="Kriteri kundrejt EIG-së së saktë për 4060 dizajnet me 3 p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143125"/>
                    </a:xfrm>
                    <a:prstGeom prst="rect">
                      <a:avLst/>
                    </a:prstGeom>
                  </pic:spPr>
                </pic:pic>
              </a:graphicData>
            </a:graphic>
          </wp:inline>
        </w:drawing>
      </w:r>
    </w:p>
    <w:p>
      <w:pPr>
        <w:spacing w:after="200"/>
        <w:jc w:val="both"/>
      </w:pPr>
      <w:r>
        <w:rPr>
          <w:b/>
          <w:bCs/>
          <w:color w:val="3A4350"/>
          <w:sz w:val="18"/>
          <w:szCs w:val="18"/>
        </w:rPr>
        <w:t xml:space="preserve">Figura 2.</w:t>
      </w:r>
      <w:r>
        <w:rPr>
          <w:color w:val="3A4350"/>
          <w:sz w:val="18"/>
          <w:szCs w:val="18"/>
        </w:rPr>
        <w:t xml:space="preserve"> Vlera e kriterit kundrejt EIG-së së saktë për të 4 060 dizajnet me 3 puse. (a) EIG-ja lineare e sipërfaqes kundrejt pragut të sipërfaqes: Teorema 1 në fushë. (b) Po ai kriter kundrejt rrezikut «A ose B». (c) PRAG-GO me momente lineare kundrejt rrezikut «A ose B». Pika portokalli është dizajni që zgjedh kriteri, vija e ndërprerë optimumi i saktë.</w:t>
      </w:r>
    </w:p>
    <w:p>
      <w:pPr>
        <w:spacing w:after="120"/>
        <w:jc w:val="both"/>
      </w:pPr>
      <w:r>
        <w:rPr>
          <w:b/>
          <w:bCs/>
        </w:rPr>
        <w:t xml:space="preserve">Pesë puse, buxheti i projektit.</w:t>
      </w:r>
      <w:r>
        <w:t xml:space="preserve"> Të 142 506 dizajnet me 5 puse u renditën me çdo kriter. EIG-ja e saktë u llogarit për 3 671 dizajne: 3 000 të rastit dhe 200 më të mirët e çdo kriteri. Kërkimi greedy me shkëmbime mbi EIG-në e saktë u ekzekutua për çdo qëllim. Dizajnet kryesore u rivlerësuan pastaj me ansambël katër herë më të madh (48 000 realizime), sepse ripeshimi mbivlerëson EIG-në kur madhësia efektive e mostrës është e vogël. Tabela jep përqindjet nga ky rivlerësim, kundrejt dizajnit më të mirë të gjetur me çdo metodë:</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38"/>
        <w:gridCol w:w="2600"/>
        <w:gridCol w:w="1500"/>
        <w:gridCol w:w="1450"/>
        <w:gridCol w:w="1450"/>
      </w:tblGrid>
      <w:tr>
        <w:trPr>
          <w:cantSplit/>
          <w:tblHeader/>
        </w:trPr>
        <w:tc>
          <w:tcPr>
            <w:tcW w:type="dxa" w:w="2638"/>
            <w:shd w:fill="D97706" w:color="auto" w:val="clear"/>
            <w:tcMar>
              <w:top w:type="dxa" w:w="60"/>
              <w:left w:type="dxa" w:w="100"/>
              <w:bottom w:type="dxa" w:w="60"/>
              <w:right w:type="dxa" w:w="100"/>
            </w:tcMar>
            <w:vAlign w:val="top"/>
          </w:tcPr>
          <w:p>
            <w:r>
              <w:rPr>
                <w:b/>
                <w:bCs/>
                <w:color w:val="FFFFFF"/>
                <w:sz w:val="16"/>
                <w:szCs w:val="16"/>
              </w:rPr>
              <w:t xml:space="preserve">Dizajni</w:t>
            </w:r>
          </w:p>
        </w:tc>
        <w:tc>
          <w:tcPr>
            <w:tcW w:type="dxa" w:w="2600"/>
            <w:shd w:fill="D97706" w:color="auto" w:val="clear"/>
            <w:tcMar>
              <w:top w:type="dxa" w:w="60"/>
              <w:left w:type="dxa" w:w="100"/>
              <w:bottom w:type="dxa" w:w="60"/>
              <w:right w:type="dxa" w:w="100"/>
            </w:tcMar>
            <w:vAlign w:val="top"/>
          </w:tcPr>
          <w:p>
            <w:r>
              <w:rPr>
                <w:b/>
                <w:bCs/>
                <w:color w:val="FFFFFF"/>
                <w:sz w:val="16"/>
                <w:szCs w:val="16"/>
              </w:rPr>
              <w:t xml:space="preserve">Puset</w:t>
            </w:r>
          </w:p>
        </w:tc>
        <w:tc>
          <w:tcPr>
            <w:tcW w:type="dxa" w:w="1500"/>
            <w:shd w:fill="D97706" w:color="auto" w:val="clear"/>
            <w:tcMar>
              <w:top w:type="dxa" w:w="60"/>
              <w:left w:type="dxa" w:w="100"/>
              <w:bottom w:type="dxa" w:w="60"/>
              <w:right w:type="dxa" w:w="100"/>
            </w:tcMar>
            <w:vAlign w:val="top"/>
          </w:tcPr>
          <w:p>
            <w:r>
              <w:rPr>
                <w:b/>
                <w:bCs/>
                <w:color w:val="FFFFFF"/>
                <w:sz w:val="16"/>
                <w:szCs w:val="16"/>
              </w:rPr>
              <w:t xml:space="preserve">Sipërf. &gt; 100 km²</w:t>
            </w:r>
          </w:p>
        </w:tc>
        <w:tc>
          <w:tcPr>
            <w:tcW w:type="dxa" w:w="1450"/>
            <w:shd w:fill="D97706" w:color="auto" w:val="clear"/>
            <w:tcMar>
              <w:top w:type="dxa" w:w="60"/>
              <w:left w:type="dxa" w:w="100"/>
              <w:bottom w:type="dxa" w:w="60"/>
              <w:right w:type="dxa" w:w="100"/>
            </w:tcMar>
            <w:vAlign w:val="top"/>
          </w:tcPr>
          <w:p>
            <w:r>
              <w:rPr>
                <w:b/>
                <w:bCs/>
                <w:color w:val="FFFFFF"/>
                <w:sz w:val="16"/>
                <w:szCs w:val="16"/>
              </w:rPr>
              <w:t xml:space="preserve">Rreziku në A</w:t>
            </w:r>
          </w:p>
        </w:tc>
        <w:tc>
          <w:tcPr>
            <w:tcW w:type="dxa" w:w="1450"/>
            <w:shd w:fill="D97706" w:color="auto" w:val="clear"/>
            <w:tcMar>
              <w:top w:type="dxa" w:w="60"/>
              <w:left w:type="dxa" w:w="100"/>
              <w:bottom w:type="dxa" w:w="60"/>
              <w:right w:type="dxa" w:w="100"/>
            </w:tcMar>
            <w:vAlign w:val="top"/>
          </w:tcPr>
          <w:p>
            <w:r>
              <w:rPr>
                <w:b/>
                <w:bCs/>
                <w:color w:val="FFFFFF"/>
                <w:sz w:val="16"/>
                <w:szCs w:val="16"/>
              </w:rPr>
              <w:t xml:space="preserve">A ose B</w:t>
            </w:r>
          </w:p>
        </w:tc>
      </w:tr>
      <w:tr>
        <w:trPr>
          <w:cantSplit/>
        </w:trPr>
        <w:tc>
          <w:tcPr>
            <w:tcW w:type="dxa" w:w="2638"/>
            <w:tcMar>
              <w:top w:type="dxa" w:w="60"/>
              <w:left w:type="dxa" w:w="100"/>
              <w:bottom w:type="dxa" w:w="60"/>
              <w:right w:type="dxa" w:w="100"/>
            </w:tcMar>
            <w:vAlign w:val="top"/>
          </w:tcPr>
          <w:p>
            <w:r>
              <w:rPr>
                <w:sz w:val="16"/>
                <w:szCs w:val="16"/>
              </w:rPr>
              <w:t xml:space="preserve">I publikuar (EIG margjinale, 6 km larg)</w:t>
            </w:r>
          </w:p>
        </w:tc>
        <w:tc>
          <w:tcPr>
            <w:tcW w:type="dxa" w:w="2600"/>
            <w:tcMar>
              <w:top w:type="dxa" w:w="60"/>
              <w:left w:type="dxa" w:w="100"/>
              <w:bottom w:type="dxa" w:w="60"/>
              <w:right w:type="dxa" w:w="100"/>
            </w:tcMar>
            <w:vAlign w:val="top"/>
          </w:tcPr>
          <w:p>
            <w:r>
              <w:rPr>
                <w:sz w:val="16"/>
                <w:szCs w:val="16"/>
              </w:rPr>
              <w:t xml:space="preserve">P21, A10, A12, A13, A21</w:t>
            </w:r>
          </w:p>
        </w:tc>
        <w:tc>
          <w:tcPr>
            <w:tcW w:type="dxa" w:w="1500"/>
            <w:tcMar>
              <w:top w:type="dxa" w:w="60"/>
              <w:left w:type="dxa" w:w="100"/>
              <w:bottom w:type="dxa" w:w="60"/>
              <w:right w:type="dxa" w:w="100"/>
            </w:tcMar>
            <w:vAlign w:val="top"/>
          </w:tcPr>
          <w:p>
            <w:r>
              <w:rPr>
                <w:sz w:val="16"/>
                <w:szCs w:val="16"/>
              </w:rPr>
              <w:t xml:space="preserve">86.2%</w:t>
            </w:r>
          </w:p>
        </w:tc>
        <w:tc>
          <w:tcPr>
            <w:tcW w:type="dxa" w:w="1450"/>
            <w:tcMar>
              <w:top w:type="dxa" w:w="60"/>
              <w:left w:type="dxa" w:w="100"/>
              <w:bottom w:type="dxa" w:w="60"/>
              <w:right w:type="dxa" w:w="100"/>
            </w:tcMar>
            <w:vAlign w:val="top"/>
          </w:tcPr>
          <w:p>
            <w:r>
              <w:rPr>
                <w:sz w:val="16"/>
                <w:szCs w:val="16"/>
              </w:rPr>
              <w:t xml:space="preserve">56.9%</w:t>
            </w:r>
          </w:p>
        </w:tc>
        <w:tc>
          <w:tcPr>
            <w:tcW w:type="dxa" w:w="1450"/>
            <w:tcMar>
              <w:top w:type="dxa" w:w="60"/>
              <w:left w:type="dxa" w:w="100"/>
              <w:bottom w:type="dxa" w:w="60"/>
              <w:right w:type="dxa" w:w="100"/>
            </w:tcMar>
            <w:vAlign w:val="top"/>
          </w:tcPr>
          <w:p>
            <w:r>
              <w:rPr>
                <w:sz w:val="16"/>
                <w:szCs w:val="16"/>
              </w:rPr>
              <w:t xml:space="preserve">81.9%</w:t>
            </w:r>
          </w:p>
        </w:tc>
      </w:tr>
      <w:tr>
        <w:trPr>
          <w:cantSplit/>
        </w:trPr>
        <w:tc>
          <w:tcPr>
            <w:tcW w:type="dxa" w:w="2638"/>
            <w:shd w:fill="F7F9FC" w:color="auto" w:val="clear"/>
            <w:tcMar>
              <w:top w:type="dxa" w:w="60"/>
              <w:left w:type="dxa" w:w="100"/>
              <w:bottom w:type="dxa" w:w="60"/>
              <w:right w:type="dxa" w:w="100"/>
            </w:tcMar>
            <w:vAlign w:val="top"/>
          </w:tcPr>
          <w:p>
            <w:r>
              <w:rPr>
                <w:sz w:val="16"/>
                <w:szCs w:val="16"/>
              </w:rPr>
              <w:t xml:space="preserve">Lema 1 për sipërfaqen, mbi të gjitha dizajnet</w:t>
            </w:r>
          </w:p>
        </w:tc>
        <w:tc>
          <w:tcPr>
            <w:tcW w:type="dxa" w:w="2600"/>
            <w:shd w:fill="F7F9FC" w:color="auto" w:val="clear"/>
            <w:tcMar>
              <w:top w:type="dxa" w:w="60"/>
              <w:left w:type="dxa" w:w="100"/>
              <w:bottom w:type="dxa" w:w="60"/>
              <w:right w:type="dxa" w:w="100"/>
            </w:tcMar>
            <w:vAlign w:val="top"/>
          </w:tcPr>
          <w:p>
            <w:r>
              <w:rPr>
                <w:sz w:val="16"/>
                <w:szCs w:val="16"/>
              </w:rPr>
              <w:t xml:space="preserve">P19, P21, A3, A13, A18</w:t>
            </w:r>
          </w:p>
        </w:tc>
        <w:tc>
          <w:tcPr>
            <w:tcW w:type="dxa" w:w="1500"/>
            <w:shd w:fill="F7F9FC" w:color="auto" w:val="clear"/>
            <w:tcMar>
              <w:top w:type="dxa" w:w="60"/>
              <w:left w:type="dxa" w:w="100"/>
              <w:bottom w:type="dxa" w:w="60"/>
              <w:right w:type="dxa" w:w="100"/>
            </w:tcMar>
            <w:vAlign w:val="top"/>
          </w:tcPr>
          <w:p>
            <w:r>
              <w:rPr>
                <w:sz w:val="16"/>
                <w:szCs w:val="16"/>
              </w:rPr>
              <w:t xml:space="preserve">100.0%</w:t>
            </w:r>
          </w:p>
        </w:tc>
        <w:tc>
          <w:tcPr>
            <w:tcW w:type="dxa" w:w="1450"/>
            <w:shd w:fill="F7F9FC" w:color="auto" w:val="clear"/>
            <w:tcMar>
              <w:top w:type="dxa" w:w="60"/>
              <w:left w:type="dxa" w:w="100"/>
              <w:bottom w:type="dxa" w:w="60"/>
              <w:right w:type="dxa" w:w="100"/>
            </w:tcMar>
            <w:vAlign w:val="top"/>
          </w:tcPr>
          <w:p>
            <w:r>
              <w:rPr>
                <w:sz w:val="16"/>
                <w:szCs w:val="16"/>
              </w:rPr>
              <w:t xml:space="preserve">50.1%</w:t>
            </w:r>
          </w:p>
        </w:tc>
        <w:tc>
          <w:tcPr>
            <w:tcW w:type="dxa" w:w="1450"/>
            <w:shd w:fill="F7F9FC" w:color="auto" w:val="clear"/>
            <w:tcMar>
              <w:top w:type="dxa" w:w="60"/>
              <w:left w:type="dxa" w:w="100"/>
              <w:bottom w:type="dxa" w:w="60"/>
              <w:right w:type="dxa" w:w="100"/>
            </w:tcMar>
            <w:vAlign w:val="top"/>
          </w:tcPr>
          <w:p>
            <w:r>
              <w:rPr>
                <w:sz w:val="16"/>
                <w:szCs w:val="16"/>
              </w:rPr>
              <w:t xml:space="preserve">82.5%</w:t>
            </w:r>
          </w:p>
        </w:tc>
      </w:tr>
      <w:tr>
        <w:trPr>
          <w:cantSplit/>
        </w:trPr>
        <w:tc>
          <w:tcPr>
            <w:tcW w:type="dxa" w:w="2638"/>
            <w:tcMar>
              <w:top w:type="dxa" w:w="60"/>
              <w:left w:type="dxa" w:w="100"/>
              <w:bottom w:type="dxa" w:w="60"/>
              <w:right w:type="dxa" w:w="100"/>
            </w:tcMar>
            <w:vAlign w:val="top"/>
          </w:tcPr>
          <w:p>
            <w:r>
              <w:rPr>
                <w:sz w:val="16"/>
                <w:szCs w:val="16"/>
              </w:rPr>
              <w:t xml:space="preserve">EIG lineare e kokës në A</w:t>
            </w:r>
          </w:p>
        </w:tc>
        <w:tc>
          <w:tcPr>
            <w:tcW w:type="dxa" w:w="2600"/>
            <w:tcMar>
              <w:top w:type="dxa" w:w="60"/>
              <w:left w:type="dxa" w:w="100"/>
              <w:bottom w:type="dxa" w:w="60"/>
              <w:right w:type="dxa" w:w="100"/>
            </w:tcMar>
            <w:vAlign w:val="top"/>
          </w:tcPr>
          <w:p>
            <w:r>
              <w:rPr>
                <w:sz w:val="16"/>
                <w:szCs w:val="16"/>
              </w:rPr>
              <w:t xml:space="preserve">P10, P13, A11, A24, A25</w:t>
            </w:r>
          </w:p>
        </w:tc>
        <w:tc>
          <w:tcPr>
            <w:tcW w:type="dxa" w:w="1500"/>
            <w:tcMar>
              <w:top w:type="dxa" w:w="60"/>
              <w:left w:type="dxa" w:w="100"/>
              <w:bottom w:type="dxa" w:w="60"/>
              <w:right w:type="dxa" w:w="100"/>
            </w:tcMar>
            <w:vAlign w:val="top"/>
          </w:tcPr>
          <w:p>
            <w:r>
              <w:rPr>
                <w:sz w:val="16"/>
                <w:szCs w:val="16"/>
              </w:rPr>
              <w:t xml:space="preserve">28.3%</w:t>
            </w:r>
          </w:p>
        </w:tc>
        <w:tc>
          <w:tcPr>
            <w:tcW w:type="dxa" w:w="1450"/>
            <w:tcMar>
              <w:top w:type="dxa" w:w="60"/>
              <w:left w:type="dxa" w:w="100"/>
              <w:bottom w:type="dxa" w:w="60"/>
              <w:right w:type="dxa" w:w="100"/>
            </w:tcMar>
            <w:vAlign w:val="top"/>
          </w:tcPr>
          <w:p>
            <w:r>
              <w:rPr>
                <w:sz w:val="16"/>
                <w:szCs w:val="16"/>
              </w:rPr>
              <w:t xml:space="preserve">100.0%</w:t>
            </w:r>
          </w:p>
        </w:tc>
        <w:tc>
          <w:tcPr>
            <w:tcW w:type="dxa" w:w="1450"/>
            <w:tcMar>
              <w:top w:type="dxa" w:w="60"/>
              <w:left w:type="dxa" w:w="100"/>
              <w:bottom w:type="dxa" w:w="60"/>
              <w:right w:type="dxa" w:w="100"/>
            </w:tcMar>
            <w:vAlign w:val="top"/>
          </w:tcPr>
          <w:p>
            <w:r>
              <w:rPr>
                <w:sz w:val="16"/>
                <w:szCs w:val="16"/>
              </w:rPr>
              <w:t xml:space="preserve">39.5%</w:t>
            </w:r>
          </w:p>
        </w:tc>
      </w:tr>
      <w:tr>
        <w:trPr>
          <w:cantSplit/>
        </w:trPr>
        <w:tc>
          <w:tcPr>
            <w:tcW w:type="dxa" w:w="2638"/>
            <w:shd w:fill="F7F9FC" w:color="auto" w:val="clear"/>
            <w:tcMar>
              <w:top w:type="dxa" w:w="60"/>
              <w:left w:type="dxa" w:w="100"/>
              <w:bottom w:type="dxa" w:w="60"/>
              <w:right w:type="dxa" w:w="100"/>
            </w:tcMar>
            <w:vAlign w:val="top"/>
          </w:tcPr>
          <w:p>
            <w:r>
              <w:rPr>
                <w:sz w:val="16"/>
                <w:szCs w:val="16"/>
              </w:rPr>
              <w:t xml:space="preserve">PRAG-GO, momente lineare</w:t>
            </w:r>
          </w:p>
        </w:tc>
        <w:tc>
          <w:tcPr>
            <w:tcW w:type="dxa" w:w="2600"/>
            <w:shd w:fill="F7F9FC" w:color="auto" w:val="clear"/>
            <w:tcMar>
              <w:top w:type="dxa" w:w="60"/>
              <w:left w:type="dxa" w:w="100"/>
              <w:bottom w:type="dxa" w:w="60"/>
              <w:right w:type="dxa" w:w="100"/>
            </w:tcMar>
            <w:vAlign w:val="top"/>
          </w:tcPr>
          <w:p>
            <w:r>
              <w:rPr>
                <w:sz w:val="16"/>
                <w:szCs w:val="16"/>
              </w:rPr>
              <w:t xml:space="preserve">P13, P21, A12, A17, A18</w:t>
            </w:r>
          </w:p>
        </w:tc>
        <w:tc>
          <w:tcPr>
            <w:tcW w:type="dxa" w:w="1500"/>
            <w:shd w:fill="F7F9FC" w:color="auto" w:val="clear"/>
            <w:tcMar>
              <w:top w:type="dxa" w:w="60"/>
              <w:left w:type="dxa" w:w="100"/>
              <w:bottom w:type="dxa" w:w="60"/>
              <w:right w:type="dxa" w:w="100"/>
            </w:tcMar>
            <w:vAlign w:val="top"/>
          </w:tcPr>
          <w:p>
            <w:r>
              <w:rPr>
                <w:sz w:val="16"/>
                <w:szCs w:val="16"/>
              </w:rPr>
              <w:t xml:space="preserve">79.9%</w:t>
            </w:r>
          </w:p>
        </w:tc>
        <w:tc>
          <w:tcPr>
            <w:tcW w:type="dxa" w:w="1450"/>
            <w:shd w:fill="F7F9FC" w:color="auto" w:val="clear"/>
            <w:tcMar>
              <w:top w:type="dxa" w:w="60"/>
              <w:left w:type="dxa" w:w="100"/>
              <w:bottom w:type="dxa" w:w="60"/>
              <w:right w:type="dxa" w:w="100"/>
            </w:tcMar>
            <w:vAlign w:val="top"/>
          </w:tcPr>
          <w:p>
            <w:r>
              <w:rPr>
                <w:sz w:val="16"/>
                <w:szCs w:val="16"/>
              </w:rPr>
              <w:t xml:space="preserve">88.7%</w:t>
            </w:r>
          </w:p>
        </w:tc>
        <w:tc>
          <w:tcPr>
            <w:tcW w:type="dxa" w:w="1450"/>
            <w:shd w:fill="F7F9FC" w:color="auto" w:val="clear"/>
            <w:tcMar>
              <w:top w:type="dxa" w:w="60"/>
              <w:left w:type="dxa" w:w="100"/>
              <w:bottom w:type="dxa" w:w="60"/>
              <w:right w:type="dxa" w:w="100"/>
            </w:tcMar>
            <w:vAlign w:val="top"/>
          </w:tcPr>
          <w:p>
            <w:r>
              <w:rPr>
                <w:sz w:val="16"/>
                <w:szCs w:val="16"/>
              </w:rPr>
              <w:t xml:space="preserve">100.0%</w:t>
            </w:r>
          </w:p>
        </w:tc>
      </w:tr>
      <w:tr>
        <w:trPr>
          <w:cantSplit/>
        </w:trPr>
        <w:tc>
          <w:tcPr>
            <w:tcW w:type="dxa" w:w="2638"/>
            <w:tcMar>
              <w:top w:type="dxa" w:w="60"/>
              <w:left w:type="dxa" w:w="100"/>
              <w:bottom w:type="dxa" w:w="60"/>
              <w:right w:type="dxa" w:w="100"/>
            </w:tcMar>
            <w:vAlign w:val="top"/>
          </w:tcPr>
          <w:p>
            <w:r>
              <w:rPr>
                <w:sz w:val="16"/>
                <w:szCs w:val="16"/>
              </w:rPr>
              <w:t xml:space="preserve">Greedy + shkëmbime për «A ose B»</w:t>
            </w:r>
          </w:p>
        </w:tc>
        <w:tc>
          <w:tcPr>
            <w:tcW w:type="dxa" w:w="2600"/>
            <w:tcMar>
              <w:top w:type="dxa" w:w="60"/>
              <w:left w:type="dxa" w:w="100"/>
              <w:bottom w:type="dxa" w:w="60"/>
              <w:right w:type="dxa" w:w="100"/>
            </w:tcMar>
            <w:vAlign w:val="top"/>
          </w:tcPr>
          <w:p>
            <w:r>
              <w:rPr>
                <w:sz w:val="16"/>
                <w:szCs w:val="16"/>
              </w:rPr>
              <w:t xml:space="preserve">P13, P19, P21, A12, A18</w:t>
            </w:r>
          </w:p>
        </w:tc>
        <w:tc>
          <w:tcPr>
            <w:tcW w:type="dxa" w:w="1500"/>
            <w:tcMar>
              <w:top w:type="dxa" w:w="60"/>
              <w:left w:type="dxa" w:w="100"/>
              <w:bottom w:type="dxa" w:w="60"/>
              <w:right w:type="dxa" w:w="100"/>
            </w:tcMar>
            <w:vAlign w:val="top"/>
          </w:tcPr>
          <w:p>
            <w:r>
              <w:rPr>
                <w:sz w:val="16"/>
                <w:szCs w:val="16"/>
              </w:rPr>
              <w:t xml:space="preserve">83.1%</w:t>
            </w:r>
          </w:p>
        </w:tc>
        <w:tc>
          <w:tcPr>
            <w:tcW w:type="dxa" w:w="1450"/>
            <w:tcMar>
              <w:top w:type="dxa" w:w="60"/>
              <w:left w:type="dxa" w:w="100"/>
              <w:bottom w:type="dxa" w:w="60"/>
              <w:right w:type="dxa" w:w="100"/>
            </w:tcMar>
            <w:vAlign w:val="top"/>
          </w:tcPr>
          <w:p>
            <w:r>
              <w:rPr>
                <w:sz w:val="16"/>
                <w:szCs w:val="16"/>
              </w:rPr>
              <w:t xml:space="preserve">90.5%</w:t>
            </w:r>
          </w:p>
        </w:tc>
        <w:tc>
          <w:tcPr>
            <w:tcW w:type="dxa" w:w="1450"/>
            <w:tcMar>
              <w:top w:type="dxa" w:w="60"/>
              <w:left w:type="dxa" w:w="100"/>
              <w:bottom w:type="dxa" w:w="60"/>
              <w:right w:type="dxa" w:w="100"/>
            </w:tcMar>
            <w:vAlign w:val="top"/>
          </w:tcPr>
          <w:p>
            <w:r>
              <w:rPr>
                <w:sz w:val="16"/>
                <w:szCs w:val="16"/>
              </w:rPr>
              <w:t xml:space="preserve">99.3%</w:t>
            </w:r>
          </w:p>
        </w:tc>
      </w:tr>
    </w:tbl>
    <w:p>
      <w:pPr>
        <w:spacing w:after="160"/>
      </w:pPr>
    </w:p>
    <w:p>
      <w:pPr>
        <w:spacing w:after="120"/>
        <w:jc w:val="both"/>
      </w:pPr>
      <w:r>
        <w:t xml:space="preserve">Dizajni i publikuar humb 43.1% të informacionit për rrezikun në A23 dhe 18.1% për «A ose B». Ai humb 13.8% edhe për qëllimin e vet. Kjo humbje e fundit nuk vjen nga qëllimi, por nga heuristika: puset zgjidhen një nga një sipas EIG-së margjinale, me hapësirë 6 km dhe me afrim te pusi më i afërt. Optimizimi i përbashkët i Lemës 1 mbi të njëjtat puse e mbyll këtë humbje. PRAG-GO zgjedh P13, P21, A12, A17, A18: P13, 2.2 km nga A23, dhe katër puse 0.5–5.3 km rreth R16, përgjatë zonës së përzierjes. Ky është dizajni më i mirë që gjetëm për «A ose B», pak mbi atë të kërkimit greedy (99.3%), me kosto të një vlerësimi formule për dizajn.</w:t>
      </w:r>
    </w:p>
    <w:p>
      <w:pPr>
        <w:spacing w:after="120"/>
        <w:jc w:val="both"/>
      </w:pPr>
      <w:r>
        <w:rPr>
          <w:b/>
          <w:bCs/>
        </w:rPr>
        <w:t xml:space="preserve">Kontrolli i konvergjencës.</w:t>
      </w:r>
      <w:r>
        <w:t xml:space="preserve"> Me 12 000 realizime, përqindjet e tabelës ishin brenda 5 pikësh nga ato me 48 000. Dizajnet me 3 puse u rivlerësuan në dy gjysma të pavarura të ansamblit me zhurmë të re. Dizajni i sipërfaqes mbeti në 31–35% për rrezikun në A dhe në 80–83% për «A ose B», ndërsa PRAG-GO në 98–100%. Madhësia efektive e mostrës për dizajnet e raportuara është të paktën 200 me 48 000 realizime.</w:t>
      </w:r>
    </w:p>
    <w:p>
      <w:pPr>
        <w:spacing w:after="240"/>
      </w:pPr>
    </w:p>
    <w:p>
      <w:pPr>
        <w:pStyle w:val="Heading1"/>
      </w:pPr>
      <w:r>
        <w:rPr>
          <w:color w:val="1F3864"/>
        </w:rPr>
        <w:t xml:space="preserve">5. Inovacioni i dytë: PRAG-MAR</w:t>
      </w:r>
    </w:p>
    <w:p>
      <w:pPr>
        <w:spacing w:after="120"/>
        <w:jc w:val="both"/>
      </w:pPr>
      <w:r>
        <w:t xml:space="preserve">Projekti zgjedh 3 vendet e MAR-it me adjointin e sipërfaqes: qelizat ku një m³/ditë rimbushje e zvogëlon më shumë sipërfaqen e intruduar. Për mbrojtjen e puseve të furnizimit, objektivi i duhur është probabiliteti i kripëzimit të tyre. Për përçueshmëri të fiksuar, koka është lineare në një burim pikësor </w:t>
      </w:r>
      <m:oMath>
        <m:r>
          <m:t>Q</m:t>
        </m:r>
      </m:oMath>
      <w:r>
        <w:t xml:space="preserve"> në qelizën </w:t>
      </w:r>
      <m:oMath>
        <m:r>
          <m:t>k</m:t>
        </m:r>
      </m:oMath>
      <w:r>
        <w:t xml:space="preserve">:</w:t>
      </w:r>
    </w:p>
    <w:p>
      <w:pPr>
        <w:pStyle w:val="Equation"/>
      </w:pPr>
      <m:oMathPara>
        <m:oMathParaPr>
          <m:jc m:val="center"/>
        </m:oMathParaPr>
        <m:oMath>
          <m:r>
            <m:t>h</m:t>
          </m:r>
          <m:d>
            <m:dPr>
              <m:begChr m:val="("/>
              <m:sepChr m:val=""/>
              <m:endChr m:val=")"/>
              <m:grow/>
            </m:dPr>
            <m:e>
              <m:r>
                <m:t>θ</m:t>
              </m:r>
              <m:r>
                <m:rPr>
                  <m:sty m:val="p"/>
                </m:rPr>
                <m:t>,</m:t>
              </m:r>
              <m:r>
                <m:t>Q</m:t>
              </m:r>
            </m:e>
          </m:d>
          <m:r>
            <m:rPr>
              <m:sty m:val="p"/>
            </m:rPr>
            <m:t>=</m:t>
          </m:r>
          <m:r>
            <m:t>h</m:t>
          </m:r>
          <m:d>
            <m:dPr>
              <m:begChr m:val="("/>
              <m:sepChr m:val=""/>
              <m:endChr m:val=")"/>
              <m:grow/>
            </m:dPr>
            <m:e>
              <m:r>
                <m:t>θ</m:t>
              </m:r>
            </m:e>
          </m:d>
          <m:r>
            <m:rPr>
              <m:sty m:val="p"/>
            </m:rPr>
            <m:t>+</m:t>
          </m:r>
          <m:r>
            <m:t>Q</m:t>
          </m:r>
          <m:r>
            <m:t> </m:t>
          </m:r>
          <m:sSub>
            <m:e>
              <m:r>
                <m:t>g</m:t>
              </m:r>
            </m:e>
            <m:sub>
              <m:r>
                <m:t>k</m:t>
              </m:r>
            </m:sub>
          </m:sSub>
          <m:d>
            <m:dPr>
              <m:begChr m:val="("/>
              <m:sepChr m:val=""/>
              <m:endChr m:val=")"/>
              <m:grow/>
            </m:dPr>
            <m:e>
              <m:r>
                <m:t>θ</m:t>
              </m:r>
            </m:e>
          </m:d>
          <m:r>
            <m:rPr>
              <m:sty m:val="p"/>
            </m:rPr>
            <m:t>,</m:t>
          </m:r>
          <m:r>
            <m:t>  </m:t>
          </m:r>
          <m:sSub>
            <m:e>
              <m:r>
                <m:t>g</m:t>
              </m:r>
            </m:e>
            <m:sub>
              <m:r>
                <m:t>A</m:t>
              </m:r>
            </m:sub>
          </m:sSub>
          <m:r>
            <m:rPr>
              <m:sty m:val="p"/>
            </m:rPr>
            <m:t>=</m:t>
          </m:r>
          <m:r>
            <m:rPr>
              <m:sty m:val="p"/>
            </m:rPr>
            <m:t>−</m:t>
          </m:r>
          <m:sSubSup>
            <m:e>
              <m:r>
                <m:t>A</m:t>
              </m:r>
            </m:e>
            <m:sub>
              <m:r>
                <m:t>θ</m:t>
              </m:r>
            </m:sub>
            <m:sup>
              <m:r>
                <m:rPr>
                  <m:sty m:val="p"/>
                </m:rPr>
                <m:t>−</m:t>
              </m:r>
              <m:r>
                <m:rPr>
                  <m:sty m:val="p"/>
                </m:rPr>
                <m:t>T</m:t>
              </m:r>
            </m:sup>
          </m:sSubSup>
          <m:sSub>
            <m:e>
              <m:r>
                <m:t>e</m:t>
              </m:r>
            </m:e>
            <m:sub>
              <m:r>
                <m:t>A</m:t>
              </m:r>
            </m:sub>
          </m:sSub>
        </m:oMath>
      </m:oMathPara>
    </w:p>
    <w:p>
      <w:pPr>
        <w:spacing w:after="120"/>
        <w:jc w:val="both"/>
      </w:pPr>
      <w:r>
        <w:t xml:space="preserve">Pra një zgjidhje e transpozuar për çdo pus furnizimi jep efektin e rimbushjes në çdo qelizë njëherësh. Me momentet lineare të </w:t>
      </w:r>
      <m:oMath>
        <m:sSub>
          <m:e>
            <m:r>
              <m:t>h</m:t>
            </m:r>
          </m:e>
          <m:sub>
            <m:r>
              <m:t>A</m:t>
            </m:r>
          </m:sub>
        </m:sSub>
      </m:oMath>
      <w:r>
        <w:t xml:space="preserve"> dhe </w:t>
      </w:r>
      <m:oMath>
        <m:sSub>
          <m:e>
            <m:r>
              <m:t>h</m:t>
            </m:r>
          </m:e>
          <m:sub>
            <m:r>
              <m:t>B</m:t>
            </m:r>
          </m:sub>
        </m:sSub>
      </m:oMath>
      <w:r>
        <w:t xml:space="preserve">, probabiliteti i kripëzimit të njërit prej puseve është </w:t>
      </w:r>
      <m:oMath>
        <m:sSub>
          <m:e>
            <m:r>
              <m:t>P</m:t>
            </m:r>
          </m:e>
          <m:sub>
            <m:r>
              <m:t>A</m:t>
            </m:r>
            <m:r>
              <m:t>B</m:t>
            </m:r>
          </m:sub>
        </m:sSub>
        <m:r>
          <m:rPr>
            <m:sty m:val="p"/>
          </m:rPr>
          <m:t>=</m:t>
        </m:r>
        <m:r>
          <m:t>1</m:t>
        </m:r>
        <m:r>
          <m:rPr>
            <m:sty m:val="p"/>
          </m:rPr>
          <m:t>−</m:t>
        </m:r>
        <m:sSub>
          <m:e>
            <m:r>
              <m:t>Φ</m:t>
            </m:r>
          </m:e>
          <m:sub>
            <m:r>
              <m:t>2</m:t>
            </m:r>
          </m:sub>
        </m:sSub>
        <m:d>
          <m:dPr>
            <m:begChr m:val="("/>
            <m:sepChr m:val=""/>
            <m:endChr m:val=")"/>
            <m:grow/>
          </m:dPr>
          <m:e>
            <m:r>
              <m:t>a</m:t>
            </m:r>
            <m:r>
              <m:rPr>
                <m:sty m:val="p"/>
              </m:rPr>
              <m:t>,</m:t>
            </m:r>
            <m:r>
              <m:t>b</m:t>
            </m:r>
            <m:r>
              <m:rPr>
                <m:sty m:val="p"/>
              </m:rPr>
              <m:t>;</m:t>
            </m:r>
            <m:r>
              <m:t>r</m:t>
            </m:r>
          </m:e>
        </m:d>
      </m:oMath>
      <w:r>
        <w:t xml:space="preserve">, ku </w:t>
      </w:r>
      <m:oMath>
        <m:r>
          <m:t>a</m:t>
        </m:r>
        <m:r>
          <m:rPr>
            <m:sty m:val="p"/>
          </m:rPr>
          <m:t>=</m:t>
        </m:r>
        <m:d>
          <m:dPr>
            <m:begChr m:val="("/>
            <m:sepChr m:val=""/>
            <m:endChr m:val=")"/>
            <m:grow/>
          </m:dPr>
          <m:e>
            <m:sSub>
              <m:e>
                <m:r>
                  <m:t>μ</m:t>
                </m:r>
              </m:e>
              <m:sub>
                <m:r>
                  <m:t>A</m:t>
                </m:r>
              </m:sub>
            </m:sSub>
            <m:r>
              <m:rPr>
                <m:sty m:val="p"/>
              </m:rPr>
              <m:t>−</m:t>
            </m:r>
            <m:sSub>
              <m:e>
                <m:r>
                  <m:t>h</m:t>
                </m:r>
              </m:e>
              <m:sub>
                <m:r>
                  <m:t>c</m:t>
                </m:r>
              </m:sub>
            </m:sSub>
          </m:e>
        </m:d>
        <m:r>
          <m:rPr>
            <m:sty m:val="p"/>
          </m:rPr>
          <m:t>/</m:t>
        </m:r>
        <m:sSub>
          <m:e>
            <m:r>
              <m:t>s</m:t>
            </m:r>
          </m:e>
          <m:sub>
            <m:r>
              <m:t>A</m:t>
            </m:r>
          </m:sub>
        </m:sSub>
      </m:oMath>
      <w:r>
        <w:t xml:space="preserve"> dhe </w:t>
      </w:r>
      <m:oMath>
        <m:r>
          <m:t>b</m:t>
        </m:r>
        <m:r>
          <m:rPr>
            <m:sty m:val="p"/>
          </m:rPr>
          <m:t>=</m:t>
        </m:r>
        <m:d>
          <m:dPr>
            <m:begChr m:val="("/>
            <m:sepChr m:val=""/>
            <m:endChr m:val=")"/>
            <m:grow/>
          </m:dPr>
          <m:e>
            <m:sSub>
              <m:e>
                <m:r>
                  <m:t>μ</m:t>
                </m:r>
              </m:e>
              <m:sub>
                <m:r>
                  <m:t>B</m:t>
                </m:r>
              </m:sub>
            </m:sSub>
            <m:r>
              <m:rPr>
                <m:sty m:val="p"/>
              </m:rPr>
              <m:t>−</m:t>
            </m:r>
            <m:sSub>
              <m:e>
                <m:r>
                  <m:t>h</m:t>
                </m:r>
              </m:e>
              <m:sub>
                <m:r>
                  <m:t>c</m:t>
                </m:r>
              </m:sub>
            </m:sSub>
          </m:e>
        </m:d>
        <m:r>
          <m:rPr>
            <m:sty m:val="p"/>
          </m:rPr>
          <m:t>/</m:t>
        </m:r>
        <m:sSub>
          <m:e>
            <m:r>
              <m:t>s</m:t>
            </m:r>
          </m:e>
          <m:sub>
            <m:r>
              <m:t>B</m:t>
            </m:r>
          </m:sub>
        </m:sSub>
      </m:oMath>
      <w:r>
        <w:t xml:space="preserve">. Gradienti i tij ka formë të mbyllur:</w:t>
      </w:r>
    </w:p>
    <w:p>
      <w:pPr>
        <w:pStyle w:val="Equation"/>
      </w:pPr>
      <m:oMathPara>
        <m:oMathParaPr>
          <m:jc m:val="center"/>
        </m:oMathParaPr>
        <m:oMath>
          <m:r>
            <m:rPr>
              <m:sty m:val="p"/>
            </m:rPr>
            <m:t>−</m:t>
          </m:r>
          <m:f>
            <m:fPr>
              <m:type m:val="bar"/>
            </m:fPr>
            <m:num>
              <m:r>
                <m:rPr>
                  <m:sty m:val="p"/>
                </m:rPr>
                <m:t>∂</m:t>
              </m:r>
              <m:sSub>
                <m:e>
                  <m:r>
                    <m:t>P</m:t>
                  </m:r>
                </m:e>
                <m:sub>
                  <m:r>
                    <m:t>A</m:t>
                  </m:r>
                  <m:r>
                    <m:t>B</m:t>
                  </m:r>
                </m:sub>
              </m:sSub>
            </m:num>
            <m:den>
              <m:r>
                <m:rPr>
                  <m:sty m:val="p"/>
                </m:rPr>
                <m:t>∂</m:t>
              </m:r>
              <m:sSub>
                <m:e>
                  <m:r>
                    <m:t>Q</m:t>
                  </m:r>
                </m:e>
                <m:sub>
                  <m:r>
                    <m:t>k</m:t>
                  </m:r>
                </m:sub>
              </m:sSub>
            </m:den>
          </m:f>
          <m:r>
            <m:rPr>
              <m:sty m:val="p"/>
            </m:rPr>
            <m:t>=</m:t>
          </m:r>
          <m:f>
            <m:fPr>
              <m:type m:val="bar"/>
            </m:fPr>
            <m:num>
              <m:r>
                <m:t>φ</m:t>
              </m:r>
              <m:d>
                <m:dPr>
                  <m:begChr m:val="("/>
                  <m:sepChr m:val=""/>
                  <m:endChr m:val=")"/>
                  <m:grow/>
                </m:dPr>
                <m:e>
                  <m:r>
                    <m:t>a</m:t>
                  </m:r>
                </m:e>
              </m:d>
            </m:num>
            <m:den>
              <m:sSub>
                <m:e>
                  <m:r>
                    <m:t>s</m:t>
                  </m:r>
                </m:e>
                <m:sub>
                  <m:r>
                    <m:t>A</m:t>
                  </m:r>
                </m:sub>
              </m:sSub>
            </m:den>
          </m:f>
          <m:r>
            <m:t>Φ</m:t>
          </m:r>
          <m:d>
            <m:dPr>
              <m:begChr m:val="("/>
              <m:sepChr m:val=""/>
              <m:endChr m:val=")"/>
              <m:grow/>
            </m:dPr>
            <m:e>
              <m:f>
                <m:fPr>
                  <m:type m:val="bar"/>
                </m:fPr>
                <m:num>
                  <m:r>
                    <m:t>b</m:t>
                  </m:r>
                  <m:r>
                    <m:rPr>
                      <m:sty m:val="p"/>
                    </m:rPr>
                    <m:t>−</m:t>
                  </m:r>
                  <m:r>
                    <m:t>r</m:t>
                  </m:r>
                  <m:r>
                    <m:t>a</m:t>
                  </m:r>
                </m:num>
                <m:den>
                  <m:rad>
                    <m:radPr>
                      <m:degHide m:val="on"/>
                    </m:radPr>
                    <m:deg/>
                    <m:e>
                      <m:r>
                        <m:t>1</m:t>
                      </m:r>
                      <m:r>
                        <m:rPr>
                          <m:sty m:val="p"/>
                        </m:rPr>
                        <m:t>−</m:t>
                      </m:r>
                      <m:sSup>
                        <m:e>
                          <m:r>
                            <m:t>r</m:t>
                          </m:r>
                        </m:e>
                        <m:sup>
                          <m:r>
                            <m:t>2</m:t>
                          </m:r>
                        </m:sup>
                      </m:sSup>
                    </m:e>
                  </m:rad>
                </m:den>
              </m:f>
            </m:e>
          </m:d>
          <m:sSub>
            <m:e>
              <m:r>
                <m:t>g</m:t>
              </m:r>
            </m:e>
            <m:sub>
              <m:r>
                <m:t>A</m:t>
              </m:r>
              <m:r>
                <m:rPr>
                  <m:sty m:val="p"/>
                </m:rPr>
                <m:t>,</m:t>
              </m:r>
              <m:r>
                <m:t>k</m:t>
              </m:r>
            </m:sub>
          </m:sSub>
          <m:r>
            <m:rPr>
              <m:sty m:val="p"/>
            </m:rPr>
            <m:t>+</m:t>
          </m:r>
          <m:f>
            <m:fPr>
              <m:type m:val="bar"/>
            </m:fPr>
            <m:num>
              <m:r>
                <m:t>φ</m:t>
              </m:r>
              <m:d>
                <m:dPr>
                  <m:begChr m:val="("/>
                  <m:sepChr m:val=""/>
                  <m:endChr m:val=")"/>
                  <m:grow/>
                </m:dPr>
                <m:e>
                  <m:r>
                    <m:t>b</m:t>
                  </m:r>
                </m:e>
              </m:d>
            </m:num>
            <m:den>
              <m:sSub>
                <m:e>
                  <m:r>
                    <m:t>s</m:t>
                  </m:r>
                </m:e>
                <m:sub>
                  <m:r>
                    <m:t>B</m:t>
                  </m:r>
                </m:sub>
              </m:sSub>
            </m:den>
          </m:f>
          <m:r>
            <m:t>Φ</m:t>
          </m:r>
          <m:d>
            <m:dPr>
              <m:begChr m:val="("/>
              <m:sepChr m:val=""/>
              <m:endChr m:val=")"/>
              <m:grow/>
            </m:dPr>
            <m:e>
              <m:f>
                <m:fPr>
                  <m:type m:val="bar"/>
                </m:fPr>
                <m:num>
                  <m:r>
                    <m:t>a</m:t>
                  </m:r>
                  <m:r>
                    <m:rPr>
                      <m:sty m:val="p"/>
                    </m:rPr>
                    <m:t>−</m:t>
                  </m:r>
                  <m:r>
                    <m:t>r</m:t>
                  </m:r>
                  <m:r>
                    <m:t>b</m:t>
                  </m:r>
                </m:num>
                <m:den>
                  <m:rad>
                    <m:radPr>
                      <m:degHide m:val="on"/>
                    </m:radPr>
                    <m:deg/>
                    <m:e>
                      <m:r>
                        <m:t>1</m:t>
                      </m:r>
                      <m:r>
                        <m:rPr>
                          <m:sty m:val="p"/>
                        </m:rPr>
                        <m:t>−</m:t>
                      </m:r>
                      <m:sSup>
                        <m:e>
                          <m:r>
                            <m:t>r</m:t>
                          </m:r>
                        </m:e>
                        <m:sup>
                          <m:r>
                            <m:t>2</m:t>
                          </m:r>
                        </m:sup>
                      </m:sSup>
                    </m:e>
                  </m:rad>
                </m:den>
              </m:f>
            </m:e>
          </m:d>
          <m:sSub>
            <m:e>
              <m:r>
                <m:t>g</m:t>
              </m:r>
            </m:e>
            <m:sub>
              <m:r>
                <m:t>B</m:t>
              </m:r>
              <m:r>
                <m:rPr>
                  <m:sty m:val="p"/>
                </m:rPr>
                <m:t>,</m:t>
              </m:r>
              <m:r>
                <m:t>k</m:t>
              </m:r>
            </m:sub>
          </m:sSub>
        </m:oMath>
      </m:oMathPara>
    </w:p>
    <w:p>
      <w:pPr>
        <w:spacing w:after="120"/>
        <w:jc w:val="both"/>
      </w:pPr>
      <w:r>
        <w:t xml:space="preserve">Pesha e secilit pus është dendësia e probabilitetit që ai të jetë pikërisht në prag. Në prior, </w:t>
      </w:r>
      <m:oMath>
        <m:sSub>
          <m:e>
            <m:r>
              <m:t>μ</m:t>
            </m:r>
          </m:e>
          <m:sub>
            <m:r>
              <m:t>A</m:t>
            </m:r>
          </m:sub>
        </m:sSub>
        <m:r>
          <m:rPr>
            <m:sty m:val="p"/>
          </m:rPr>
          <m:t>=</m:t>
        </m:r>
        <m:r>
          <m:t>0.98</m:t>
        </m:r>
      </m:oMath>
      <w:r>
        <w:t xml:space="preserve"> m, </w:t>
      </w:r>
      <m:oMath>
        <m:sSub>
          <m:e>
            <m:r>
              <m:t>μ</m:t>
            </m:r>
          </m:e>
          <m:sub>
            <m:r>
              <m:t>B</m:t>
            </m:r>
          </m:sub>
        </m:sSub>
        <m:r>
          <m:rPr>
            <m:sty m:val="p"/>
          </m:rPr>
          <m:t>=</m:t>
        </m:r>
        <m:r>
          <m:t>0.88</m:t>
        </m:r>
      </m:oMath>
      <w:r>
        <w:t xml:space="preserve"> m, </w:t>
      </w:r>
      <m:oMath>
        <m:sSub>
          <m:e>
            <m:r>
              <m:t>s</m:t>
            </m:r>
          </m:e>
          <m:sub>
            <m:r>
              <m:t>A</m:t>
            </m:r>
          </m:sub>
        </m:sSub>
        <m:r>
          <m:rPr>
            <m:sty m:val="p"/>
          </m:rPr>
          <m:t>=</m:t>
        </m:r>
        <m:sSub>
          <m:e>
            <m:r>
              <m:t>s</m:t>
            </m:r>
          </m:e>
          <m:sub>
            <m:r>
              <m:t>B</m:t>
            </m:r>
          </m:sub>
        </m:sSub>
        <m:r>
          <m:rPr>
            <m:sty m:val="p"/>
          </m:rPr>
          <m:t>=</m:t>
        </m:r>
        <m:r>
          <m:t>0.32</m:t>
        </m:r>
      </m:oMath>
      <w:r>
        <w:t xml:space="preserve"> m dhe </w:t>
      </w:r>
      <m:oMath>
        <m:r>
          <m:t>r</m:t>
        </m:r>
        <m:r>
          <m:rPr>
            <m:sty m:val="p"/>
          </m:rPr>
          <m:t>=</m:t>
        </m:r>
        <m:r>
          <m:t>0.18</m:t>
        </m:r>
      </m:oMath>
      <w:r>
        <w:t xml:space="preserve">. PRAG-MAR përdor të njëjtin rregull përzgjedhjeje si projekti (3 vende, të paktën 6 km larg në drejtimin veri–jug). Vendet e zgjedhura u vlerësuan saktë mbi 2 000 realizime prior, me rimbushje 5 000 m³/ditë për vend, rreth 9% e rimbushjes natyrore të poligonit.</w:t>
      </w:r>
    </w:p>
    <w:p>
      <w:pPr>
        <w:keepNext/>
        <w:spacing w:after="60" w:before="120"/>
        <w:jc w:val="center"/>
      </w:pPr>
      <w:r>
        <w:drawing>
          <wp:inline distT="0" distB="0" distL="0" distR="0">
            <wp:extent cx="3781425" cy="3781425"/>
            <wp:effectExtent t="0" r="0" b="0" l="0"/>
            <wp:docPr id="1" name="Fushat e efektit të rimbushjes dhe vendet e MAR-it" descr="Fushat e efektit të rimbushjes dhe vendet e MAR-it" title="Fushat e efektit të rimbushjes dhe vendet e M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81425" cy="3781425"/>
                    </a:xfrm>
                    <a:prstGeom prst="rect">
                      <a:avLst/>
                    </a:prstGeom>
                  </pic:spPr>
                </pic:pic>
              </a:graphicData>
            </a:graphic>
          </wp:inline>
        </w:drawing>
      </w:r>
    </w:p>
    <w:p>
      <w:pPr>
        <w:spacing w:after="200"/>
        <w:jc w:val="both"/>
      </w:pPr>
      <w:r>
        <w:rPr>
          <w:b/>
          <w:bCs/>
          <w:color w:val="3A4350"/>
          <w:sz w:val="18"/>
          <w:szCs w:val="18"/>
        </w:rPr>
        <w:t xml:space="preserve">Figura 3.</w:t>
      </w:r>
      <w:r>
        <w:rPr>
          <w:color w:val="3A4350"/>
          <w:sz w:val="18"/>
          <w:szCs w:val="18"/>
        </w:rPr>
        <w:t xml:space="preserve"> (a) Fusha e adjointit të sipërfaqes dhe 3 vendet e publikuara të MAR-it (romb portokalli). (b) Fusha e PRAG-MAR-it për rrezikun «A ose B» dhe 3 vendet e saj. Fushat janë normalizuar me maksimumin dhe paraqiten në shkallë rrënjë katrore. Probabilitetet në tituj janë vlerësime të sakta mbi ansambël, me 5 000 m³/ditë për vend.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00"/>
        <w:gridCol w:w="1938"/>
        <w:gridCol w:w="1100"/>
        <w:gridCol w:w="1100"/>
        <w:gridCol w:w="1300"/>
        <w:gridCol w:w="1800"/>
      </w:tblGrid>
      <w:tr>
        <w:trPr>
          <w:cantSplit/>
          <w:tblHeader/>
        </w:trPr>
        <w:tc>
          <w:tcPr>
            <w:tcW w:type="dxa" w:w="2400"/>
            <w:shd w:fill="1B8A5A" w:color="auto" w:val="clear"/>
            <w:tcMar>
              <w:top w:type="dxa" w:w="60"/>
              <w:left w:type="dxa" w:w="100"/>
              <w:bottom w:type="dxa" w:w="60"/>
              <w:right w:type="dxa" w:w="100"/>
            </w:tcMar>
            <w:vAlign w:val="top"/>
          </w:tcPr>
          <w:p>
            <w:r>
              <w:rPr>
                <w:b/>
                <w:bCs/>
                <w:color w:val="FFFFFF"/>
                <w:sz w:val="17"/>
                <w:szCs w:val="17"/>
              </w:rPr>
              <w:t xml:space="preserve">Vendet e MAR-it</w:t>
            </w:r>
          </w:p>
        </w:tc>
        <w:tc>
          <w:tcPr>
            <w:tcW w:type="dxa" w:w="1938"/>
            <w:shd w:fill="1B8A5A" w:color="auto" w:val="clear"/>
            <w:tcMar>
              <w:top w:type="dxa" w:w="60"/>
              <w:left w:type="dxa" w:w="100"/>
              <w:bottom w:type="dxa" w:w="60"/>
              <w:right w:type="dxa" w:w="100"/>
            </w:tcMar>
            <w:vAlign w:val="top"/>
          </w:tcPr>
          <w:p>
            <w:r>
              <w:rPr>
                <w:b/>
                <w:bCs/>
                <w:color w:val="FFFFFF"/>
                <w:sz w:val="17"/>
                <w:szCs w:val="17"/>
              </w:rPr>
              <w:t xml:space="preserve">Puset më të afërta</w:t>
            </w:r>
          </w:p>
        </w:tc>
        <w:tc>
          <w:tcPr>
            <w:tcW w:type="dxa" w:w="1100"/>
            <w:shd w:fill="1B8A5A" w:color="auto" w:val="clear"/>
            <w:tcMar>
              <w:top w:type="dxa" w:w="60"/>
              <w:left w:type="dxa" w:w="100"/>
              <w:bottom w:type="dxa" w:w="60"/>
              <w:right w:type="dxa" w:w="100"/>
            </w:tcMar>
            <w:vAlign w:val="top"/>
          </w:tcPr>
          <w:p>
            <w:r>
              <w:rPr>
                <w:b/>
                <w:bCs/>
                <w:color w:val="FFFFFF"/>
                <w:sz w:val="17"/>
                <w:szCs w:val="17"/>
              </w:rPr>
              <w:t xml:space="preserve">P(A)</w:t>
            </w:r>
          </w:p>
        </w:tc>
        <w:tc>
          <w:tcPr>
            <w:tcW w:type="dxa" w:w="1100"/>
            <w:shd w:fill="1B8A5A" w:color="auto" w:val="clear"/>
            <w:tcMar>
              <w:top w:type="dxa" w:w="60"/>
              <w:left w:type="dxa" w:w="100"/>
              <w:bottom w:type="dxa" w:w="60"/>
              <w:right w:type="dxa" w:w="100"/>
            </w:tcMar>
            <w:vAlign w:val="top"/>
          </w:tcPr>
          <w:p>
            <w:r>
              <w:rPr>
                <w:b/>
                <w:bCs/>
                <w:color w:val="FFFFFF"/>
                <w:sz w:val="17"/>
                <w:szCs w:val="17"/>
              </w:rPr>
              <w:t xml:space="preserve">P(B)</w:t>
            </w:r>
          </w:p>
        </w:tc>
        <w:tc>
          <w:tcPr>
            <w:tcW w:type="dxa" w:w="1300"/>
            <w:shd w:fill="1B8A5A" w:color="auto" w:val="clear"/>
            <w:tcMar>
              <w:top w:type="dxa" w:w="60"/>
              <w:left w:type="dxa" w:w="100"/>
              <w:bottom w:type="dxa" w:w="60"/>
              <w:right w:type="dxa" w:w="100"/>
            </w:tcMar>
            <w:vAlign w:val="top"/>
          </w:tcPr>
          <w:p>
            <w:r>
              <w:rPr>
                <w:b/>
                <w:bCs/>
                <w:color w:val="FFFFFF"/>
                <w:sz w:val="17"/>
                <w:szCs w:val="17"/>
              </w:rPr>
              <w:t xml:space="preserve">P(A ose B)</w:t>
            </w:r>
          </w:p>
        </w:tc>
        <w:tc>
          <w:tcPr>
            <w:tcW w:type="dxa" w:w="1800"/>
            <w:shd w:fill="1B8A5A" w:color="auto" w:val="clear"/>
            <w:tcMar>
              <w:top w:type="dxa" w:w="60"/>
              <w:left w:type="dxa" w:w="100"/>
              <w:bottom w:type="dxa" w:w="60"/>
              <w:right w:type="dxa" w:w="100"/>
            </w:tcMar>
            <w:vAlign w:val="top"/>
          </w:tcPr>
          <w:p>
            <w:r>
              <w:rPr>
                <w:b/>
                <w:bCs/>
                <w:color w:val="FFFFFF"/>
                <w:sz w:val="17"/>
                <w:szCs w:val="17"/>
              </w:rPr>
              <w:t xml:space="preserve">Sipërfaqja mesatare</w:t>
            </w:r>
          </w:p>
        </w:tc>
      </w:tr>
      <w:tr>
        <w:trPr>
          <w:cantSplit/>
        </w:trPr>
        <w:tc>
          <w:tcPr>
            <w:tcW w:type="dxa" w:w="2400"/>
            <w:tcMar>
              <w:top w:type="dxa" w:w="60"/>
              <w:left w:type="dxa" w:w="100"/>
              <w:bottom w:type="dxa" w:w="60"/>
              <w:right w:type="dxa" w:w="100"/>
            </w:tcMar>
            <w:vAlign w:val="top"/>
          </w:tcPr>
          <w:p>
            <w:r>
              <w:rPr>
                <w:sz w:val="17"/>
                <w:szCs w:val="17"/>
              </w:rPr>
              <w:t xml:space="preserve">Pa MAR</w:t>
            </w:r>
          </w:p>
        </w:tc>
        <w:tc>
          <w:tcPr>
            <w:tcW w:type="dxa" w:w="1938"/>
            <w:tcMar>
              <w:top w:type="dxa" w:w="60"/>
              <w:left w:type="dxa" w:w="100"/>
              <w:bottom w:type="dxa" w:w="60"/>
              <w:right w:type="dxa" w:w="100"/>
            </w:tcMar>
            <w:vAlign w:val="top"/>
          </w:tcPr>
          <w:p>
            <w:r>
              <w:rPr>
                <w:sz w:val="17"/>
                <w:szCs w:val="17"/>
              </w:rPr>
              <w:t xml:space="preserve">–</w:t>
            </w:r>
          </w:p>
        </w:tc>
        <w:tc>
          <w:tcPr>
            <w:tcW w:type="dxa" w:w="1100"/>
            <w:tcMar>
              <w:top w:type="dxa" w:w="60"/>
              <w:left w:type="dxa" w:w="100"/>
              <w:bottom w:type="dxa" w:w="60"/>
              <w:right w:type="dxa" w:w="100"/>
            </w:tcMar>
            <w:vAlign w:val="top"/>
          </w:tcPr>
          <w:p>
            <w:r>
              <w:rPr>
                <w:sz w:val="17"/>
                <w:szCs w:val="17"/>
              </w:rPr>
              <w:t xml:space="preserve">0.51</w:t>
            </w:r>
          </w:p>
        </w:tc>
        <w:tc>
          <w:tcPr>
            <w:tcW w:type="dxa" w:w="1100"/>
            <w:tcMar>
              <w:top w:type="dxa" w:w="60"/>
              <w:left w:type="dxa" w:w="100"/>
              <w:bottom w:type="dxa" w:w="60"/>
              <w:right w:type="dxa" w:w="100"/>
            </w:tcMar>
            <w:vAlign w:val="top"/>
          </w:tcPr>
          <w:p>
            <w:r>
              <w:rPr>
                <w:sz w:val="17"/>
                <w:szCs w:val="17"/>
              </w:rPr>
              <w:t xml:space="preserve">0.63</w:t>
            </w:r>
          </w:p>
        </w:tc>
        <w:tc>
          <w:tcPr>
            <w:tcW w:type="dxa" w:w="1300"/>
            <w:tcMar>
              <w:top w:type="dxa" w:w="60"/>
              <w:left w:type="dxa" w:w="100"/>
              <w:bottom w:type="dxa" w:w="60"/>
              <w:right w:type="dxa" w:w="100"/>
            </w:tcMar>
            <w:vAlign w:val="top"/>
          </w:tcPr>
          <w:p>
            <w:r>
              <w:rPr>
                <w:sz w:val="17"/>
                <w:szCs w:val="17"/>
              </w:rPr>
              <w:t xml:space="preserve">0.79</w:t>
            </w:r>
          </w:p>
        </w:tc>
        <w:tc>
          <w:tcPr>
            <w:tcW w:type="dxa" w:w="1800"/>
            <w:tcMar>
              <w:top w:type="dxa" w:w="60"/>
              <w:left w:type="dxa" w:w="100"/>
              <w:bottom w:type="dxa" w:w="60"/>
              <w:right w:type="dxa" w:w="100"/>
            </w:tcMar>
            <w:vAlign w:val="top"/>
          </w:tcPr>
          <w:p>
            <w:r>
              <w:rPr>
                <w:sz w:val="17"/>
                <w:szCs w:val="17"/>
              </w:rPr>
              <w:t xml:space="preserve">98.4 km²</w:t>
            </w:r>
          </w:p>
        </w:tc>
      </w:tr>
      <w:tr>
        <w:trPr>
          <w:cantSplit/>
        </w:trPr>
        <w:tc>
          <w:tcPr>
            <w:tcW w:type="dxa" w:w="2400"/>
            <w:shd w:fill="F7F9FC" w:color="auto" w:val="clear"/>
            <w:tcMar>
              <w:top w:type="dxa" w:w="60"/>
              <w:left w:type="dxa" w:w="100"/>
              <w:bottom w:type="dxa" w:w="60"/>
              <w:right w:type="dxa" w:w="100"/>
            </w:tcMar>
            <w:vAlign w:val="top"/>
          </w:tcPr>
          <w:p>
            <w:r>
              <w:rPr>
                <w:sz w:val="17"/>
                <w:szCs w:val="17"/>
              </w:rPr>
              <w:t xml:space="preserve">Adjointi i sipërfaqes (i publikuar)</w:t>
            </w:r>
          </w:p>
        </w:tc>
        <w:tc>
          <w:tcPr>
            <w:tcW w:type="dxa" w:w="1938"/>
            <w:shd w:fill="F7F9FC" w:color="auto" w:val="clear"/>
            <w:tcMar>
              <w:top w:type="dxa" w:w="60"/>
              <w:left w:type="dxa" w:w="100"/>
              <w:bottom w:type="dxa" w:w="60"/>
              <w:right w:type="dxa" w:w="100"/>
            </w:tcMar>
            <w:vAlign w:val="top"/>
          </w:tcPr>
          <w:p>
            <w:r>
              <w:rPr>
                <w:sz w:val="17"/>
                <w:szCs w:val="17"/>
              </w:rPr>
              <w:t xml:space="preserve">A18, P21, P16</w:t>
            </w:r>
          </w:p>
        </w:tc>
        <w:tc>
          <w:tcPr>
            <w:tcW w:type="dxa" w:w="1100"/>
            <w:shd w:fill="F7F9FC" w:color="auto" w:val="clear"/>
            <w:tcMar>
              <w:top w:type="dxa" w:w="60"/>
              <w:left w:type="dxa" w:w="100"/>
              <w:bottom w:type="dxa" w:w="60"/>
              <w:right w:type="dxa" w:w="100"/>
            </w:tcMar>
            <w:vAlign w:val="top"/>
          </w:tcPr>
          <w:p>
            <w:r>
              <w:rPr>
                <w:sz w:val="17"/>
                <w:szCs w:val="17"/>
              </w:rPr>
              <w:t xml:space="preserve">0.51</w:t>
            </w:r>
          </w:p>
        </w:tc>
        <w:tc>
          <w:tcPr>
            <w:tcW w:type="dxa" w:w="1100"/>
            <w:shd w:fill="F7F9FC" w:color="auto" w:val="clear"/>
            <w:tcMar>
              <w:top w:type="dxa" w:w="60"/>
              <w:left w:type="dxa" w:w="100"/>
              <w:bottom w:type="dxa" w:w="60"/>
              <w:right w:type="dxa" w:w="100"/>
            </w:tcMar>
            <w:vAlign w:val="top"/>
          </w:tcPr>
          <w:p>
            <w:r>
              <w:rPr>
                <w:sz w:val="17"/>
                <w:szCs w:val="17"/>
              </w:rPr>
              <w:t xml:space="preserve">0.28</w:t>
            </w:r>
          </w:p>
        </w:tc>
        <w:tc>
          <w:tcPr>
            <w:tcW w:type="dxa" w:w="1300"/>
            <w:shd w:fill="F7F9FC" w:color="auto" w:val="clear"/>
            <w:tcMar>
              <w:top w:type="dxa" w:w="60"/>
              <w:left w:type="dxa" w:w="100"/>
              <w:bottom w:type="dxa" w:w="60"/>
              <w:right w:type="dxa" w:w="100"/>
            </w:tcMar>
            <w:vAlign w:val="top"/>
          </w:tcPr>
          <w:p>
            <w:r>
              <w:rPr>
                <w:sz w:val="17"/>
                <w:szCs w:val="17"/>
              </w:rPr>
              <w:t xml:space="preserve">0.62</w:t>
            </w:r>
          </w:p>
        </w:tc>
        <w:tc>
          <w:tcPr>
            <w:tcW w:type="dxa" w:w="1800"/>
            <w:shd w:fill="F7F9FC" w:color="auto" w:val="clear"/>
            <w:tcMar>
              <w:top w:type="dxa" w:w="60"/>
              <w:left w:type="dxa" w:w="100"/>
              <w:bottom w:type="dxa" w:w="60"/>
              <w:right w:type="dxa" w:w="100"/>
            </w:tcMar>
            <w:vAlign w:val="top"/>
          </w:tcPr>
          <w:p>
            <w:r>
              <w:rPr>
                <w:sz w:val="17"/>
                <w:szCs w:val="17"/>
              </w:rPr>
              <w:t xml:space="preserve">87.2 km²</w:t>
            </w:r>
          </w:p>
        </w:tc>
      </w:tr>
      <w:tr>
        <w:trPr>
          <w:cantSplit/>
        </w:trPr>
        <w:tc>
          <w:tcPr>
            <w:tcW w:type="dxa" w:w="2400"/>
            <w:tcMar>
              <w:top w:type="dxa" w:w="60"/>
              <w:left w:type="dxa" w:w="100"/>
              <w:bottom w:type="dxa" w:w="60"/>
              <w:right w:type="dxa" w:w="100"/>
            </w:tcMar>
            <w:vAlign w:val="top"/>
          </w:tcPr>
          <w:p>
            <w:r>
              <w:rPr>
                <w:sz w:val="17"/>
                <w:szCs w:val="17"/>
              </w:rPr>
              <w:t xml:space="preserve">PRAG-MAR (formula e mbyllur)</w:t>
            </w:r>
          </w:p>
        </w:tc>
        <w:tc>
          <w:tcPr>
            <w:tcW w:type="dxa" w:w="1938"/>
            <w:tcMar>
              <w:top w:type="dxa" w:w="60"/>
              <w:left w:type="dxa" w:w="100"/>
              <w:bottom w:type="dxa" w:w="60"/>
              <w:right w:type="dxa" w:w="100"/>
            </w:tcMar>
            <w:vAlign w:val="top"/>
          </w:tcPr>
          <w:p>
            <w:r>
              <w:rPr>
                <w:sz w:val="17"/>
                <w:szCs w:val="17"/>
              </w:rPr>
              <w:t xml:space="preserve">A23, R16, P21</w:t>
            </w:r>
          </w:p>
        </w:tc>
        <w:tc>
          <w:tcPr>
            <w:tcW w:type="dxa" w:w="1100"/>
            <w:tcMar>
              <w:top w:type="dxa" w:w="60"/>
              <w:left w:type="dxa" w:w="100"/>
              <w:bottom w:type="dxa" w:w="60"/>
              <w:right w:type="dxa" w:w="100"/>
            </w:tcMar>
            <w:vAlign w:val="top"/>
          </w:tcPr>
          <w:p>
            <w:r>
              <w:rPr>
                <w:sz w:val="17"/>
                <w:szCs w:val="17"/>
              </w:rPr>
              <w:t xml:space="preserve">0.01</w:t>
            </w:r>
          </w:p>
        </w:tc>
        <w:tc>
          <w:tcPr>
            <w:tcW w:type="dxa" w:w="1100"/>
            <w:tcMar>
              <w:top w:type="dxa" w:w="60"/>
              <w:left w:type="dxa" w:w="100"/>
              <w:bottom w:type="dxa" w:w="60"/>
              <w:right w:type="dxa" w:w="100"/>
            </w:tcMar>
            <w:vAlign w:val="top"/>
          </w:tcPr>
          <w:p>
            <w:r>
              <w:rPr>
                <w:sz w:val="17"/>
                <w:szCs w:val="17"/>
              </w:rPr>
              <w:t xml:space="preserve">0.03</w:t>
            </w:r>
          </w:p>
        </w:tc>
        <w:tc>
          <w:tcPr>
            <w:tcW w:type="dxa" w:w="1300"/>
            <w:tcMar>
              <w:top w:type="dxa" w:w="60"/>
              <w:left w:type="dxa" w:w="100"/>
              <w:bottom w:type="dxa" w:w="60"/>
              <w:right w:type="dxa" w:w="100"/>
            </w:tcMar>
            <w:vAlign w:val="top"/>
          </w:tcPr>
          <w:p>
            <w:r>
              <w:rPr>
                <w:sz w:val="17"/>
                <w:szCs w:val="17"/>
              </w:rPr>
              <w:t xml:space="preserve">0.04</w:t>
            </w:r>
          </w:p>
        </w:tc>
        <w:tc>
          <w:tcPr>
            <w:tcW w:type="dxa" w:w="1800"/>
            <w:tcMar>
              <w:top w:type="dxa" w:w="60"/>
              <w:left w:type="dxa" w:w="100"/>
              <w:bottom w:type="dxa" w:w="60"/>
              <w:right w:type="dxa" w:w="100"/>
            </w:tcMar>
            <w:vAlign w:val="top"/>
          </w:tcPr>
          <w:p>
            <w:r>
              <w:rPr>
                <w:sz w:val="17"/>
                <w:szCs w:val="17"/>
              </w:rPr>
              <w:t xml:space="preserve">89.5 km²</w:t>
            </w:r>
          </w:p>
        </w:tc>
      </w:tr>
    </w:tbl>
    <w:p>
      <w:pPr>
        <w:spacing w:after="160"/>
      </w:pPr>
    </w:p>
    <w:p>
      <w:pPr>
        <w:spacing w:after="120"/>
        <w:jc w:val="both"/>
      </w:pPr>
      <w:r>
        <w:t xml:space="preserve">Me të njëjtën sasi uji, PRAG-MAR e ul probabilitetin që të kripëzohet njëri prej puseve nga 0.79 në 0.04, ndërsa vendet e publikuara e ulin në 0.62. Vendet e publikuara nuk e mbrojnë fare A23 (0.51 → 0.51), sepse asnjë prej tyre nuk ndodhet në sektorin e tij. Kostoja e PRAG-MAR-it është në sipërfaqe: ai e zvogëlon sipërfaqen e intruduar me 8.9 km², kundrejt 11.1 km² për vendet e publikuara, pra 80% e uljes. Kërkimi greedy mbi rrezikun e saktë të ansamblit gjeti të njëjtat tri vende, pra formula e mbyllur nuk humb asgjë këtu. Me 2 500 dhe 10 000 m³/ditë për vend, P(A ose B) bëhet 0.20 dhe 0.002 me PRAG-MAR, kundrejt 0.69 dhe 0.54 me vendet e publikuara. Fizikisht, PRAG-MAR rizbulon barrierën hidraulike pranë fushave të puseve, por tani me një formulë që i peshon puset sipas rrezikut të tyre dhe me çmimin e saktë në sipërfaqe.</w:t>
      </w:r>
    </w:p>
    <w:p>
      <w:pPr>
        <w:spacing w:after="240"/>
      </w:pPr>
    </w:p>
    <w:p>
      <w:pPr>
        <w:pStyle w:val="Heading1"/>
      </w:pPr>
      <w:r>
        <w:rPr>
          <w:color w:val="1F3864"/>
        </w:rPr>
        <w:t xml:space="preserve">6. Prior-ë të tjerë</w:t>
      </w:r>
    </w:p>
    <w:p>
      <w:pPr>
        <w:spacing w:after="120"/>
        <w:jc w:val="both"/>
      </w:pPr>
      <w:r>
        <w:t xml:space="preserve">Përsëritëm eksperimentin e monitorimit me dy prior-ë të tjerë. I pari përdor </w:t>
      </w:r>
      <m:oMath>
        <m:sSub>
          <m:e>
            <m:r>
              <m:t>ρ</m:t>
            </m:r>
          </m:e>
          <m:sub>
            <m:r>
              <m:t>F</m:t>
            </m:r>
          </m:sub>
        </m:sSub>
        <m:r>
          <m:rPr>
            <m:sty m:val="p"/>
          </m:rPr>
          <m:t>=</m:t>
        </m:r>
        <m:r>
          <m:t>0.805</m:t>
        </m:r>
      </m:oMath>
      <w:r>
        <w:t xml:space="preserve">, vlerësimin e fushës të portës 3 të projektit, që ndodhet mbi pragun </w:t>
      </w:r>
      <m:oMath>
        <m:sSub>
          <m:e>
            <m:r>
              <m:t>ρ</m:t>
            </m:r>
          </m:e>
          <m:sub>
            <m:r>
              <m:t>c</m:t>
            </m:r>
          </m:sub>
        </m:sSub>
        <m:r>
          <m:rPr>
            <m:sty m:val="p"/>
          </m:rPr>
          <m:t>=</m:t>
        </m:r>
        <m:r>
          <m:t>0.762</m:t>
        </m:r>
      </m:oMath>
      <w:r>
        <w:t xml:space="preserve">. I dyti ka 50 zona pilot (rrjetë 10 × 16) dhe gjatësi korrelacioni </w:t>
      </w:r>
      <m:oMath>
        <m:sSub>
          <m:e>
            <m:r>
              <m:t>L</m:t>
            </m:r>
          </m:e>
          <m:sub>
            <m:r>
              <m:t>c</m:t>
            </m:r>
          </m:sub>
        </m:sSub>
        <m:r>
          <m:rPr>
            <m:sty m:val="p"/>
          </m:rPr>
          <m:t>=</m:t>
        </m:r>
        <m:r>
          <m:t>3</m:t>
        </m:r>
      </m:oMath>
      <w:r>
        <w:t xml:space="preserve"> km, pra heterogjenitet më lokal. Puset e furnizimit dhe kandidatët mbeten të njëjtë. Përqindjet me 5 puse vijnë nga ansambli me 48 000 realizime.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00"/>
        <w:gridCol w:w="1500"/>
        <w:gridCol w:w="1640"/>
        <w:gridCol w:w="1400"/>
        <w:gridCol w:w="1700"/>
        <w:gridCol w:w="1498"/>
      </w:tblGrid>
      <w:tr>
        <w:trPr>
          <w:cantSplit/>
          <w:tblHeader/>
        </w:trPr>
        <w:tc>
          <w:tcPr>
            <w:tcW w:type="dxa" w:w="1900"/>
            <w:shd w:fill="D97706" w:color="auto" w:val="clear"/>
            <w:tcMar>
              <w:top w:type="dxa" w:w="60"/>
              <w:left w:type="dxa" w:w="100"/>
              <w:bottom w:type="dxa" w:w="60"/>
              <w:right w:type="dxa" w:w="100"/>
            </w:tcMar>
            <w:vAlign w:val="top"/>
          </w:tcPr>
          <w:p>
            <w:r>
              <w:rPr>
                <w:b/>
                <w:bCs/>
                <w:color w:val="FFFFFF"/>
                <w:sz w:val="15"/>
                <w:szCs w:val="15"/>
              </w:rPr>
              <w:t xml:space="preserve">Prior-i</w:t>
            </w:r>
          </w:p>
        </w:tc>
        <w:tc>
          <w:tcPr>
            <w:tcW w:type="dxa" w:w="1500"/>
            <w:shd w:fill="D97706" w:color="auto" w:val="clear"/>
            <w:tcMar>
              <w:top w:type="dxa" w:w="60"/>
              <w:left w:type="dxa" w:w="100"/>
              <w:bottom w:type="dxa" w:w="60"/>
              <w:right w:type="dxa" w:w="100"/>
            </w:tcMar>
            <w:vAlign w:val="top"/>
          </w:tcPr>
          <w:p>
            <w:r>
              <w:rPr>
                <w:b/>
                <w:bCs/>
                <w:color w:val="FFFFFF"/>
                <w:sz w:val="15"/>
                <w:szCs w:val="15"/>
              </w:rPr>
              <w:t xml:space="preserve">P0: A / A ose B / S</w:t>
            </w:r>
          </w:p>
        </w:tc>
        <w:tc>
          <w:tcPr>
            <w:tcW w:type="dxa" w:w="1640"/>
            <w:shd w:fill="D97706" w:color="auto" w:val="clear"/>
            <w:tcMar>
              <w:top w:type="dxa" w:w="60"/>
              <w:left w:type="dxa" w:w="100"/>
              <w:bottom w:type="dxa" w:w="60"/>
              <w:right w:type="dxa" w:w="100"/>
            </w:tcMar>
            <w:vAlign w:val="top"/>
          </w:tcPr>
          <w:p>
            <w:r>
              <w:rPr>
                <w:b/>
                <w:bCs/>
                <w:color w:val="FFFFFF"/>
                <w:sz w:val="15"/>
                <w:szCs w:val="15"/>
              </w:rPr>
              <w:t xml:space="preserve">3 puse, sipërfaqja → S / A ose B</w:t>
            </w:r>
          </w:p>
        </w:tc>
        <w:tc>
          <w:tcPr>
            <w:tcW w:type="dxa" w:w="1400"/>
            <w:shd w:fill="D97706" w:color="auto" w:val="clear"/>
            <w:tcMar>
              <w:top w:type="dxa" w:w="60"/>
              <w:left w:type="dxa" w:w="100"/>
              <w:bottom w:type="dxa" w:w="60"/>
              <w:right w:type="dxa" w:w="100"/>
            </w:tcMar>
            <w:vAlign w:val="top"/>
          </w:tcPr>
          <w:p>
            <w:r>
              <w:rPr>
                <w:b/>
                <w:bCs/>
                <w:color w:val="FFFFFF"/>
                <w:sz w:val="15"/>
                <w:szCs w:val="15"/>
              </w:rPr>
              <w:t xml:space="preserve">3 puse, PRAG-GO → A ose B</w:t>
            </w:r>
          </w:p>
        </w:tc>
        <w:tc>
          <w:tcPr>
            <w:tcW w:type="dxa" w:w="1700"/>
            <w:shd w:fill="D97706" w:color="auto" w:val="clear"/>
            <w:tcMar>
              <w:top w:type="dxa" w:w="60"/>
              <w:left w:type="dxa" w:w="100"/>
              <w:bottom w:type="dxa" w:w="60"/>
              <w:right w:type="dxa" w:w="100"/>
            </w:tcMar>
            <w:vAlign w:val="top"/>
          </w:tcPr>
          <w:p>
            <w:r>
              <w:rPr>
                <w:b/>
                <w:bCs/>
                <w:color w:val="FFFFFF"/>
                <w:sz w:val="15"/>
                <w:szCs w:val="15"/>
              </w:rPr>
              <w:t xml:space="preserve">5 puse, i publikuar → A / A ose B</w:t>
            </w:r>
          </w:p>
        </w:tc>
        <w:tc>
          <w:tcPr>
            <w:tcW w:type="dxa" w:w="1498"/>
            <w:shd w:fill="D97706" w:color="auto" w:val="clear"/>
            <w:tcMar>
              <w:top w:type="dxa" w:w="60"/>
              <w:left w:type="dxa" w:w="100"/>
              <w:bottom w:type="dxa" w:w="60"/>
              <w:right w:type="dxa" w:w="100"/>
            </w:tcMar>
            <w:vAlign w:val="top"/>
          </w:tcPr>
          <w:p>
            <w:r>
              <w:rPr>
                <w:b/>
                <w:bCs/>
                <w:color w:val="FFFFFF"/>
                <w:sz w:val="15"/>
                <w:szCs w:val="15"/>
              </w:rPr>
              <w:t xml:space="preserve">5 puse, PRAG-GO → A ose B</w:t>
            </w:r>
          </w:p>
        </w:tc>
      </w:tr>
      <w:tr>
        <w:trPr>
          <w:cantSplit/>
        </w:trPr>
        <w:tc>
          <w:tcPr>
            <w:tcW w:type="dxa" w:w="1900"/>
            <w:tcMar>
              <w:top w:type="dxa" w:w="60"/>
              <w:left w:type="dxa" w:w="100"/>
              <w:bottom w:type="dxa" w:w="60"/>
              <w:right w:type="dxa" w:w="100"/>
            </w:tcMar>
            <w:vAlign w:val="top"/>
          </w:tcPr>
          <w:p>
            <w:r>
              <w:rPr>
                <w:sz w:val="15"/>
                <w:szCs w:val="15"/>
              </w:rPr>
              <w:t xml:space="preserve">I publikuar (12 zona, ρF = 0.6)</w:t>
            </w:r>
          </w:p>
        </w:tc>
        <w:tc>
          <w:tcPr>
            <w:tcW w:type="dxa" w:w="1500"/>
            <w:tcMar>
              <w:top w:type="dxa" w:w="60"/>
              <w:left w:type="dxa" w:w="100"/>
              <w:bottom w:type="dxa" w:w="60"/>
              <w:right w:type="dxa" w:w="100"/>
            </w:tcMar>
            <w:vAlign w:val="top"/>
          </w:tcPr>
          <w:p>
            <w:r>
              <w:rPr>
                <w:sz w:val="15"/>
                <w:szCs w:val="15"/>
              </w:rPr>
              <w:t xml:space="preserve">0.52 / 0.80 / 0.44</w:t>
            </w:r>
          </w:p>
        </w:tc>
        <w:tc>
          <w:tcPr>
            <w:tcW w:type="dxa" w:w="1640"/>
            <w:tcMar>
              <w:top w:type="dxa" w:w="60"/>
              <w:left w:type="dxa" w:w="100"/>
              <w:bottom w:type="dxa" w:w="60"/>
              <w:right w:type="dxa" w:w="100"/>
            </w:tcMar>
            <w:vAlign w:val="top"/>
          </w:tcPr>
          <w:p>
            <w:r>
              <w:rPr>
                <w:sz w:val="15"/>
                <w:szCs w:val="15"/>
              </w:rPr>
              <w:t xml:space="preserve">100% / 80%</w:t>
            </w:r>
          </w:p>
        </w:tc>
        <w:tc>
          <w:tcPr>
            <w:tcW w:type="dxa" w:w="1400"/>
            <w:tcMar>
              <w:top w:type="dxa" w:w="60"/>
              <w:left w:type="dxa" w:w="100"/>
              <w:bottom w:type="dxa" w:w="60"/>
              <w:right w:type="dxa" w:w="100"/>
            </w:tcMar>
            <w:vAlign w:val="top"/>
          </w:tcPr>
          <w:p>
            <w:r>
              <w:rPr>
                <w:sz w:val="15"/>
                <w:szCs w:val="15"/>
              </w:rPr>
              <w:t xml:space="preserve">98%</w:t>
            </w:r>
          </w:p>
        </w:tc>
        <w:tc>
          <w:tcPr>
            <w:tcW w:type="dxa" w:w="1700"/>
            <w:tcMar>
              <w:top w:type="dxa" w:w="60"/>
              <w:left w:type="dxa" w:w="100"/>
              <w:bottom w:type="dxa" w:w="60"/>
              <w:right w:type="dxa" w:w="100"/>
            </w:tcMar>
            <w:vAlign w:val="top"/>
          </w:tcPr>
          <w:p>
            <w:r>
              <w:rPr>
                <w:sz w:val="15"/>
                <w:szCs w:val="15"/>
              </w:rPr>
              <w:t xml:space="preserve">57% / 82%</w:t>
            </w:r>
          </w:p>
        </w:tc>
        <w:tc>
          <w:tcPr>
            <w:tcW w:type="dxa" w:w="1498"/>
            <w:tcMar>
              <w:top w:type="dxa" w:w="60"/>
              <w:left w:type="dxa" w:w="100"/>
              <w:bottom w:type="dxa" w:w="60"/>
              <w:right w:type="dxa" w:w="100"/>
            </w:tcMar>
            <w:vAlign w:val="top"/>
          </w:tcPr>
          <w:p>
            <w:r>
              <w:rPr>
                <w:sz w:val="15"/>
                <w:szCs w:val="15"/>
              </w:rPr>
              <w:t xml:space="preserve">100%</w:t>
            </w:r>
          </w:p>
        </w:tc>
      </w:tr>
      <w:tr>
        <w:trPr>
          <w:cantSplit/>
        </w:trPr>
        <w:tc>
          <w:tcPr>
            <w:tcW w:type="dxa" w:w="1900"/>
            <w:shd w:fill="F7F9FC" w:color="auto" w:val="clear"/>
            <w:tcMar>
              <w:top w:type="dxa" w:w="60"/>
              <w:left w:type="dxa" w:w="100"/>
              <w:bottom w:type="dxa" w:w="60"/>
              <w:right w:type="dxa" w:w="100"/>
            </w:tcMar>
            <w:vAlign w:val="top"/>
          </w:tcPr>
          <w:p>
            <w:r>
              <w:rPr>
                <w:sz w:val="15"/>
                <w:szCs w:val="15"/>
              </w:rPr>
              <w:t xml:space="preserve">ρF = 0.805 (vlerësimi i fushës)</w:t>
            </w:r>
          </w:p>
        </w:tc>
        <w:tc>
          <w:tcPr>
            <w:tcW w:type="dxa" w:w="1500"/>
            <w:shd w:fill="F7F9FC" w:color="auto" w:val="clear"/>
            <w:tcMar>
              <w:top w:type="dxa" w:w="60"/>
              <w:left w:type="dxa" w:w="100"/>
              <w:bottom w:type="dxa" w:w="60"/>
              <w:right w:type="dxa" w:w="100"/>
            </w:tcMar>
            <w:vAlign w:val="top"/>
          </w:tcPr>
          <w:p>
            <w:r>
              <w:rPr>
                <w:sz w:val="15"/>
                <w:szCs w:val="15"/>
              </w:rPr>
              <w:t xml:space="preserve">0.52 / 0.80 / 0.44</w:t>
            </w:r>
          </w:p>
        </w:tc>
        <w:tc>
          <w:tcPr>
            <w:tcW w:type="dxa" w:w="1640"/>
            <w:shd w:fill="F7F9FC" w:color="auto" w:val="clear"/>
            <w:tcMar>
              <w:top w:type="dxa" w:w="60"/>
              <w:left w:type="dxa" w:w="100"/>
              <w:bottom w:type="dxa" w:w="60"/>
              <w:right w:type="dxa" w:w="100"/>
            </w:tcMar>
            <w:vAlign w:val="top"/>
          </w:tcPr>
          <w:p>
            <w:r>
              <w:rPr>
                <w:sz w:val="15"/>
                <w:szCs w:val="15"/>
              </w:rPr>
              <w:t xml:space="preserve">100% / 81%</w:t>
            </w:r>
          </w:p>
        </w:tc>
        <w:tc>
          <w:tcPr>
            <w:tcW w:type="dxa" w:w="1400"/>
            <w:shd w:fill="F7F9FC" w:color="auto" w:val="clear"/>
            <w:tcMar>
              <w:top w:type="dxa" w:w="60"/>
              <w:left w:type="dxa" w:w="100"/>
              <w:bottom w:type="dxa" w:w="60"/>
              <w:right w:type="dxa" w:w="100"/>
            </w:tcMar>
            <w:vAlign w:val="top"/>
          </w:tcPr>
          <w:p>
            <w:r>
              <w:rPr>
                <w:sz w:val="15"/>
                <w:szCs w:val="15"/>
              </w:rPr>
              <w:t xml:space="preserve">98%</w:t>
            </w:r>
          </w:p>
        </w:tc>
        <w:tc>
          <w:tcPr>
            <w:tcW w:type="dxa" w:w="1700"/>
            <w:shd w:fill="F7F9FC" w:color="auto" w:val="clear"/>
            <w:tcMar>
              <w:top w:type="dxa" w:w="60"/>
              <w:left w:type="dxa" w:w="100"/>
              <w:bottom w:type="dxa" w:w="60"/>
              <w:right w:type="dxa" w:w="100"/>
            </w:tcMar>
            <w:vAlign w:val="top"/>
          </w:tcPr>
          <w:p>
            <w:r>
              <w:rPr>
                <w:sz w:val="15"/>
                <w:szCs w:val="15"/>
              </w:rPr>
              <w:t xml:space="preserve">60% / 83%</w:t>
            </w:r>
          </w:p>
        </w:tc>
        <w:tc>
          <w:tcPr>
            <w:tcW w:type="dxa" w:w="1498"/>
            <w:shd w:fill="F7F9FC" w:color="auto" w:val="clear"/>
            <w:tcMar>
              <w:top w:type="dxa" w:w="60"/>
              <w:left w:type="dxa" w:w="100"/>
              <w:bottom w:type="dxa" w:w="60"/>
              <w:right w:type="dxa" w:w="100"/>
            </w:tcMar>
            <w:vAlign w:val="top"/>
          </w:tcPr>
          <w:p>
            <w:r>
              <w:rPr>
                <w:sz w:val="15"/>
                <w:szCs w:val="15"/>
              </w:rPr>
              <w:t xml:space="preserve">100%</w:t>
            </w:r>
          </w:p>
        </w:tc>
      </w:tr>
      <w:tr>
        <w:trPr>
          <w:cantSplit/>
        </w:trPr>
        <w:tc>
          <w:tcPr>
            <w:tcW w:type="dxa" w:w="1900"/>
            <w:tcMar>
              <w:top w:type="dxa" w:w="60"/>
              <w:left w:type="dxa" w:w="100"/>
              <w:bottom w:type="dxa" w:w="60"/>
              <w:right w:type="dxa" w:w="100"/>
            </w:tcMar>
            <w:vAlign w:val="top"/>
          </w:tcPr>
          <w:p>
            <w:r>
              <w:rPr>
                <w:sz w:val="15"/>
                <w:szCs w:val="15"/>
              </w:rPr>
              <w:t xml:space="preserve">50 zona, Lc = 3 km</w:t>
            </w:r>
          </w:p>
        </w:tc>
        <w:tc>
          <w:tcPr>
            <w:tcW w:type="dxa" w:w="1500"/>
            <w:tcMar>
              <w:top w:type="dxa" w:w="60"/>
              <w:left w:type="dxa" w:w="100"/>
              <w:bottom w:type="dxa" w:w="60"/>
              <w:right w:type="dxa" w:w="100"/>
            </w:tcMar>
            <w:vAlign w:val="top"/>
          </w:tcPr>
          <w:p>
            <w:r>
              <w:rPr>
                <w:sz w:val="15"/>
                <w:szCs w:val="15"/>
              </w:rPr>
              <w:t xml:space="preserve">0.58 / 0.87 / 0.40</w:t>
            </w:r>
          </w:p>
        </w:tc>
        <w:tc>
          <w:tcPr>
            <w:tcW w:type="dxa" w:w="1640"/>
            <w:tcMar>
              <w:top w:type="dxa" w:w="60"/>
              <w:left w:type="dxa" w:w="100"/>
              <w:bottom w:type="dxa" w:w="60"/>
              <w:right w:type="dxa" w:w="100"/>
            </w:tcMar>
            <w:vAlign w:val="top"/>
          </w:tcPr>
          <w:p>
            <w:r>
              <w:rPr>
                <w:sz w:val="15"/>
                <w:szCs w:val="15"/>
              </w:rPr>
              <w:t xml:space="preserve">100% / 47%</w:t>
            </w:r>
          </w:p>
        </w:tc>
        <w:tc>
          <w:tcPr>
            <w:tcW w:type="dxa" w:w="1400"/>
            <w:tcMar>
              <w:top w:type="dxa" w:w="60"/>
              <w:left w:type="dxa" w:w="100"/>
              <w:bottom w:type="dxa" w:w="60"/>
              <w:right w:type="dxa" w:w="100"/>
            </w:tcMar>
            <w:vAlign w:val="top"/>
          </w:tcPr>
          <w:p>
            <w:r>
              <w:rPr>
                <w:sz w:val="15"/>
                <w:szCs w:val="15"/>
              </w:rPr>
              <w:t xml:space="preserve">100%</w:t>
            </w:r>
          </w:p>
        </w:tc>
        <w:tc>
          <w:tcPr>
            <w:tcW w:type="dxa" w:w="1700"/>
            <w:tcMar>
              <w:top w:type="dxa" w:w="60"/>
              <w:left w:type="dxa" w:w="100"/>
              <w:bottom w:type="dxa" w:w="60"/>
              <w:right w:type="dxa" w:w="100"/>
            </w:tcMar>
            <w:vAlign w:val="top"/>
          </w:tcPr>
          <w:p>
            <w:r>
              <w:rPr>
                <w:sz w:val="15"/>
                <w:szCs w:val="15"/>
              </w:rPr>
              <w:t xml:space="preserve">38% / 68%</w:t>
            </w:r>
          </w:p>
        </w:tc>
        <w:tc>
          <w:tcPr>
            <w:tcW w:type="dxa" w:w="1498"/>
            <w:tcMar>
              <w:top w:type="dxa" w:w="60"/>
              <w:left w:type="dxa" w:w="100"/>
              <w:bottom w:type="dxa" w:w="60"/>
              <w:right w:type="dxa" w:w="100"/>
            </w:tcMar>
            <w:vAlign w:val="top"/>
          </w:tcPr>
          <w:p>
            <w:r>
              <w:rPr>
                <w:sz w:val="15"/>
                <w:szCs w:val="15"/>
              </w:rPr>
              <w:t xml:space="preserve">100%</w:t>
            </w:r>
          </w:p>
        </w:tc>
      </w:tr>
    </w:tbl>
    <w:p>
      <w:pPr>
        <w:spacing w:after="160"/>
      </w:pPr>
    </w:p>
    <w:p>
      <w:pPr>
        <w:spacing w:after="120"/>
        <w:jc w:val="both"/>
      </w:pPr>
      <w:r>
        <w:t xml:space="preserve">Me </w:t>
      </w:r>
      <m:oMath>
        <m:sSub>
          <m:e>
            <m:r>
              <m:t>ρ</m:t>
            </m:r>
          </m:e>
          <m:sub>
            <m:r>
              <m:t>F</m:t>
            </m:r>
          </m:sub>
        </m:sSub>
        <m:r>
          <m:rPr>
            <m:sty m:val="p"/>
          </m:rPr>
          <m:t>=</m:t>
        </m:r>
        <m:r>
          <m:t>0.805</m:t>
        </m:r>
      </m:oMath>
      <w:r>
        <w:t xml:space="preserve"> rezultatet pothuajse nuk ndryshojnë. Kjo pritej, sepse në regjistrin R2 të projektit korrelacioni i fushave EIG midis dy vlerave të </w:t>
      </w:r>
      <m:oMath>
        <m:sSub>
          <m:e>
            <m:r>
              <m:t>ρ</m:t>
            </m:r>
          </m:e>
          <m:sub>
            <m:r>
              <m:t>F</m:t>
            </m:r>
          </m:sub>
        </m:sSub>
      </m:oMath>
      <w:r>
        <w:t xml:space="preserve"> është 0.998. Me 50 zona, koka në puset e furnizimit varet më shumë nga zonat lokale dhe humbja rritet, si te Henry-t me heterogjenitet lokal. Me 3 puse, dizajni i sipërfaqes kap vetëm 47% për «A ose B» dhe 23% për rrezikun në A. Me 5 puse, dizajni i publikuar kap 38% për A dhe 68% për «A ose B». PRAG-GO arrin 100% me 3 puse dhe 100% me 5. Teorema 1 vlen në të tre prior-ët: dizajni i Lemës 1 për sipërfaqen është optimal për pragun e sipërfaqes. Dizajni për sipërfaqen dhe ai për puset e furnizimit mbeten dizajne të ndryshme, dhe ndryshimi ka më shumë rëndësi kur heterogjeniteti është lokal.</w:t>
      </w:r>
    </w:p>
    <w:p>
      <w:pPr>
        <w:spacing w:after="240"/>
      </w:pPr>
    </w:p>
    <w:p>
      <w:pPr>
        <w:pStyle w:val="Heading1"/>
      </w:pPr>
      <w:r>
        <w:rPr>
          <w:color w:val="1F3864"/>
        </w:rPr>
        <w:t xml:space="preserve">7. Çfarë mësojmë</w:t>
      </w:r>
    </w:p>
    <w:p>
      <w:pPr>
        <w:pStyle w:val="ListParagraph"/>
        <w:numPr>
          <w:ilvl w:val="0"/>
          <w:numId w:val="2"/>
        </w:numPr>
        <w:spacing w:after="60"/>
        <w:jc w:val="both"/>
      </w:pPr>
      <w:r>
        <w:rPr>
          <w:b/>
          <w:bCs/>
        </w:rPr>
        <w:t xml:space="preserve">Teorema 1 vlen në fushë.</w:t>
      </w:r>
      <w:r>
        <w:t xml:space="preserve"> Kur qëllimi i projektit kthehet në prag, dizajni i Lemës 1 për sipërfaqen mbetet optimumi i saktë (100%, Spearman 0.995). Pipeline-i i publikuar nuk ka nevojë për ndryshim për këtë pyetje, përveç zëvendësimit të heuristikës margjinale me optimizim të përbashkët.</w:t>
      </w:r>
    </w:p>
    <w:p>
      <w:pPr>
        <w:pStyle w:val="ListParagraph"/>
        <w:numPr>
          <w:ilvl w:val="0"/>
          <w:numId w:val="2"/>
        </w:numPr>
        <w:spacing w:after="60"/>
        <w:jc w:val="both"/>
      </w:pPr>
      <w:r>
        <w:rPr>
          <w:b/>
          <w:bCs/>
        </w:rPr>
        <w:t xml:space="preserve">Puset e furnizimit kërkojnë dizajn tjetër.</w:t>
      </w:r>
      <w:r>
        <w:t xml:space="preserve"> Për rrezikun në A23, dizajni i publikuar kap 57%, dhe dizajni për sipërfaqen me 3 puse 32%. Me heterogjenitet lokal këto vlera bien në 38% dhe 23%. Informacioni për një pus vjen nga puset 2–4 km rreth tij, jo nga brezi i tërë bregdetar.</w:t>
      </w:r>
    </w:p>
    <w:p>
      <w:pPr>
        <w:pStyle w:val="ListParagraph"/>
        <w:numPr>
          <w:ilvl w:val="0"/>
          <w:numId w:val="2"/>
        </w:numPr>
        <w:spacing w:after="60"/>
        <w:jc w:val="both"/>
      </w:pPr>
      <w:r>
        <w:rPr>
          <w:b/>
          <w:bCs/>
        </w:rPr>
        <w:t xml:space="preserve">PRAG-GO e gjen dizajnin optimal.</w:t>
      </w:r>
      <w:r>
        <w:t xml:space="preserve"> Me momentet lineare që projekti i llogarit tashmë, PRAG-GO arrin 97.6% me 3 puse dhe dizajnin më të mirë të gjetur me 5 puse, me Spearman 0.996.</w:t>
      </w:r>
    </w:p>
    <w:p>
      <w:pPr>
        <w:pStyle w:val="ListParagraph"/>
        <w:numPr>
          <w:ilvl w:val="0"/>
          <w:numId w:val="2"/>
        </w:numPr>
        <w:spacing w:after="60"/>
        <w:jc w:val="both"/>
      </w:pPr>
      <w:r>
        <w:rPr>
          <w:b/>
          <w:bCs/>
        </w:rPr>
        <w:t xml:space="preserve">Linearizimi në fushë mjafton.</w:t>
      </w:r>
      <w:r>
        <w:t xml:space="preserve"> Ndryshe nga Henry, momentet lineare, ato të ansamblit dhe ato normal-score japin pothuajse të njëjtën zgjedhje. Koka në një akuifer të kufizuar varet butë nga log-K dhe nuk ngopet si kripësia.</w:t>
      </w:r>
    </w:p>
    <w:p>
      <w:pPr>
        <w:pStyle w:val="ListParagraph"/>
        <w:numPr>
          <w:ilvl w:val="0"/>
          <w:numId w:val="2"/>
        </w:numPr>
        <w:spacing w:after="60"/>
        <w:jc w:val="both"/>
      </w:pPr>
      <w:r>
        <w:rPr>
          <w:b/>
          <w:bCs/>
        </w:rPr>
        <w:t xml:space="preserve">PRAG-MAR ndryshon vendin e rimbushjes.</w:t>
      </w:r>
      <w:r>
        <w:t xml:space="preserve"> Me të njëjtin ujë, rreziku i puseve bie nga 0.79 në 0.04 në vend të 0.62, me 80% të uljes së sipërfaqes. Formula kërkon dy zgjidhje adjoint dhe përputhet me optimumin e saktë të ansamblit.</w:t>
      </w:r>
    </w:p>
    <w:p>
      <w:pPr>
        <w:spacing w:after="240"/>
      </w:pPr>
    </w:p>
    <w:p>
      <w:pPr>
        <w:pStyle w:val="Heading1"/>
      </w:pPr>
      <w:r>
        <w:rPr>
          <w:color w:val="1F3864"/>
        </w:rPr>
        <w:t xml:space="preserve">8. Kufizimet dhe hapat e ardhshëm</w:t>
      </w:r>
    </w:p>
    <w:p>
      <w:pPr>
        <w:pStyle w:val="ListParagraph"/>
        <w:numPr>
          <w:ilvl w:val="0"/>
          <w:numId w:val="4"/>
        </w:numPr>
        <w:spacing w:after="60"/>
        <w:jc w:val="both"/>
      </w:pPr>
      <w:r>
        <w:rPr>
          <w:b/>
          <w:bCs/>
        </w:rPr>
        <w:t xml:space="preserve">Koordinatat e stacioneve të pompimit.</w:t>
      </w:r>
      <w:r>
        <w:t xml:space="preserve"> A23 dhe R16 janë zëvendësues të zgjedhur me rregull. Me koordinatat e Gorres dhe të Fushë-Kuqes, kodi jep menjëherë dizajnin për puset e vërteta.</w:t>
      </w:r>
    </w:p>
    <w:p>
      <w:pPr>
        <w:pStyle w:val="ListParagraph"/>
        <w:numPr>
          <w:ilvl w:val="0"/>
          <w:numId w:val="4"/>
        </w:numPr>
        <w:spacing w:after="60"/>
        <w:jc w:val="both"/>
      </w:pPr>
      <w:r>
        <w:rPr>
          <w:b/>
          <w:bCs/>
        </w:rPr>
        <w:t xml:space="preserve">Kalibrimi me të dhënat.</w:t>
      </w:r>
      <w:r>
        <w:t xml:space="preserve"> Fleta 2_All_Wells ka nivele piezometrike për puset dhe Cenameri e Beqiraj (2016) japin klorurin për katër puse. Prior-i duhet kushtëzuar me to para dizajnit, sepse sipërfaqja e modeluar (26.6%) është mbi vlerën e publikuar prej rreth 15%.</w:t>
      </w:r>
    </w:p>
    <w:p>
      <w:pPr>
        <w:pStyle w:val="ListParagraph"/>
        <w:numPr>
          <w:ilvl w:val="0"/>
          <w:numId w:val="4"/>
        </w:numPr>
        <w:spacing w:after="60"/>
        <w:jc w:val="both"/>
      </w:pPr>
      <w:r>
        <w:rPr>
          <w:b/>
          <w:bCs/>
        </w:rPr>
        <w:t xml:space="preserve">Pragu 250 mg/L.</w:t>
      </w:r>
      <w:r>
        <w:t xml:space="preserve"> Kriteri Ghyben–Herzberg e trajton ndërfaqen si të mprehtë. Një prerje me dendësi të ndryshueshme përgjatë transektit të A23, me zgjidhësin e Henry-t, do ta lidhte majën e ndërfaqes me izoklorin 250 mg/L.</w:t>
      </w:r>
    </w:p>
    <w:p>
      <w:pPr>
        <w:pStyle w:val="ListParagraph"/>
        <w:numPr>
          <w:ilvl w:val="0"/>
          <w:numId w:val="4"/>
        </w:numPr>
        <w:spacing w:after="60"/>
        <w:jc w:val="both"/>
      </w:pPr>
      <w:r>
        <w:rPr>
          <w:b/>
          <w:bCs/>
        </w:rPr>
        <w:t xml:space="preserve">Kodi në projekt.</w:t>
      </w:r>
      <w:r>
        <w:t xml:space="preserve"> Mjaftojnë dy funksione MATLAB në src/: prag_eig.m (formula me </w:t>
      </w:r>
      <m:oMath>
        <m:sSub>
          <m:e>
            <m:r>
              <m:t>Φ</m:t>
            </m:r>
          </m:e>
          <m:sub>
            <m:r>
              <m:t>2</m:t>
            </m:r>
          </m:sub>
        </m:sSub>
      </m:oMath>
      <w:r>
        <w:t xml:space="preserve"> dhe kuadraturë Gauss–Hermite, mbi eig_operator.m) dhe prag_mar.m (dy zgjidhje me </w:t>
      </w:r>
      <m:oMath>
        <m:sSup>
          <m:e>
            <m:r>
              <m:t>A</m:t>
            </m:r>
          </m:e>
          <m:sup>
            <m:r>
              <m:rPr>
                <m:sty m:val="p"/>
              </m:rPr>
              <m:t>T</m:t>
            </m:r>
          </m:sup>
        </m:sSup>
      </m:oMath>
      <w:r>
        <w:t xml:space="preserve">, si zgjidhja adjoint që projekti bën tashmë për fushën e MAR-it).</w:t>
      </w:r>
    </w:p>
    <w:p>
      <w:pPr>
        <w:pStyle w:val="ListParagraph"/>
        <w:numPr>
          <w:ilvl w:val="0"/>
          <w:numId w:val="4"/>
        </w:numPr>
        <w:spacing w:after="60"/>
        <w:jc w:val="both"/>
      </w:pPr>
      <w:r>
        <w:rPr>
          <w:b/>
          <w:bCs/>
        </w:rPr>
        <w:t xml:space="preserve">Dizajni i përbashkët.</w:t>
      </w:r>
      <w:r>
        <w:t xml:space="preserve"> Monitorimi dhe MAR-i mund të zgjidhen bashkë, me vlerën e informacionit për vendimin e rimbushjes si qëllim.</w:t>
      </w:r>
    </w:p>
    <w:p>
      <w:pPr>
        <w:spacing w:after="240"/>
      </w:pPr>
    </w:p>
    <w:p>
      <w:pPr>
        <w:pStyle w:val="Heading1"/>
      </w:pPr>
      <w:r>
        <w:rPr>
          <w:color w:val="1F3864"/>
        </w:rPr>
        <w:t xml:space="preserve">9. Referencat</w:t>
      </w:r>
    </w:p>
    <w:p>
      <w:pPr>
        <w:tabs>
          <w:tab w:val="left" w:pos="567"/>
        </w:tabs>
        <w:spacing w:after="90"/>
        <w:ind w:left="567" w:hanging="567"/>
        <w:jc w:val="left"/>
      </w:pPr>
      <w:r>
        <w:rPr>
          <w:b/>
          <w:bCs/>
          <w:color w:val="1F3864"/>
          <w:sz w:val="19"/>
          <w:szCs w:val="19"/>
        </w:rPr>
        <w:t xml:space="preserve">[B1]	</w:t>
      </w:r>
      <w:r>
        <w:rPr>
          <w:sz w:val="19"/>
          <w:szCs w:val="19"/>
        </w:rPr>
        <w:t xml:space="preserve">Cenameri, S. &amp; Beqiraj, A. (2016). Assessment of seawater intrusion in Fushë Kuqe aquifer, Albania. </w:t>
      </w:r>
      <w:r>
        <w:rPr>
          <w:i/>
          <w:iCs/>
          <w:sz w:val="19"/>
          <w:szCs w:val="19"/>
        </w:rPr>
        <w:t xml:space="preserve">Bulletin of the Geological Society of Greece</w:t>
      </w:r>
      <w:r>
        <w:rPr>
          <w:sz w:val="19"/>
          <w:szCs w:val="19"/>
        </w:rPr>
        <w:t xml:space="preserve">, 50(2), 665–670.</w:t>
      </w:r>
      <w:r>
        <w:rPr>
          <w:sz w:val="19"/>
          <w:szCs w:val="19"/>
        </w:rPr>
        <w:t xml:space="preserve"> </w:t>
      </w:r>
      <w:hyperlink w:history="1" r:id="rIdzxgqkwsbm_uyfofakfv5v">
        <w:r>
          <w:rPr>
            <w:color w:val="1D4ED8"/>
            <w:sz w:val="19"/>
            <w:szCs w:val="19"/>
            <w:u w:val="single"/>
          </w:rPr>
          <w:t xml:space="preserve">https://doi.org/10.12681/bgsg.11772</w:t>
        </w:r>
      </w:hyperlink>
    </w:p>
    <w:p>
      <w:pPr>
        <w:tabs>
          <w:tab w:val="left" w:pos="567"/>
        </w:tabs>
        <w:spacing w:after="90"/>
        <w:ind w:left="567" w:hanging="567"/>
        <w:jc w:val="left"/>
      </w:pPr>
      <w:r>
        <w:rPr>
          <w:b/>
          <w:bCs/>
          <w:color w:val="1F3864"/>
          <w:sz w:val="19"/>
          <w:szCs w:val="19"/>
        </w:rPr>
        <w:t xml:space="preserve">[B2]	</w:t>
      </w:r>
      <w:r>
        <w:rPr>
          <w:sz w:val="19"/>
          <w:szCs w:val="19"/>
        </w:rPr>
        <w:t xml:space="preserve">Shërbimi Gjeologjik Shqiptar (2024). Të dhënat e akuiferit të Fushë-Kuqes: poligoni, 43 puse me K dhe nivele piezometrike. Përdorur me leje; data/Fushe_Kuqe_All_Data.xlsx në repozitor.</w:t>
      </w:r>
    </w:p>
    <w:p>
      <w:pPr>
        <w:tabs>
          <w:tab w:val="left" w:pos="567"/>
        </w:tabs>
        <w:spacing w:after="90"/>
        <w:ind w:left="567" w:hanging="567"/>
        <w:jc w:val="left"/>
      </w:pPr>
      <w:r>
        <w:rPr>
          <w:b/>
          <w:bCs/>
          <w:color w:val="1F3864"/>
          <w:sz w:val="19"/>
          <w:szCs w:val="19"/>
        </w:rPr>
        <w:t xml:space="preserve">[B3]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twddblbtuifrhkxrtblfn">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[B4]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ikyzkkcz9hdnns-pxncq-">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[B5]	</w:t>
      </w:r>
      <w:r>
        <w:rPr>
          <w:sz w:val="19"/>
          <w:szCs w:val="19"/>
        </w:rPr>
        <w:t xml:space="preserve">Dillon, P. (2005). Future management of aquifer recharge. </w:t>
      </w:r>
      <w:r>
        <w:rPr>
          <w:i/>
          <w:iCs/>
          <w:sz w:val="19"/>
          <w:szCs w:val="19"/>
        </w:rPr>
        <w:t xml:space="preserve">Hydrogeology Journal</w:t>
      </w:r>
      <w:r>
        <w:rPr>
          <w:sz w:val="19"/>
          <w:szCs w:val="19"/>
        </w:rPr>
        <w:t xml:space="preserve">, 13(1), 313–316.</w:t>
      </w:r>
      <w:r>
        <w:rPr>
          <w:sz w:val="19"/>
          <w:szCs w:val="19"/>
        </w:rPr>
        <w:t xml:space="preserve"> </w:t>
      </w:r>
      <w:hyperlink w:history="1" r:id="rIddco4e9xvfnamwkh4gbrx6">
        <w:r>
          <w:rPr>
            <w:color w:val="1D4ED8"/>
            <w:sz w:val="19"/>
            <w:szCs w:val="19"/>
            <w:u w:val="single"/>
          </w:rPr>
          <w:t xml:space="preserve">https://doi.org/10.1007/s10040-004-0413-6</w:t>
        </w:r>
      </w:hyperlink>
    </w:p>
    <w:p>
      <w:pPr>
        <w:tabs>
          <w:tab w:val="left" w:pos="567"/>
        </w:tabs>
        <w:spacing w:after="90"/>
        <w:ind w:left="567" w:hanging="567"/>
        <w:jc w:val="left"/>
      </w:pPr>
      <w:r>
        <w:rPr>
          <w:b/>
          <w:bCs/>
          <w:color w:val="1F3864"/>
          <w:sz w:val="19"/>
          <w:szCs w:val="19"/>
        </w:rPr>
        <w:t xml:space="preserve">[B6]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qzrnwwm8drstcoioe4yjq">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[B7]	</w:t>
      </w:r>
      <w:r>
        <w:rPr>
          <w:sz w:val="19"/>
          <w:szCs w:val="19"/>
        </w:rPr>
        <w:t xml:space="preserve">Zeqiraj, D. (2026). Goal-oriented Bayesian experimental design for variable-density seawater intrusion. Dorëzuar në </w:t>
      </w:r>
      <w:r>
        <w:rPr>
          <w:i/>
          <w:iCs/>
          <w:sz w:val="19"/>
          <w:szCs w:val="19"/>
        </w:rPr>
        <w:t xml:space="preserve">Journal of Hydrology</w:t>
      </w:r>
      <w:r>
        <w:rPr>
          <w:sz w:val="19"/>
          <w:szCs w:val="19"/>
        </w:rPr>
        <w:t xml:space="preserve">; kodi: SWI-Goal-OED.</w:t>
      </w:r>
    </w:p>
    <w:p>
      <w:pPr>
        <w:spacing w:after="200"/>
      </w:pPr>
    </w:p>
    <w:p>
      <w:pPr>
        <w:spacing w:after="120"/>
      </w:pPr>
      <w:r>
        <w:rPr>
          <w:i/>
          <w:iCs/>
          <w:color w:val="5B6573"/>
          <w:sz w:val="18"/>
          <w:szCs w:val="18"/>
        </w:rPr>
        <w:t xml:space="preserve">Shënim mbi besueshmërinë: gjeometria dhe përçueshmëria janë reale, ndërsa trashësia, baza, rimbushja dhe bregdeti janë vlerat përfaqësuese të projektit. Intrusioni vjen nga kriteri Ghyben–Herzberg në një model të pakalibruar, ndaj numrat absolutë të rrezikut janë ilustrues. Krahasimi midis kritereve dhe dizajneve nuk varet nga kjo, sepse të gjitha vlerësohen në të njëjtin model. Puset e furnizimit janë zëvendësues të zgjedhur me rregull, dhe vlerat e rimbushjes 2 500–10 000 m³/ditë për vend janë supozime. Kodi dhe tabela e plotë e numrave ndodhen në experiments/prag_go_fushe_kuqe të repozitorit.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Shënim kërkimor · PRAG-GO dhe PRAG-MAR në Fushë-Kuqe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zxgqkwsbm_uyfofakfv5v" Type="http://schemas.openxmlformats.org/officeDocument/2006/relationships/hyperlink" Target="https://doi.org/10.12681/bgsg.11772" TargetMode="External"/><Relationship Id="rIdtwddblbtuifrhkxrtblfn" Type="http://schemas.openxmlformats.org/officeDocument/2006/relationships/hyperlink" Target="https://doi.org/10.1029/WR012i006p01165" TargetMode="External"/><Relationship Id="rIdikyzkkcz9hdnns-pxncq-" Type="http://schemas.openxmlformats.org/officeDocument/2006/relationships/hyperlink" Target="https://doi.org/10.1016/j.advwatres.2012.03.004" TargetMode="External"/><Relationship Id="rIddco4e9xvfnamwkh4gbrx6" Type="http://schemas.openxmlformats.org/officeDocument/2006/relationships/hyperlink" Target="https://doi.org/10.1007/s10040-004-0413-6" TargetMode="External"/><Relationship Id="rIdqzrnwwm8drstcoioe4yjq" Type="http://schemas.openxmlformats.org/officeDocument/2006/relationships/hyperlink" Target="https://doi.org/10.1214/aoms/1177728069" TargetMode="External"/><Relationship Id="rId11" Type="http://schemas.openxmlformats.org/officeDocument/2006/relationships/image" Target="media/83dc4352a54f1b85526ecbdeeb8ef679ff7bbdaa.png"/><Relationship Id="rId12" Type="http://schemas.openxmlformats.org/officeDocument/2006/relationships/image" Target="media/ec6eff0c5a6cb11685e517a6971690178ada5a74.png"/><Relationship Id="rId13" Type="http://schemas.openxmlformats.org/officeDocument/2006/relationships/image" Target="media/723472bbc9ef5a7e49b9cc08f5e725e6575bc93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PRAG-GO dhe PRAG-MAR në Fushë-Kuqe</dc:title>
  <dc:creator>Kërkim artikujsh</dc:creator>
  <dc:description>Monitorimi dhe rimbushja artificiale të orientuara nga rreziku i kripëzimit të puseve të furnizimit, të testuara në modelin e fushës së projektit SWI-Goal-OED</dc:description>
  <cp:lastModifiedBy>Un-named</cp:lastModifiedBy>
  <cp:revision>1</cp:revision>
  <dcterms:created xsi:type="dcterms:W3CDTF">2026-10-12T13:46:21.306Z</dcterms:created>
  <dcterms:modified xsi:type="dcterms:W3CDTF">2026-10-12T13:46:21.306Z</dcterms:modified>
</cp:coreProperties>
</file>

<file path=docProps/custom.xml><?xml version="1.0" encoding="utf-8"?>
<Properties xmlns="http://schemas.openxmlformats.org/officeDocument/2006/custom-properties" xmlns:vt="http://schemas.openxmlformats.org/officeDocument/2006/docPropsVTypes"/>
</file>