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3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Deciding decisively in every weather: twenty papers from Oxford, Caltech, MIT and ETH Zürich on extremes and human factors</w:t>
      </w:r>
    </w:p>
    <w:p>
      <w:pPr>
        <w:spacing w:after="360"/>
      </w:pPr>
      <w:r>
        <w:rPr>
          <w:color w:val="3A4350"/>
          <w:sz w:val="26"/>
          <w:szCs w:val="26"/>
        </w:rPr>
        <w:t xml:space="preserve">Decisions from normal years to droughts and heatwaves, objective and subjective human factors, and decisive collective action in crises (2020–2026), none used in reviews 57 and 58. With a theoretical introduction and MOTI-GO (</w:t>
      </w:r>
      <w:r>
        <w:rPr>
          <w:i/>
          <w:iCs/>
          <w:color w:val="3A4350"/>
          <w:sz w:val="26"/>
          <w:szCs w:val="26"/>
        </w:rPr>
        <w:t xml:space="preserve">moti</w:t>
      </w:r>
      <w:r>
        <w:rPr>
          <w:color w:val="3A4350"/>
          <w:sz w:val="26"/>
          <w:szCs w:val="26"/>
        </w:rPr>
        <w:t xml:space="preserve">: the weather), a tested contingency rule that lets the Fushë-Kuqe stakeholders agree in calm times on one decisive plan for every weather, with margins for human error and objective triggers</w:t>
      </w:r>
    </w:p>
    <w:p>
      <w:pPr>
        <w:spacing w:after="360"/>
      </w:pPr>
      <w:r>
        <w:rPr>
          <w:b/>
          <w:bCs/>
          <w:color w:val="002147"/>
          <w:sz w:val="24"/>
          <w:szCs w:val="24"/>
        </w:rPr>
        <w:t xml:space="preserve">Oxford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4D4D4F"/>
          <w:sz w:val="24"/>
          <w:szCs w:val="24"/>
        </w:rPr>
        <w:t xml:space="preserve">MIT</w:t>
      </w:r>
      <w:r>
        <w:rPr>
          <w:color w:val="5B6573"/>
          <w:sz w:val="22"/>
          <w:szCs w:val="22"/>
        </w:rPr>
        <w:t xml:space="preserve">   ·   </w:t>
      </w:r>
      <w:r>
        <w:rPr>
          <w:b/>
          <w:bCs/>
          <w:color w:val="215CAF"/>
          <w:sz w:val="24"/>
          <w:szCs w:val="24"/>
        </w:rPr>
        <w:t xml:space="preserve">ETH Zürich</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a short theoretical introduction (deciding across regimes from normal to extreme; objective human factors: error, noise, attention and capacity; subjective human factors: perception, emotion, trust and belief; decisive collective action in crises; what is open), read on the pumping and recharge decision of the Fushë-Kuqe stakeholders after reviews 57 and 58. </w:t>
      </w:r>
      <w:r>
        <w:rPr>
          <w:b/>
          <w:bCs/>
        </w:rPr>
        <w:t xml:space="preserve">Part II:</w:t>
      </w:r>
      <w:r>
        <w:t xml:space="preserve"> 20 more papers of 2020–2026, five each from Oxford (O1–O5), Caltech (C1–C5), MIT (M1–M5) and ETH Zürich (E1–E5), none used before, each with a key equation in OMML, a box on </w:t>
      </w:r>
      <w:r>
        <w:rPr>
          <w:b/>
          <w:bCs/>
        </w:rPr>
        <w:t xml:space="preserve">why it is among the best</w:t>
      </w:r>
      <w:r>
        <w:t xml:space="preserve">, the </w:t>
      </w:r>
      <w:r>
        <w:rPr>
          <w:b/>
          <w:bCs/>
        </w:rPr>
        <w:t xml:space="preserve">open problem</w:t>
      </w:r>
      <w:r>
        <w:t xml:space="preserve"> it leaves and an innovation for Fushë-Kuqe. </w:t>
      </w:r>
      <w:r>
        <w:rPr>
          <w:b/>
          <w:bCs/>
        </w:rPr>
        <w:t xml:space="preserve">Part III:</w:t>
      </w:r>
      <w:r>
        <w:t xml:space="preserve"> synthesis with its relevance for a COST Action, a map of opportunities, further reading, and the MOTI-GO innovation: one decisive plan for every weather agreed in calm times, with four propositions (human error as a smaller licence, crisis perception as a tighter limit, triggers that err towards severity, an emergency-stop threshold), tested on 2,000 simulated truths in four weather regimes.</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venue, DOI or official link, the Oxford, Caltech, MIT or ETH Zürich affiliation that was confirmed, topic and the rating of depth and rigour (★ 1–5: theorems with proofs, or causal identification and evidence of the highest standard).</w:t>
      </w:r>
    </w:p>
    <w:p>
      <w:pPr>
        <w:pStyle w:val="ListParagraph"/>
        <w:numPr>
          <w:ilvl w:val="0"/>
          <w:numId w:val="2"/>
        </w:numPr>
        <w:spacing w:after="60"/>
        <w:jc w:val="both"/>
      </w:pPr>
      <w:r>
        <w:rPr>
          <w:b/>
          <w:bCs/>
        </w:rPr>
        <w:t xml:space="preserve">Summary</w:t>
      </w:r>
      <w:r>
        <w:t xml:space="preserve"> of the problem, the method and the main results, and the </w:t>
      </w:r>
      <w:r>
        <w:rPr>
          <w:b/>
          <w:bCs/>
        </w:rPr>
        <w:t xml:space="preserve">key equation</w:t>
      </w:r>
      <w:r>
        <w:t xml:space="preserve"> as a Word equation (OMML); equations are representative formulations unless the card says otherwise, since no full text was read.</w:t>
      </w:r>
    </w:p>
    <w:p>
      <w:pPr>
        <w:pStyle w:val="ListParagraph"/>
        <w:numPr>
          <w:ilvl w:val="0"/>
          <w:numId w:val="2"/>
        </w:numPr>
        <w:spacing w:after="60"/>
        <w:jc w:val="both"/>
      </w:pPr>
      <w:r>
        <w:rPr>
          <w:b/>
          <w:bCs/>
        </w:rPr>
        <w:t xml:space="preserve">Why it is among the best</w:t>
      </w:r>
      <w:r>
        <w:t xml:space="preserve">, the </w:t>
      </w:r>
      <w:r>
        <w:rPr>
          <w:b/>
          <w:bCs/>
        </w:rPr>
        <w:t xml:space="preserve">open problem</w:t>
      </w:r>
      <w:r>
        <w:t xml:space="preserve"> it leaves for the Fushë-Kuqe stakeholders, and a concrete </w:t>
      </w:r>
      <w:r>
        <w:rPr>
          <w:b/>
          <w:bCs/>
        </w:rPr>
        <w:t xml:space="preserve">innovation</w:t>
      </w:r>
      <w:r>
        <w:t xml:space="preserve"> for their decision.</w:t>
      </w:r>
    </w:p>
    <w:p>
      <w:pPr>
        <w:spacing w:before="360"/>
      </w:pPr>
      <w:r>
        <w:rPr>
          <w:color w:val="5B6573"/>
          <w:sz w:val="20"/>
          <w:szCs w:val="20"/>
        </w:rPr>
        <w:t xml:space="preserve">Search date: 27 October 2026  ·  Period covered: 2020–2026</w:t>
      </w:r>
    </w:p>
    <w:p>
      <w:pPr>
        <w:pStyle w:val="Heading1"/>
        <w:pageBreakBefore/>
      </w:pPr>
      <w:r>
        <w:rPr>
          <w:color w:val="1F3864"/>
        </w:rPr>
        <w:t xml:space="preserve">1. Theoretical introduction: extremes, human factors and decisive action in crises</w:t>
      </w:r>
    </w:p>
    <w:p>
      <w:pPr>
        <w:spacing w:after="120"/>
      </w:pPr>
      <w:r>
        <w:rPr>
          <w:i/>
          <w:iCs/>
          <w:color w:val="5B6573"/>
          <w:sz w:val="18"/>
          <w:szCs w:val="18"/>
        </w:rPr>
        <w:t xml:space="preserve">Theoretical introduction written for this document. Statements attributed to classical works [B…] are standard results; forms simplified for this document are marked as such.</w:t>
      </w:r>
    </w:p>
    <w:p>
      <w:pPr>
        <w:spacing w:after="120"/>
        <w:jc w:val="both"/>
      </w:pPr>
      <w:r>
        <w:rPr>
          <w:b/>
          <w:bCs/>
        </w:rPr>
        <w:t xml:space="preserve">From a normal year to the worst summer, and from the model to the people.</w:t>
      </w:r>
      <w:r>
        <w:t xml:space="preserve"> Reviews 57 and 58 gave the six Fushë-Kuqe parties (the water utility with supply wells A1 and P10, irrigators, hotels, the municipality, the regional water agency and environmental groups) a decisive rule: one pumping scale and one managed recharge, chosen so that every stakeholder's own probability that A1 or P10 exceeds 250 mg/L chloride stays at or below 10%, protecting beliefs within a radius of the calibrated chloride ensemble. Both rules were built for a normal year, with calm stakeholders and operators who pump exactly what they are licensed to pump. The decisions that matter most are taken in the other years: in a drought or a heatwave recharge collapses, demand and unlicensed coastal pumping surge, operators overshoot, and fear, anger and distrust change what people believe and what they accept. Part I sets out four bodies of theory for this: deciding across regimes from normal to extreme (1.1), objective human factors (1.2), subjective human factors (1.3), and decisive collective action in crises (1.4). Part II gives 20 papers of 2020–2026 from Oxford, Caltech, MIT and ETH Zürich, none used in reviews 57 and 58, and section 9 builds and tests MOTI-GO, one decisive rule for every weather with margins for human error.</w:t>
      </w:r>
    </w:p>
    <w:p>
      <w:pPr>
        <w:pStyle w:val="Heading3"/>
      </w:pPr>
      <w:r>
        <w:rPr>
          <w:color w:val="1F3864"/>
        </w:rPr>
        <w:t xml:space="preserve">1.1 Deciding across regimes, from normal to extreme</w:t>
      </w:r>
    </w:p>
    <w:p>
      <w:pPr>
        <w:spacing w:after="120"/>
        <w:jc w:val="both"/>
      </w:pPr>
      <w:r>
        <w:t xml:space="preserve">Extreme-value theory describes the largest value in a block of time by the generalised extreme-value distribution, and turns it into the level exceeded on average once in </w:t>
      </w:r>
      <m:oMath>
        <m:r>
          <m:t>T</m:t>
        </m:r>
      </m:oMath>
      <w:r>
        <w:t xml:space="preserve"> years [B1]:</w:t>
      </w:r>
    </w:p>
    <w:p>
      <w:pPr>
        <w:pStyle w:val="Equation"/>
      </w:pPr>
      <m:oMathPara>
        <m:oMathParaPr>
          <m:jc m:val="center"/>
        </m:oMathParaPr>
        <m:oMath>
          <m:r>
            <m:t>G</m:t>
          </m:r>
          <m:d>
            <m:dPr>
              <m:begChr m:val="("/>
              <m:sepChr m:val=""/>
              <m:endChr m:val=")"/>
              <m:grow/>
            </m:dPr>
            <m:e>
              <m:r>
                <m:t>z</m:t>
              </m:r>
            </m:e>
          </m:d>
          <m:r>
            <m:rPr>
              <m:sty m:val="p"/>
            </m:rPr>
            <m:t>=</m:t>
          </m:r>
          <m:r>
            <m:rPr>
              <m:sty m:val="p"/>
            </m:rPr>
            <m:t>exp</m:t>
          </m:r>
          <m:d>
            <m:dPr>
              <m:begChr m:val="("/>
              <m:sepChr m:val=""/>
              <m:endChr m:val=")"/>
              <m:grow/>
            </m:dPr>
            <m:e>
              <m:r>
                <m:rPr>
                  <m:sty m:val="p"/>
                </m:rPr>
                <m:t>−</m:t>
              </m:r>
              <m:sSup>
                <m:e>
                  <m:d>
                    <m:dPr>
                      <m:begChr m:val="["/>
                      <m:sepChr m:val=""/>
                      <m:endChr m:val="]"/>
                      <m:grow/>
                    </m:dPr>
                    <m:e>
                      <m:r>
                        <m:t>1</m:t>
                      </m:r>
                      <m:r>
                        <m:rPr>
                          <m:sty m:val="p"/>
                        </m:rPr>
                        <m:t>+</m:t>
                      </m:r>
                      <m:r>
                        <m:t>ξ</m:t>
                      </m:r>
                      <m:r>
                        <m:t> </m:t>
                      </m:r>
                      <m:f>
                        <m:fPr>
                          <m:type m:val="bar"/>
                        </m:fPr>
                        <m:num>
                          <m:r>
                            <m:t>z</m:t>
                          </m:r>
                          <m:r>
                            <m:rPr>
                              <m:sty m:val="p"/>
                            </m:rPr>
                            <m:t>−</m:t>
                          </m:r>
                          <m:r>
                            <m:t>μ</m:t>
                          </m:r>
                        </m:num>
                        <m:den>
                          <m:r>
                            <m:t>σ</m:t>
                          </m:r>
                        </m:den>
                      </m:f>
                    </m:e>
                  </m:d>
                </m:e>
                <m:sup>
                  <m:r>
                    <m:rPr>
                      <m:sty m:val="p"/>
                    </m:rPr>
                    <m:t>−</m:t>
                  </m:r>
                  <m:r>
                    <m:t>1</m:t>
                  </m:r>
                  <m:r>
                    <m:rPr>
                      <m:sty m:val="p"/>
                    </m:rPr>
                    <m:t>/</m:t>
                  </m:r>
                  <m:r>
                    <m:t>ξ</m:t>
                  </m:r>
                </m:sup>
              </m:sSup>
            </m:e>
          </m:d>
          <m:r>
            <m:rPr>
              <m:sty m:val="p"/>
            </m:rPr>
            <m:t>,</m:t>
          </m:r>
          <m:r>
            <m:t>  </m:t>
          </m:r>
          <m:sSub>
            <m:e>
              <m:r>
                <m:t>z</m:t>
              </m:r>
            </m:e>
            <m:sub>
              <m:r>
                <m:t>T</m:t>
              </m:r>
            </m:sub>
          </m:sSub>
          <m:r>
            <m:rPr>
              <m:sty m:val="p"/>
            </m:rPr>
            <m:t>=</m:t>
          </m:r>
          <m:r>
            <m:t>μ</m:t>
          </m:r>
          <m:r>
            <m:rPr>
              <m:sty m:val="p"/>
            </m:rPr>
            <m:t>−</m:t>
          </m:r>
          <m:f>
            <m:fPr>
              <m:type m:val="bar"/>
            </m:fPr>
            <m:num>
              <m:r>
                <m:t>σ</m:t>
              </m:r>
            </m:num>
            <m:den>
              <m:r>
                <m:t>ξ</m:t>
              </m:r>
            </m:den>
          </m:f>
          <m:d>
            <m:dPr>
              <m:begChr m:val="["/>
              <m:sepChr m:val=""/>
              <m:endChr m:val="]"/>
              <m:grow/>
            </m:dPr>
            <m:e>
              <m:r>
                <m:t>1</m:t>
              </m:r>
              <m:r>
                <m:rPr>
                  <m:sty m:val="p"/>
                </m:rPr>
                <m:t>−</m:t>
              </m:r>
              <m:sSup>
                <m:e>
                  <m:d>
                    <m:dPr>
                      <m:begChr m:val="("/>
                      <m:sepChr m:val=""/>
                      <m:endChr m:val=")"/>
                      <m:grow/>
                    </m:dPr>
                    <m:e>
                      <m:r>
                        <m:rPr>
                          <m:sty m:val="p"/>
                        </m:rPr>
                        <m:t>−</m:t>
                      </m:r>
                      <m:r>
                        <m:rPr>
                          <m:sty m:val="p"/>
                        </m:rPr>
                        <m:t>log</m:t>
                      </m:r>
                      <m:d>
                        <m:dPr>
                          <m:begChr m:val="("/>
                          <m:sepChr m:val=""/>
                          <m:endChr m:val=")"/>
                          <m:grow/>
                        </m:dPr>
                        <m:e>
                          <m:r>
                            <m:t>1</m:t>
                          </m:r>
                          <m:r>
                            <m:rPr>
                              <m:sty m:val="p"/>
                            </m:rPr>
                            <m:t>−</m:t>
                          </m:r>
                          <m:f>
                            <m:fPr>
                              <m:type m:val="bar"/>
                            </m:fPr>
                            <m:num>
                              <m:r>
                                <m:t>1</m:t>
                              </m:r>
                            </m:num>
                            <m:den>
                              <m:r>
                                <m:t>T</m:t>
                              </m:r>
                            </m:den>
                          </m:f>
                        </m:e>
                      </m:d>
                    </m:e>
                  </m:d>
                </m:e>
                <m:sup>
                  <m:r>
                    <m:rPr>
                      <m:sty m:val="p"/>
                    </m:rPr>
                    <m:t>−</m:t>
                  </m:r>
                  <m:r>
                    <m:t>ξ</m:t>
                  </m:r>
                </m:sup>
              </m:sSup>
            </m:e>
          </m:d>
        </m:oMath>
      </m:oMathPara>
    </w:p>
    <w:p>
      <w:pPr>
        <w:spacing w:after="120"/>
        <w:jc w:val="both"/>
      </w:pPr>
      <w:r>
        <w:t xml:space="preserve">Two difficulties follow for decisions. The record is a poor guide in a warming climate: extremes that break the previous record by several standard deviations are nearly impossible without warming but likely in the coming decades, and their probability depends on the rate of warming [E1]. And the extremes that hurt are compound: drought, heat and demand arrive together [B3]. Physical </w:t>
      </w:r>
      <w:r>
        <w:rPr>
          <w:i/>
          <w:iCs/>
        </w:rPr>
        <w:t xml:space="preserve">storylines</w:t>
      </w:r>
      <w:r>
        <w:t xml:space="preserve">, self-consistent descriptions of how a plausible extreme unfolds, are used where probabilities cannot be trusted [B2]; ensemble boosting now produces storylines of heatwaves far beyond anything observed [ER1]. Water planners in England design supply for droughts up to a 1-in-500-year return period with a chain from climate simulations to shortages [O4], and satellite gravimetry shows groundwater losses in California's Central Valley accelerating to nearly five times the long-term rate in the 2019–2021 megadrought [C5]. When to act on a warning has a classical answer: with protection cost </w:t>
      </w:r>
      <m:oMath>
        <m:r>
          <m:t>C</m:t>
        </m:r>
      </m:oMath>
      <w:r>
        <w:t xml:space="preserve"> and avoidable loss </w:t>
      </w:r>
      <m:oMath>
        <m:r>
          <m:t>L</m:t>
        </m:r>
      </m:oMath>
      <w:r>
        <w:t xml:space="preserve">, protect whenever the probability of the event reaches </w:t>
      </w:r>
      <m:oMath>
        <m:r>
          <m:t>C</m:t>
        </m:r>
        <m:r>
          <m:rPr>
            <m:sty m:val="p"/>
          </m:rPr>
          <m:t>/</m:t>
        </m:r>
        <m:r>
          <m:t>L</m:t>
        </m:r>
      </m:oMath>
      <w:r>
        <w:t xml:space="preserve"> [B4]; forecast-based financing agrees the trigger and the money in advance, so that action does not wait for a decision [B5]. For Fushë-Kuqe, a regime is a storyline of a few numbers (recharge, demand, unlicensed pumping, operator error) applied to the same calibrated ensemble, and a trigger is a threshold on an objective indicator agreed before the season.</w:t>
      </w:r>
    </w:p>
    <w:p>
      <w:pPr>
        <w:pStyle w:val="Heading3"/>
      </w:pPr>
      <w:r>
        <w:rPr>
          <w:color w:val="1F3864"/>
        </w:rPr>
        <w:t xml:space="preserve">1.2 Objective human factors: error, noise, attention and capacity</w:t>
      </w:r>
    </w:p>
    <w:p>
      <w:pPr>
        <w:spacing w:after="120"/>
        <w:jc w:val="both"/>
      </w:pPr>
      <w:r>
        <w:t xml:space="preserve">Decisions are made, and carried out, by people with limited time, attention and information [B6]. Rational inattention makes the limit precise: if information costs </w:t>
      </w:r>
      <m:oMath>
        <m:r>
          <m:t>λ</m:t>
        </m:r>
      </m:oMath>
      <w:r>
        <w:t xml:space="preserve"> per nat of mutual information, the optimal choice probabilities are a logit around a prior choice frequency </w:t>
      </w:r>
      <m:oMath>
        <m:sSup>
          <m:e>
            <m:r>
              <m:t>P</m:t>
            </m:r>
          </m:e>
          <m:sup>
            <m:r>
              <m:t>0</m:t>
            </m:r>
          </m:sup>
        </m:sSup>
      </m:oMath>
      <w:r>
        <w:t xml:space="preserve"> [B7, B8]:</w:t>
      </w:r>
    </w:p>
    <w:p>
      <w:pPr>
        <w:pStyle w:val="Equation"/>
      </w:pPr>
      <m:oMathPara>
        <m:oMathParaPr>
          <m:jc m:val="center"/>
        </m:oMathParaPr>
        <m:oMath>
          <m:r>
            <m:t>P</m:t>
          </m:r>
          <m:d>
            <m:dPr>
              <m:begChr m:val="("/>
              <m:sepChr m:val=""/>
              <m:endChr m:val=")"/>
              <m:grow/>
            </m:dPr>
            <m:e>
              <m:r>
                <m:t>a</m:t>
              </m:r>
              <m:r>
                <m:rPr>
                  <m:sty m:val="p"/>
                </m:rPr>
                <m:t>∣</m:t>
              </m:r>
              <m:r>
                <m:t>θ</m:t>
              </m:r>
            </m:e>
          </m:d>
          <m:r>
            <m:rPr>
              <m:sty m:val="p"/>
            </m:rPr>
            <m:t>=</m:t>
          </m:r>
          <m:f>
            <m:fPr>
              <m:type m:val="bar"/>
            </m:fPr>
            <m:num>
              <m:sSup>
                <m:e>
                  <m:r>
                    <m:t>P</m:t>
                  </m:r>
                </m:e>
                <m:sup>
                  <m:r>
                    <m:t>0</m:t>
                  </m:r>
                </m:sup>
              </m:sSup>
              <m:d>
                <m:dPr>
                  <m:begChr m:val="("/>
                  <m:sepChr m:val=""/>
                  <m:endChr m:val=")"/>
                  <m:grow/>
                </m:dPr>
                <m:e>
                  <m:r>
                    <m:t>a</m:t>
                  </m:r>
                </m:e>
              </m:d>
              <m:r>
                <m:t> </m:t>
              </m:r>
              <m:sSup>
                <m:e>
                  <m:r>
                    <m:t>e</m:t>
                  </m:r>
                </m:e>
                <m:sup>
                  <m:r>
                    <m:t>u</m:t>
                  </m:r>
                  <m:d>
                    <m:dPr>
                      <m:begChr m:val="("/>
                      <m:sepChr m:val=""/>
                      <m:endChr m:val=")"/>
                      <m:grow/>
                    </m:dPr>
                    <m:e>
                      <m:r>
                        <m:t>a</m:t>
                      </m:r>
                      <m:r>
                        <m:rPr>
                          <m:sty m:val="p"/>
                        </m:rPr>
                        <m:t>,</m:t>
                      </m:r>
                      <m:r>
                        <m:t>θ</m:t>
                      </m:r>
                    </m:e>
                  </m:d>
                  <m:r>
                    <m:rPr>
                      <m:sty m:val="p"/>
                    </m:rPr>
                    <m:t>/</m:t>
                  </m:r>
                  <m:r>
                    <m:t>λ</m:t>
                  </m:r>
                </m:sup>
              </m:sSup>
            </m:num>
            <m:den>
              <m:nary>
                <m:naryPr>
                  <m:chr m:val="∑"/>
                  <m:limLoc m:val="undOvr"/>
                  <m:subHide m:val="off"/>
                  <m:supHide m:val="on"/>
                </m:naryPr>
                <m:sub>
                  <m:r>
                    <m:t>b</m:t>
                  </m:r>
                </m:sub>
                <m:sup>
                  <m:r>
                    <m:t>​</m:t>
                  </m:r>
                </m:sup>
                <m:e>
                  <m:sSup>
                    <m:e>
                      <m:r>
                        <m:t>P</m:t>
                      </m:r>
                    </m:e>
                    <m:sup>
                      <m:r>
                        <m:t>0</m:t>
                      </m:r>
                    </m:sup>
                  </m:sSup>
                </m:e>
              </m:nary>
              <m:d>
                <m:dPr>
                  <m:begChr m:val="("/>
                  <m:sepChr m:val=""/>
                  <m:endChr m:val=")"/>
                  <m:grow/>
                </m:dPr>
                <m:e>
                  <m:r>
                    <m:t>b</m:t>
                  </m:r>
                </m:e>
              </m:d>
              <m:r>
                <m:t> </m:t>
              </m:r>
              <m:sSup>
                <m:e>
                  <m:r>
                    <m:t>e</m:t>
                  </m:r>
                </m:e>
                <m:sup>
                  <m:r>
                    <m:t>u</m:t>
                  </m:r>
                  <m:d>
                    <m:dPr>
                      <m:begChr m:val="("/>
                      <m:sepChr m:val=""/>
                      <m:endChr m:val=")"/>
                      <m:grow/>
                    </m:dPr>
                    <m:e>
                      <m:r>
                        <m:t>b</m:t>
                      </m:r>
                      <m:r>
                        <m:rPr>
                          <m:sty m:val="p"/>
                        </m:rPr>
                        <m:t>,</m:t>
                      </m:r>
                      <m:r>
                        <m:t>θ</m:t>
                      </m:r>
                    </m:e>
                  </m:d>
                  <m:r>
                    <m:rPr>
                      <m:sty m:val="p"/>
                    </m:rPr>
                    <m:t>/</m:t>
                  </m:r>
                  <m:r>
                    <m:t>λ</m:t>
                  </m:r>
                </m:sup>
              </m:sSup>
            </m:den>
          </m:f>
        </m:oMath>
      </m:oMathPara>
    </w:p>
    <w:p>
      <w:pPr>
        <w:spacing w:after="120"/>
        <w:jc w:val="both"/>
      </w:pPr>
      <w:r>
        <w:t xml:space="preserve">so that errors are systematic, larger when stakes are small or attention is costly, and biased towards the default. Errors in carrying out a plan, slips, lapses, mistakes and violations, are features of the system as much as of the person [B9]. In Part II, noise alone produces the common-ratio effect, a classic violation of expected utility, so choice data must be read with an explicit error model [C1]; complex incentive schemes leave some attributes unprocessed [O1]; bottom-up visual salience predictably causes mistakes and creates focal points in coordination [C2]; financial strain itself causes lapses of attention and costly mistakes at work, which relieving the strain reduces [M2]; and predictive control barrier functions give a safety filter that recovers safety after model errors and minimally overrides any proposed input, a formal template for a filter on an operator's pumping [E2]. The reserves add an experiment in which people classify their own axiom violations as mistakes [CR2]. For Fushë-Kuqe, the overshoot of a licence in a drought is an objective, measurable human factor: it grows with pressure, it can be estimated from meters, and it can enter the rule as a margin agreed in advance.</w:t>
      </w:r>
    </w:p>
    <w:p>
      <w:pPr>
        <w:pStyle w:val="Heading3"/>
      </w:pPr>
      <w:r>
        <w:rPr>
          <w:color w:val="1F3864"/>
        </w:rPr>
        <w:t xml:space="preserve">1.3 Subjective human factors: perception, emotion, trust and belief</w:t>
      </w:r>
    </w:p>
    <w:p>
      <w:pPr>
        <w:spacing w:after="120"/>
        <w:jc w:val="both"/>
      </w:pPr>
      <w:r>
        <w:t xml:space="preserve">Prospect theory describes how people weigh outcomes relative to a reference point and how they weight probabilities [B10, B11]. The probability weighting function of Prelec has one parameter and an axiomatic foundation [B12]:</w:t>
      </w:r>
    </w:p>
    <w:p>
      <w:pPr>
        <w:pStyle w:val="Equation"/>
      </w:pPr>
      <m:oMathPara>
        <m:oMathParaPr>
          <m:jc m:val="center"/>
        </m:oMathParaPr>
        <m:oMath>
          <m:sSub>
            <m:e>
              <m:r>
                <m:t>w</m:t>
              </m:r>
            </m:e>
            <m:sub>
              <m:r>
                <m:t>γ</m:t>
              </m:r>
            </m:sub>
          </m:sSub>
          <m:d>
            <m:dPr>
              <m:begChr m:val="("/>
              <m:sepChr m:val=""/>
              <m:endChr m:val=")"/>
              <m:grow/>
            </m:dPr>
            <m:e>
              <m:r>
                <m:t>p</m:t>
              </m:r>
            </m:e>
          </m:d>
          <m:r>
            <m:rPr>
              <m:sty m:val="p"/>
            </m:rPr>
            <m:t>=</m:t>
          </m:r>
          <m:r>
            <m:rPr>
              <m:sty m:val="p"/>
            </m:rPr>
            <m:t>exp</m:t>
          </m:r>
          <m:d>
            <m:dPr>
              <m:begChr m:val="("/>
              <m:sepChr m:val=""/>
              <m:endChr m:val=")"/>
              <m:grow/>
            </m:dPr>
            <m:e>
              <m:r>
                <m:rPr>
                  <m:sty m:val="p"/>
                </m:rPr>
                <m:t>−</m:t>
              </m:r>
              <m:sSup>
                <m:e>
                  <m:d>
                    <m:dPr>
                      <m:begChr m:val="("/>
                      <m:sepChr m:val=""/>
                      <m:endChr m:val=")"/>
                      <m:grow/>
                    </m:dPr>
                    <m:e>
                      <m:r>
                        <m:rPr>
                          <m:sty m:val="p"/>
                        </m:rPr>
                        <m:t>−</m:t>
                      </m:r>
                      <m:r>
                        <m:rPr>
                          <m:sty m:val="p"/>
                        </m:rPr>
                        <m:t>log</m:t>
                      </m:r>
                      <m:r>
                        <m:t>p</m:t>
                      </m:r>
                    </m:e>
                  </m:d>
                </m:e>
                <m:sup>
                  <m:r>
                    <m:t>γ</m:t>
                  </m:r>
                </m:sup>
              </m:sSup>
            </m:e>
          </m:d>
          <m:r>
            <m:rPr>
              <m:sty m:val="p"/>
            </m:rPr>
            <m:t>,</m:t>
          </m:r>
          <m:r>
            <m:t>  </m:t>
          </m:r>
          <m:r>
            <m:t>0</m:t>
          </m:r>
          <m:r>
            <m:rPr>
              <m:sty m:val="p"/>
            </m:rPr>
            <m:t>&lt;</m:t>
          </m:r>
          <m:r>
            <m:t>γ</m:t>
          </m:r>
          <m:r>
            <m:rPr>
              <m:sty m:val="p"/>
            </m:rPr>
            <m:t>&lt;</m:t>
          </m:r>
          <m:r>
            <m:t>1</m:t>
          </m:r>
          <m:r>
            <m:rPr>
              <m:sty m:val="p"/>
            </m:rPr>
            <m:t>:</m:t>
          </m:r>
          <m:r>
            <m:t> </m:t>
          </m:r>
          <m:sSub>
            <m:e>
              <m:r>
                <m:t>w</m:t>
              </m:r>
            </m:e>
            <m:sub>
              <m:r>
                <m:t>γ</m:t>
              </m:r>
            </m:sub>
          </m:sSub>
          <m:d>
            <m:dPr>
              <m:begChr m:val="("/>
              <m:sepChr m:val=""/>
              <m:endChr m:val=")"/>
              <m:grow/>
            </m:dPr>
            <m:e>
              <m:r>
                <m:t>p</m:t>
              </m:r>
            </m:e>
          </m:d>
          <m:r>
            <m:rPr>
              <m:sty m:val="p"/>
            </m:rPr>
            <m:t>&gt;</m:t>
          </m:r>
          <m:r>
            <m:t>p</m:t>
          </m:r>
          <m:r>
            <m:t> </m:t>
          </m:r>
          <m:r>
            <m:rPr>
              <m:nor/>
            </m:rPr>
            <m:t>for</m:t>
          </m:r>
          <m:r>
            <m:t> </m:t>
          </m:r>
          <m:r>
            <m:t>p</m:t>
          </m:r>
          <m:r>
            <m:rPr>
              <m:sty m:val="p"/>
            </m:rPr>
            <m:t>&lt;</m:t>
          </m:r>
          <m:sSup>
            <m:e>
              <m:r>
                <m:t>e</m:t>
              </m:r>
            </m:e>
            <m:sup>
              <m:r>
                <m:rPr>
                  <m:sty m:val="p"/>
                </m:rPr>
                <m:t>−</m:t>
              </m:r>
              <m:r>
                <m:t>1</m:t>
              </m:r>
            </m:sup>
          </m:sSup>
        </m:oMath>
      </m:oMathPara>
    </w:p>
    <w:p>
      <w:pPr>
        <w:spacing w:after="120"/>
        <w:jc w:val="both"/>
      </w:pPr>
      <w:r>
        <w:t xml:space="preserve">so small risks loom large. Risks are also felt, not only computed: emotions at the moment of decision can override cognitive assessments [B13], dread and unfamiliarity drive perceived risk [B14], and experienced crises shape risk-taking for decades [B15]. Part II brings evidence of the highest standard. Distortions of value and probability are approximately optimal for an agent whose internal values are noisy [O2], and individual risk aversion follows from measured neural noise in the representation of magnitudes [E3]; in representative US samples about half of people are loss tolerant [C3]; ambiguity aversion measured at the onset of the COVID-19 pandemic predicted anxiety and perceived threat [C4]; trait anxiety goes with belief updating by abrupt switches between hidden states rather than gradual learning [O3]; expressed sentiment falls above 35°C, about three times more in poorer countries [M5]; across 68 countries the attribution of extreme weather to climate change, not exposure to it, predicts support for climate policy [E4]; and personalised, evidence-based dialogues durably reduce conspiracy beliefs [M3]. The reserves add a model of misinformation sharing [MR1], trust and worldviews as drivers of acceptance of crisis measures [ER2], and a randomised trial of written information against vaccine hesitancy [OR1]. For Fushë-Kuqe, a drought tightens the effective limit of anxious stakeholders and spreads their beliefs apart, while evidence and trust can narrow them again.</w:t>
      </w:r>
    </w:p>
    <w:p>
      <w:pPr>
        <w:pStyle w:val="Heading3"/>
      </w:pPr>
      <w:r>
        <w:rPr>
          <w:color w:val="1F3864"/>
        </w:rPr>
        <w:t xml:space="preserve">1.4 Decisive collective action in crises</w:t>
      </w:r>
    </w:p>
    <w:p>
      <w:pPr>
        <w:spacing w:after="120"/>
        <w:jc w:val="both"/>
      </w:pPr>
      <w:r>
        <w:t xml:space="preserve">Plans that are optimal today may not be followed tomorrow, so rules can beat discretion [B16, B17]. In coordination problems, such as whether hotels and irrigators curtail pumping together, small private uncertainty about the state selects one equilibrium threshold [B18], and when players choose what to learn each acts as if the proportion </w:t>
      </w:r>
      <m:oMath>
        <m:r>
          <m:rPr>
            <m:sty m:val="p"/>
          </m:rPr>
          <m:t>ℓ</m:t>
        </m:r>
      </m:oMath>
      <w:r>
        <w:t xml:space="preserve"> of others who act were uniform [M1]:</w:t>
      </w:r>
    </w:p>
    <w:p>
      <w:pPr>
        <w:pStyle w:val="Equation"/>
      </w:pPr>
      <m:oMathPara>
        <m:oMathParaPr>
          <m:jc m:val="center"/>
        </m:oMathParaPr>
        <m:oMath>
          <m:nary>
            <m:naryPr>
              <m:chr m:val="∫"/>
              <m:limLoc m:val="subSup"/>
              <m:subHide m:val="off"/>
              <m:supHide m:val="off"/>
            </m:naryPr>
            <m:sub>
              <m:r>
                <m:t>0</m:t>
              </m:r>
            </m:sub>
            <m:sup>
              <m:r>
                <m:t>1</m:t>
              </m:r>
            </m:sup>
            <m:e>
              <m:r>
                <m:t>u</m:t>
              </m:r>
            </m:e>
          </m:nary>
          <m:d>
            <m:dPr>
              <m:begChr m:val="("/>
              <m:sepChr m:val=""/>
              <m:endChr m:val=")"/>
              <m:grow/>
            </m:dPr>
            <m:e>
              <m:r>
                <m:rPr>
                  <m:sty m:val="p"/>
                </m:rPr>
                <m:t>ℓ</m:t>
              </m:r>
              <m:r>
                <m:rPr>
                  <m:sty m:val="p"/>
                </m:rPr>
                <m:t>,</m:t>
              </m:r>
              <m:sSup>
                <m:e>
                  <m:r>
                    <m:t>θ</m:t>
                  </m:r>
                </m:e>
                <m:sup>
                  <m:r>
                    <m:rPr>
                      <m:sty m:val="p"/>
                    </m:rPr>
                    <m:t>⋆</m:t>
                  </m:r>
                </m:sup>
              </m:sSup>
            </m:e>
          </m:d>
          <m:r>
            <m:t>d</m:t>
          </m:r>
          <m:r>
            <m:rPr>
              <m:sty m:val="p"/>
            </m:rPr>
            <m:t>ℓ</m:t>
          </m:r>
          <m:r>
            <m:rPr>
              <m:sty m:val="p"/>
            </m:rPr>
            <m:t>=</m:t>
          </m:r>
          <m:r>
            <m:t>0</m:t>
          </m:r>
        </m:oMath>
      </m:oMathPara>
    </w:p>
    <w:p>
      <w:pPr>
        <w:spacing w:after="120"/>
        <w:jc w:val="both"/>
      </w:pPr>
      <w:r>
        <w:t xml:space="preserve">where </w:t>
      </w:r>
      <m:oMath>
        <m:r>
          <m:t>u</m:t>
        </m:r>
        <m:d>
          <m:dPr>
            <m:begChr m:val="("/>
            <m:sepChr m:val=""/>
            <m:endChr m:val=")"/>
            <m:grow/>
          </m:dPr>
          <m:e>
            <m:r>
              <m:rPr>
                <m:sty m:val="p"/>
              </m:rPr>
              <m:t>ℓ</m:t>
            </m:r>
            <m:r>
              <m:rPr>
                <m:sty m:val="p"/>
              </m:rPr>
              <m:t>,</m:t>
            </m:r>
            <m:r>
              <m:t>θ</m:t>
            </m:r>
          </m:e>
        </m:d>
      </m:oMath>
      <w:r>
        <w:t xml:space="preserve"> is the gain from acting when a proportion </w:t>
      </w:r>
      <m:oMath>
        <m:r>
          <m:rPr>
            <m:sty m:val="p"/>
          </m:rPr>
          <m:t>ℓ</m:t>
        </m:r>
      </m:oMath>
      <w:r>
        <w:t xml:space="preserve"> of others act in state </w:t>
      </w:r>
      <m:oMath>
        <m:r>
          <m:t>θ</m:t>
        </m:r>
      </m:oMath>
      <w:r>
        <w:t xml:space="preserve">. Commons that last have monitoring, graduated sanctions and rules made by those who use them [B19]. In Part II, optimal lockdowns target the most vulnerable group more strictly, which allows lighter rules for others [M4]; a digital exposure score calibrated on 7 million contacts showed how a crude rule of thumb can be replaced by a measured trigger [O5]; and catastrophe risk pools formed to maximise diversification make countries more resilient [E5]. The reserves add preferences for allocating scarce vaccines that are shared across 13 countries [OR2], the arbitration in the brain between imitating others' choices and inferring their goals [CR1], and banking crises that follow objective bank-equity losses even without panics [MR2]. For Fushë-Kuqe, a contingency plan agreed in calm times, with triggers on objective indicators and graduated responses, is the instrument these results point to.</w:t>
      </w:r>
    </w:p>
    <w:p>
      <w:pPr>
        <w:pStyle w:val="Heading3"/>
      </w:pPr>
      <w:r>
        <w:rPr>
          <w:color w:val="1F3864"/>
        </w:rPr>
        <w:t xml:space="preserve">1.5 What is open for the Fushë-Kuqe stakeholders</w:t>
      </w:r>
    </w:p>
    <w:p>
      <w:pPr>
        <w:spacing w:after="120"/>
        <w:jc w:val="both"/>
      </w:pPr>
      <w:r>
        <w:t xml:space="preserve">Four questions remain. How can one decisive rule hold from a normal year to an extreme drought with a heatwave? How should the overshoot of operators and the unlicensed pumping of coastal users enter it? How can the plan be protected from the fears of the moment without ignoring new information? And when is even the most drastic local decision not enough, and what would make it enough? Section 9 (MOTI-GO) answers them for the calibrated chloride ensemble of this series and the stakeholders of review 57.</w:t>
      </w:r>
    </w:p>
    <w:p>
      <w:pPr>
        <w:spacing w:after="200"/>
      </w:pPr>
    </w:p>
    <w:p>
      <w:pPr>
        <w:pStyle w:val="Heading1"/>
      </w:pPr>
      <w:r>
        <w:rPr>
          <w:color w:val="1F3864"/>
        </w:rPr>
        <w:t xml:space="preserve">2. Search methodology</w:t>
      </w:r>
    </w:p>
    <w:p>
      <w:pPr>
        <w:pStyle w:val="ListParagraph"/>
        <w:numPr>
          <w:ilvl w:val="0"/>
          <w:numId w:val="2"/>
        </w:numPr>
        <w:spacing w:after="60"/>
        <w:jc w:val="both"/>
      </w:pPr>
      <w:r>
        <w:rPr>
          <w:b/>
          <w:bCs/>
        </w:rPr>
        <w:t xml:space="preserve">Request and themes:</w:t>
      </w:r>
      <w:r>
        <w:t xml:space="preserve"> 20 more papers of 2020–2026, five from each of Oxford, Caltech, MIT and ETH Zürich, on how stakeholders decide decisively in situations that range from normal conditions to weather and climate extremes, giving real weight to human sources of decision uncertainty, both objective and subjective; none of them used in reviews 57 and 58. Four themes: (1) deciding across regimes, from normal to extreme; (2) objective human factors (error, noise, attention, capacity); (3) subjective human factors (perception, emotion, trust, belief); (4) decisive collective action in crises. Each card states its theme at the start of its link to Fushë-Kuqe. Every paper has at least one author at the named institution at the time of the work, confirmed from a search result (for [C5], authors at the Jet Propulsion Laboratory, which Caltech manages).</w:t>
      </w:r>
    </w:p>
    <w:p>
      <w:pPr>
        <w:pStyle w:val="ListParagraph"/>
        <w:numPr>
          <w:ilvl w:val="0"/>
          <w:numId w:val="2"/>
        </w:numPr>
        <w:spacing w:after="60"/>
        <w:jc w:val="both"/>
      </w:pPr>
      <w:r>
        <w:rPr>
          <w:b/>
          <w:bCs/>
        </w:rPr>
        <w:t xml:space="preserve">What "best" means, in this order:</w:t>
      </w:r>
      <w:r>
        <w:t xml:space="preserve"> depth and rigour (theorems with proofs, methods with proved guarantees, or, for the human-factor themes, causal identification, randomised field and laboratory experiments and large representative or global evidence); recognition (American Economic Review, Quarterly Journal of Economics, Review of Economic Studies, Science, Nature, PNAS, Nature Climate Change, Nature Human Behaviour, Nature Communications, IEEE Transactions on Automatic Control); and usefulness for the Fushë-Kuqe decision.</w:t>
      </w:r>
    </w:p>
    <w:p>
      <w:pPr>
        <w:pStyle w:val="ListParagraph"/>
        <w:numPr>
          <w:ilvl w:val="0"/>
          <w:numId w:val="2"/>
        </w:numPr>
        <w:spacing w:after="60"/>
        <w:jc w:val="both"/>
      </w:pPr>
      <w:r>
        <w:rPr>
          <w:b/>
          <w:bCs/>
        </w:rPr>
        <w:t xml:space="preserve">No repetition, peer review, verification:</w:t>
      </w:r>
      <w:r>
        <w:t xml:space="preserve"> every candidate was checked against the 1,254 papers already reviewed as cards in the series (including the 56 of reviews 57 and 58), the 1,321 DOIs of earlier documents and the classical references cited earlier; preprints were not eligible, and no earlier classical reference was promoted to a card. Four agents searched the four institutions in parallel (at most 30 searches each). Sources were publisher pages, institutional repositories (Oxford ORA, CaltechAUTHORS, DSpace@MIT and MIT department pages, the ETH Research Collection) and author pages seen through search summaries; no full text could be read, so key equations are </w:t>
      </w:r>
      <w:r>
        <w:rPr>
          <w:i/>
          <w:iCs/>
        </w:rPr>
        <w:t xml:space="preserve">representative formulations</w:t>
      </w:r>
      <w:r>
        <w:t xml:space="preserve"> unless a card says otherwise, and unverified fields are marked "(not verified)". ★ rates depth and rigour.</w:t>
      </w:r>
    </w:p>
    <w:p>
      <w:pPr>
        <w:pStyle w:val="ListParagraph"/>
        <w:numPr>
          <w:ilvl w:val="0"/>
          <w:numId w:val="2"/>
        </w:numPr>
        <w:spacing w:after="60"/>
        <w:jc w:val="both"/>
      </w:pPr>
      <w:r>
        <w:rPr>
          <w:b/>
          <w:bCs/>
        </w:rPr>
        <w:t xml:space="preserve">Recency:</w:t>
      </w:r>
      <w:r>
        <w:t xml:space="preserve"> three from 2021, four from 2022, five from 2023, three from 2024, and five from 2025; thirteen of the 20 are from 2023 or later. </w:t>
      </w:r>
      <w:r>
        <w:rPr>
          <w:b/>
          <w:bCs/>
        </w:rPr>
        <w:t xml:space="preserve">Themes:</w:t>
      </w:r>
      <w:r>
        <w:t xml:space="preserve"> 3 cards on theme 1, 5 on theme 2, 8 on theme 3 and 4 on theme 4; the reserves add 1 on theme 1, 1 on theme 2, 3 on theme 3 and 3 on theme 4.</w:t>
      </w:r>
    </w:p>
    <w:p>
      <w:pPr>
        <w:pStyle w:val="Heading1"/>
      </w:pPr>
      <w:r>
        <w:rPr>
          <w:color w:val="1F3864"/>
        </w:rPr>
        <w:t xml:space="preserve">3. The 20 articles at a glance</w:t>
      </w:r>
    </w:p>
    <w:p>
      <w:pPr>
        <w:spacing w:after="120"/>
        <w:jc w:val="both"/>
      </w:pPr>
      <w:r>
        <w:t xml:space="preserve">The table is ordered by institution (O = Oxford, C = Caltech, M = MIT, E = ETH Zürich) and, within each institution, by the order of the cards; the last column gives the affiliations.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00"/>
        <w:gridCol w:w="3300"/>
        <w:gridCol w:w="3900"/>
        <w:gridCol w:w="1838"/>
      </w:tblGrid>
      <w:tr>
        <w:trPr>
          <w:cantSplit/>
          <w:tblHeader/>
        </w:trPr>
        <w:tc>
          <w:tcPr>
            <w:tcW w:type="dxa" w:w="600"/>
            <w:shd w:fill="1F3864" w:color="auto" w:val="clear"/>
            <w:tcMar>
              <w:top w:type="dxa" w:w="15"/>
              <w:left w:type="dxa" w:w="80"/>
              <w:bottom w:type="dxa" w:w="15"/>
              <w:right w:type="dxa" w:w="80"/>
            </w:tcMar>
            <w:vAlign w:val="top"/>
          </w:tcPr>
          <w:p>
            <w:r>
              <w:rPr>
                <w:b/>
                <w:bCs/>
                <w:color w:val="FFFFFF"/>
                <w:sz w:val="15"/>
                <w:szCs w:val="15"/>
              </w:rPr>
              <w:t xml:space="preserve">Code</w:t>
            </w:r>
          </w:p>
        </w:tc>
        <w:tc>
          <w:tcPr>
            <w:tcW w:type="dxa" w:w="3300"/>
            <w:shd w:fill="1F3864" w:color="auto" w:val="clear"/>
            <w:tcMar>
              <w:top w:type="dxa" w:w="15"/>
              <w:left w:type="dxa" w:w="80"/>
              <w:bottom w:type="dxa" w:w="15"/>
              <w:right w:type="dxa" w:w="80"/>
            </w:tcMar>
            <w:vAlign w:val="top"/>
          </w:tcPr>
          <w:p>
            <w:r>
              <w:rPr>
                <w:b/>
                <w:bCs/>
                <w:color w:val="FFFFFF"/>
                <w:sz w:val="15"/>
                <w:szCs w:val="15"/>
              </w:rPr>
              <w:t xml:space="preserve">Authors (year)</w:t>
            </w:r>
          </w:p>
        </w:tc>
        <w:tc>
          <w:tcPr>
            <w:tcW w:type="dxa" w:w="3900"/>
            <w:shd w:fill="1F3864" w:color="auto" w:val="clear"/>
            <w:tcMar>
              <w:top w:type="dxa" w:w="15"/>
              <w:left w:type="dxa" w:w="80"/>
              <w:bottom w:type="dxa" w:w="15"/>
              <w:right w:type="dxa" w:w="80"/>
            </w:tcMar>
            <w:vAlign w:val="top"/>
          </w:tcPr>
          <w:p>
            <w:r>
              <w:rPr>
                <w:b/>
                <w:bCs/>
                <w:color w:val="FFFFFF"/>
                <w:sz w:val="15"/>
                <w:szCs w:val="15"/>
              </w:rPr>
              <w:t xml:space="preserve">Venue</w:t>
            </w:r>
          </w:p>
        </w:tc>
        <w:tc>
          <w:tcPr>
            <w:tcW w:type="dxa" w:w="1838"/>
            <w:shd w:fill="1F3864" w:color="auto" w:val="clear"/>
            <w:tcMar>
              <w:top w:type="dxa" w:w="15"/>
              <w:left w:type="dxa" w:w="80"/>
              <w:bottom w:type="dxa" w:w="15"/>
              <w:right w:type="dxa" w:w="80"/>
            </w:tcMar>
            <w:vAlign w:val="top"/>
          </w:tcPr>
          <w:p>
            <w:r>
              <w:rPr>
                <w:b/>
                <w:bCs/>
                <w:color w:val="FFFFFF"/>
                <w:sz w:val="15"/>
                <w:szCs w:val="15"/>
              </w:rPr>
              <w:t xml:space="preserve">Affiliation</w:t>
            </w:r>
          </w:p>
        </w:tc>
      </w:tr>
      <w:tr>
        <w:trPr>
          <w:cantSplit/>
        </w:trPr>
        <w:tc>
          <w:tcPr>
            <w:tcW w:type="dxa" w:w="600"/>
            <w:tcMar>
              <w:top w:type="dxa" w:w="15"/>
              <w:left w:type="dxa" w:w="80"/>
              <w:bottom w:type="dxa" w:w="15"/>
              <w:right w:type="dxa" w:w="80"/>
            </w:tcMar>
            <w:vAlign w:val="top"/>
          </w:tcPr>
          <w:p>
            <w:r>
              <w:rPr>
                <w:b/>
                <w:bCs/>
                <w:color w:val="002147"/>
                <w:sz w:val="15"/>
                <w:szCs w:val="15"/>
              </w:rPr>
              <w:t xml:space="preserve">O1</w:t>
            </w:r>
          </w:p>
        </w:tc>
        <w:tc>
          <w:tcPr>
            <w:tcW w:type="dxa" w:w="3300"/>
            <w:tcMar>
              <w:top w:type="dxa" w:w="15"/>
              <w:left w:type="dxa" w:w="80"/>
              <w:bottom w:type="dxa" w:w="15"/>
              <w:right w:type="dxa" w:w="80"/>
            </w:tcMar>
            <w:vAlign w:val="top"/>
          </w:tcPr>
          <w:p>
            <w:r>
              <w:rPr>
                <w:sz w:val="15"/>
                <w:szCs w:val="15"/>
              </w:rPr>
              <w:t xml:space="preserve">Abeler, Huffman &amp; Raymond (2025)</w:t>
            </w:r>
          </w:p>
        </w:tc>
        <w:tc>
          <w:tcPr>
            <w:tcW w:type="dxa" w:w="3900"/>
            <w:tcMar>
              <w:top w:type="dxa" w:w="15"/>
              <w:left w:type="dxa" w:w="80"/>
              <w:bottom w:type="dxa" w:w="15"/>
              <w:right w:type="dxa" w:w="80"/>
            </w:tcMar>
            <w:vAlign w:val="top"/>
          </w:tcPr>
          <w:p>
            <w:r>
              <w:rPr>
                <w:sz w:val="15"/>
                <w:szCs w:val="15"/>
              </w:rPr>
              <w:t xml:space="preserve">Am. Econ. Rev. 2025</w:t>
            </w:r>
          </w:p>
        </w:tc>
        <w:tc>
          <w:tcPr>
            <w:tcW w:type="dxa" w:w="1838"/>
            <w:tcMar>
              <w:top w:type="dxa" w:w="15"/>
              <w:left w:type="dxa" w:w="80"/>
              <w:bottom w:type="dxa" w:w="15"/>
              <w:right w:type="dxa" w:w="80"/>
            </w:tcMar>
            <w:vAlign w:val="top"/>
          </w:tcPr>
          <w:p>
            <w:r>
              <w:rPr>
                <w:b/>
                <w:bCs/>
                <w:color w:val="002147"/>
                <w:sz w:val="15"/>
                <w:szCs w:val="15"/>
              </w:rPr>
              <w:t xml:space="preserve">Oxford · Cornell</w:t>
            </w:r>
          </w:p>
        </w:tc>
      </w:tr>
      <w:tr>
        <w:trPr>
          <w:cantSplit/>
        </w:trPr>
        <w:tc>
          <w:tcPr>
            <w:tcW w:type="dxa" w:w="600"/>
            <w:shd w:fill="F7F9FC" w:color="auto" w:val="clear"/>
            <w:tcMar>
              <w:top w:type="dxa" w:w="15"/>
              <w:left w:type="dxa" w:w="80"/>
              <w:bottom w:type="dxa" w:w="15"/>
              <w:right w:type="dxa" w:w="80"/>
            </w:tcMar>
            <w:vAlign w:val="top"/>
          </w:tcPr>
          <w:p>
            <w:r>
              <w:rPr>
                <w:b/>
                <w:bCs/>
                <w:color w:val="002147"/>
                <w:sz w:val="15"/>
                <w:szCs w:val="15"/>
              </w:rPr>
              <w:t xml:space="preserve">O2</w:t>
            </w:r>
          </w:p>
        </w:tc>
        <w:tc>
          <w:tcPr>
            <w:tcW w:type="dxa" w:w="3300"/>
            <w:shd w:fill="F7F9FC" w:color="auto" w:val="clear"/>
            <w:tcMar>
              <w:top w:type="dxa" w:w="15"/>
              <w:left w:type="dxa" w:w="80"/>
              <w:bottom w:type="dxa" w:w="15"/>
              <w:right w:type="dxa" w:w="80"/>
            </w:tcMar>
            <w:vAlign w:val="top"/>
          </w:tcPr>
          <w:p>
            <w:r>
              <w:rPr>
                <w:sz w:val="15"/>
                <w:szCs w:val="15"/>
              </w:rPr>
              <w:t xml:space="preserve">Juechems, Balaguer, Spitzer &amp; Summerfield (2021)</w:t>
            </w:r>
          </w:p>
        </w:tc>
        <w:tc>
          <w:tcPr>
            <w:tcW w:type="dxa" w:w="3900"/>
            <w:shd w:fill="F7F9FC" w:color="auto" w:val="clear"/>
            <w:tcMar>
              <w:top w:type="dxa" w:w="15"/>
              <w:left w:type="dxa" w:w="80"/>
              <w:bottom w:type="dxa" w:w="15"/>
              <w:right w:type="dxa" w:w="80"/>
            </w:tcMar>
            <w:vAlign w:val="top"/>
          </w:tcPr>
          <w:p>
            <w:r>
              <w:rPr>
                <w:sz w:val="15"/>
                <w:szCs w:val="15"/>
              </w:rPr>
              <w:t xml:space="preserve">PNAS 2021</w:t>
            </w:r>
          </w:p>
        </w:tc>
        <w:tc>
          <w:tcPr>
            <w:tcW w:type="dxa" w:w="1838"/>
            <w:shd w:fill="F7F9FC" w:color="auto" w:val="clear"/>
            <w:tcMar>
              <w:top w:type="dxa" w:w="15"/>
              <w:left w:type="dxa" w:w="80"/>
              <w:bottom w:type="dxa" w:w="15"/>
              <w:right w:type="dxa" w:w="80"/>
            </w:tcMar>
            <w:vAlign w:val="top"/>
          </w:tcPr>
          <w:p>
            <w:r>
              <w:rPr>
                <w:b/>
                <w:bCs/>
                <w:color w:val="002147"/>
                <w:sz w:val="15"/>
                <w:szCs w:val="15"/>
              </w:rPr>
              <w:t xml:space="preserve">Oxford</w:t>
            </w:r>
          </w:p>
        </w:tc>
      </w:tr>
      <w:tr>
        <w:trPr>
          <w:cantSplit/>
        </w:trPr>
        <w:tc>
          <w:tcPr>
            <w:tcW w:type="dxa" w:w="600"/>
            <w:tcMar>
              <w:top w:type="dxa" w:w="15"/>
              <w:left w:type="dxa" w:w="80"/>
              <w:bottom w:type="dxa" w:w="15"/>
              <w:right w:type="dxa" w:w="80"/>
            </w:tcMar>
            <w:vAlign w:val="top"/>
          </w:tcPr>
          <w:p>
            <w:r>
              <w:rPr>
                <w:b/>
                <w:bCs/>
                <w:color w:val="002147"/>
                <w:sz w:val="15"/>
                <w:szCs w:val="15"/>
              </w:rPr>
              <w:t xml:space="preserve">O3</w:t>
            </w:r>
          </w:p>
        </w:tc>
        <w:tc>
          <w:tcPr>
            <w:tcW w:type="dxa" w:w="3300"/>
            <w:tcMar>
              <w:top w:type="dxa" w:w="15"/>
              <w:left w:type="dxa" w:w="80"/>
              <w:bottom w:type="dxa" w:w="15"/>
              <w:right w:type="dxa" w:w="80"/>
            </w:tcMar>
            <w:vAlign w:val="top"/>
          </w:tcPr>
          <w:p>
            <w:r>
              <w:rPr>
                <w:sz w:val="15"/>
                <w:szCs w:val="15"/>
              </w:rPr>
              <w:t xml:space="preserve">Zika, Wiech, Reinecke, Browning &amp; Schuck (2023)</w:t>
            </w:r>
          </w:p>
        </w:tc>
        <w:tc>
          <w:tcPr>
            <w:tcW w:type="dxa" w:w="3900"/>
            <w:tcMar>
              <w:top w:type="dxa" w:w="15"/>
              <w:left w:type="dxa" w:w="80"/>
              <w:bottom w:type="dxa" w:w="15"/>
              <w:right w:type="dxa" w:w="80"/>
            </w:tcMar>
            <w:vAlign w:val="top"/>
          </w:tcPr>
          <w:p>
            <w:r>
              <w:rPr>
                <w:sz w:val="15"/>
                <w:szCs w:val="15"/>
              </w:rPr>
              <w:t xml:space="preserve">Nat. Commun. 2023</w:t>
            </w:r>
          </w:p>
        </w:tc>
        <w:tc>
          <w:tcPr>
            <w:tcW w:type="dxa" w:w="1838"/>
            <w:tcMar>
              <w:top w:type="dxa" w:w="15"/>
              <w:left w:type="dxa" w:w="80"/>
              <w:bottom w:type="dxa" w:w="15"/>
              <w:right w:type="dxa" w:w="80"/>
            </w:tcMar>
            <w:vAlign w:val="top"/>
          </w:tcPr>
          <w:p>
            <w:r>
              <w:rPr>
                <w:b/>
                <w:bCs/>
                <w:color w:val="002147"/>
                <w:sz w:val="15"/>
                <w:szCs w:val="15"/>
              </w:rPr>
              <w:t xml:space="preserve">Oxford · MPI Berlin</w:t>
            </w:r>
          </w:p>
        </w:tc>
      </w:tr>
      <w:tr>
        <w:trPr>
          <w:cantSplit/>
        </w:trPr>
        <w:tc>
          <w:tcPr>
            <w:tcW w:type="dxa" w:w="600"/>
            <w:shd w:fill="F7F9FC" w:color="auto" w:val="clear"/>
            <w:tcMar>
              <w:top w:type="dxa" w:w="15"/>
              <w:left w:type="dxa" w:w="80"/>
              <w:bottom w:type="dxa" w:w="15"/>
              <w:right w:type="dxa" w:w="80"/>
            </w:tcMar>
            <w:vAlign w:val="top"/>
          </w:tcPr>
          <w:p>
            <w:r>
              <w:rPr>
                <w:b/>
                <w:bCs/>
                <w:color w:val="002147"/>
                <w:sz w:val="15"/>
                <w:szCs w:val="15"/>
              </w:rPr>
              <w:t xml:space="preserve">O4</w:t>
            </w:r>
          </w:p>
        </w:tc>
        <w:tc>
          <w:tcPr>
            <w:tcW w:type="dxa" w:w="3300"/>
            <w:shd w:fill="F7F9FC" w:color="auto" w:val="clear"/>
            <w:tcMar>
              <w:top w:type="dxa" w:w="15"/>
              <w:left w:type="dxa" w:w="80"/>
              <w:bottom w:type="dxa" w:w="15"/>
              <w:right w:type="dxa" w:w="80"/>
            </w:tcMar>
            <w:vAlign w:val="top"/>
          </w:tcPr>
          <w:p>
            <w:r>
              <w:rPr>
                <w:sz w:val="15"/>
                <w:szCs w:val="15"/>
              </w:rPr>
              <w:t xml:space="preserve">Murgatroyd, Gavin, Becher, …, Hall (2022)</w:t>
            </w:r>
          </w:p>
        </w:tc>
        <w:tc>
          <w:tcPr>
            <w:tcW w:type="dxa" w:w="3900"/>
            <w:shd w:fill="F7F9FC" w:color="auto" w:val="clear"/>
            <w:tcMar>
              <w:top w:type="dxa" w:w="15"/>
              <w:left w:type="dxa" w:w="80"/>
              <w:bottom w:type="dxa" w:w="15"/>
              <w:right w:type="dxa" w:w="80"/>
            </w:tcMar>
            <w:vAlign w:val="top"/>
          </w:tcPr>
          <w:p>
            <w:r>
              <w:rPr>
                <w:sz w:val="15"/>
                <w:szCs w:val="15"/>
              </w:rPr>
              <w:t xml:space="preserve">Phil. Trans. R. Soc. A 2022</w:t>
            </w:r>
          </w:p>
        </w:tc>
        <w:tc>
          <w:tcPr>
            <w:tcW w:type="dxa" w:w="1838"/>
            <w:shd w:fill="F7F9FC" w:color="auto" w:val="clear"/>
            <w:tcMar>
              <w:top w:type="dxa" w:w="15"/>
              <w:left w:type="dxa" w:w="80"/>
              <w:bottom w:type="dxa" w:w="15"/>
              <w:right w:type="dxa" w:w="80"/>
            </w:tcMar>
            <w:vAlign w:val="top"/>
          </w:tcPr>
          <w:p>
            <w:r>
              <w:rPr>
                <w:b/>
                <w:bCs/>
                <w:color w:val="002147"/>
                <w:sz w:val="15"/>
                <w:szCs w:val="15"/>
              </w:rPr>
              <w:t xml:space="preserve">Oxford</w:t>
            </w:r>
          </w:p>
        </w:tc>
      </w:tr>
      <w:tr>
        <w:trPr>
          <w:cantSplit/>
        </w:trPr>
        <w:tc>
          <w:tcPr>
            <w:tcW w:type="dxa" w:w="600"/>
            <w:tcMar>
              <w:top w:type="dxa" w:w="15"/>
              <w:left w:type="dxa" w:w="80"/>
              <w:bottom w:type="dxa" w:w="15"/>
              <w:right w:type="dxa" w:w="80"/>
            </w:tcMar>
            <w:vAlign w:val="top"/>
          </w:tcPr>
          <w:p>
            <w:r>
              <w:rPr>
                <w:b/>
                <w:bCs/>
                <w:color w:val="002147"/>
                <w:sz w:val="15"/>
                <w:szCs w:val="15"/>
              </w:rPr>
              <w:t xml:space="preserve">O5</w:t>
            </w:r>
          </w:p>
        </w:tc>
        <w:tc>
          <w:tcPr>
            <w:tcW w:type="dxa" w:w="3300"/>
            <w:tcMar>
              <w:top w:type="dxa" w:w="15"/>
              <w:left w:type="dxa" w:w="80"/>
              <w:bottom w:type="dxa" w:w="15"/>
              <w:right w:type="dxa" w:w="80"/>
            </w:tcMar>
            <w:vAlign w:val="top"/>
          </w:tcPr>
          <w:p>
            <w:r>
              <w:rPr>
                <w:sz w:val="15"/>
                <w:szCs w:val="15"/>
              </w:rPr>
              <w:t xml:space="preserve">Ferretti, Wymant, …, Briers &amp; Fraser (2024)</w:t>
            </w:r>
          </w:p>
        </w:tc>
        <w:tc>
          <w:tcPr>
            <w:tcW w:type="dxa" w:w="3900"/>
            <w:tcMar>
              <w:top w:type="dxa" w:w="15"/>
              <w:left w:type="dxa" w:w="80"/>
              <w:bottom w:type="dxa" w:w="15"/>
              <w:right w:type="dxa" w:w="80"/>
            </w:tcMar>
            <w:vAlign w:val="top"/>
          </w:tcPr>
          <w:p>
            <w:r>
              <w:rPr>
                <w:sz w:val="15"/>
                <w:szCs w:val="15"/>
              </w:rPr>
              <w:t xml:space="preserve">Nature 2024</w:t>
            </w:r>
          </w:p>
        </w:tc>
        <w:tc>
          <w:tcPr>
            <w:tcW w:type="dxa" w:w="1838"/>
            <w:tcMar>
              <w:top w:type="dxa" w:w="15"/>
              <w:left w:type="dxa" w:w="80"/>
              <w:bottom w:type="dxa" w:w="15"/>
              <w:right w:type="dxa" w:w="80"/>
            </w:tcMar>
            <w:vAlign w:val="top"/>
          </w:tcPr>
          <w:p>
            <w:r>
              <w:rPr>
                <w:b/>
                <w:bCs/>
                <w:color w:val="002147"/>
                <w:sz w:val="15"/>
                <w:szCs w:val="15"/>
              </w:rPr>
              <w:t xml:space="preserve">Oxford</w:t>
            </w:r>
          </w:p>
        </w:tc>
      </w:tr>
      <w:tr>
        <w:trPr>
          <w:cantSplit/>
        </w:trPr>
        <w:tc>
          <w:tcPr>
            <w:tcW w:type="dxa" w:w="600"/>
            <w:shd w:fill="F7F9FC" w:color="auto" w:val="clear"/>
            <w:tcMar>
              <w:top w:type="dxa" w:w="15"/>
              <w:left w:type="dxa" w:w="80"/>
              <w:bottom w:type="dxa" w:w="15"/>
              <w:right w:type="dxa" w:w="80"/>
            </w:tcMar>
            <w:vAlign w:val="top"/>
          </w:tcPr>
          <w:p>
            <w:r>
              <w:rPr>
                <w:b/>
                <w:bCs/>
                <w:color w:val="B4410C"/>
                <w:sz w:val="15"/>
                <w:szCs w:val="15"/>
              </w:rPr>
              <w:t xml:space="preserve">C1</w:t>
            </w:r>
          </w:p>
        </w:tc>
        <w:tc>
          <w:tcPr>
            <w:tcW w:type="dxa" w:w="3300"/>
            <w:shd w:fill="F7F9FC" w:color="auto" w:val="clear"/>
            <w:tcMar>
              <w:top w:type="dxa" w:w="15"/>
              <w:left w:type="dxa" w:w="80"/>
              <w:bottom w:type="dxa" w:w="15"/>
              <w:right w:type="dxa" w:w="80"/>
            </w:tcMar>
            <w:vAlign w:val="top"/>
          </w:tcPr>
          <w:p>
            <w:r>
              <w:rPr>
                <w:sz w:val="15"/>
                <w:szCs w:val="15"/>
              </w:rPr>
              <w:t xml:space="preserve">McGranaghan, Nielsen, O'Donoghue, Somerville &amp; Sprenger (2024)</w:t>
            </w:r>
          </w:p>
        </w:tc>
        <w:tc>
          <w:tcPr>
            <w:tcW w:type="dxa" w:w="3900"/>
            <w:shd w:fill="F7F9FC" w:color="auto" w:val="clear"/>
            <w:tcMar>
              <w:top w:type="dxa" w:w="15"/>
              <w:left w:type="dxa" w:w="80"/>
              <w:bottom w:type="dxa" w:w="15"/>
              <w:right w:type="dxa" w:w="80"/>
            </w:tcMar>
            <w:vAlign w:val="top"/>
          </w:tcPr>
          <w:p>
            <w:r>
              <w:rPr>
                <w:sz w:val="15"/>
                <w:szCs w:val="15"/>
              </w:rPr>
              <w:t xml:space="preserve">Am. Econ. Rev. 2024</w:t>
            </w:r>
          </w:p>
        </w:tc>
        <w:tc>
          <w:tcPr>
            <w:tcW w:type="dxa" w:w="1838"/>
            <w:shd w:fill="F7F9FC" w:color="auto" w:val="clear"/>
            <w:tcMar>
              <w:top w:type="dxa" w:w="15"/>
              <w:left w:type="dxa" w:w="80"/>
              <w:bottom w:type="dxa" w:w="15"/>
              <w:right w:type="dxa" w:w="80"/>
            </w:tcMar>
            <w:vAlign w:val="top"/>
          </w:tcPr>
          <w:p>
            <w:r>
              <w:rPr>
                <w:b/>
                <w:bCs/>
                <w:color w:val="B4410C"/>
                <w:sz w:val="15"/>
                <w:szCs w:val="15"/>
              </w:rPr>
              <w:t xml:space="preserve">Caltech · Cornell</w:t>
            </w:r>
          </w:p>
        </w:tc>
      </w:tr>
      <w:tr>
        <w:trPr>
          <w:cantSplit/>
        </w:trPr>
        <w:tc>
          <w:tcPr>
            <w:tcW w:type="dxa" w:w="600"/>
            <w:tcMar>
              <w:top w:type="dxa" w:w="15"/>
              <w:left w:type="dxa" w:w="80"/>
              <w:bottom w:type="dxa" w:w="15"/>
              <w:right w:type="dxa" w:w="80"/>
            </w:tcMar>
            <w:vAlign w:val="top"/>
          </w:tcPr>
          <w:p>
            <w:r>
              <w:rPr>
                <w:b/>
                <w:bCs/>
                <w:color w:val="B4410C"/>
                <w:sz w:val="15"/>
                <w:szCs w:val="15"/>
              </w:rPr>
              <w:t xml:space="preserve">C2</w:t>
            </w:r>
          </w:p>
        </w:tc>
        <w:tc>
          <w:tcPr>
            <w:tcW w:type="dxa" w:w="3300"/>
            <w:tcMar>
              <w:top w:type="dxa" w:w="15"/>
              <w:left w:type="dxa" w:w="80"/>
              <w:bottom w:type="dxa" w:w="15"/>
              <w:right w:type="dxa" w:w="80"/>
            </w:tcMar>
            <w:vAlign w:val="top"/>
          </w:tcPr>
          <w:p>
            <w:r>
              <w:rPr>
                <w:sz w:val="15"/>
                <w:szCs w:val="15"/>
              </w:rPr>
              <w:t xml:space="preserve">Li &amp; Camerer (2022)</w:t>
            </w:r>
          </w:p>
        </w:tc>
        <w:tc>
          <w:tcPr>
            <w:tcW w:type="dxa" w:w="3900"/>
            <w:tcMar>
              <w:top w:type="dxa" w:w="15"/>
              <w:left w:type="dxa" w:w="80"/>
              <w:bottom w:type="dxa" w:w="15"/>
              <w:right w:type="dxa" w:w="80"/>
            </w:tcMar>
            <w:vAlign w:val="top"/>
          </w:tcPr>
          <w:p>
            <w:r>
              <w:rPr>
                <w:sz w:val="15"/>
                <w:szCs w:val="15"/>
              </w:rPr>
              <w:t xml:space="preserve">Q. J. Econ. 2022</w:t>
            </w:r>
          </w:p>
        </w:tc>
        <w:tc>
          <w:tcPr>
            <w:tcW w:type="dxa" w:w="1838"/>
            <w:tcMar>
              <w:top w:type="dxa" w:w="15"/>
              <w:left w:type="dxa" w:w="80"/>
              <w:bottom w:type="dxa" w:w="15"/>
              <w:right w:type="dxa" w:w="80"/>
            </w:tcMar>
            <w:vAlign w:val="top"/>
          </w:tcPr>
          <w:p>
            <w:r>
              <w:rPr>
                <w:b/>
                <w:bCs/>
                <w:color w:val="B4410C"/>
                <w:sz w:val="15"/>
                <w:szCs w:val="15"/>
              </w:rPr>
              <w:t xml:space="preserve">Caltech</w:t>
            </w:r>
          </w:p>
        </w:tc>
      </w:tr>
      <w:tr>
        <w:trPr>
          <w:cantSplit/>
        </w:trPr>
        <w:tc>
          <w:tcPr>
            <w:tcW w:type="dxa" w:w="600"/>
            <w:shd w:fill="F7F9FC" w:color="auto" w:val="clear"/>
            <w:tcMar>
              <w:top w:type="dxa" w:w="15"/>
              <w:left w:type="dxa" w:w="80"/>
              <w:bottom w:type="dxa" w:w="15"/>
              <w:right w:type="dxa" w:w="80"/>
            </w:tcMar>
            <w:vAlign w:val="top"/>
          </w:tcPr>
          <w:p>
            <w:r>
              <w:rPr>
                <w:b/>
                <w:bCs/>
                <w:color w:val="B4410C"/>
                <w:sz w:val="15"/>
                <w:szCs w:val="15"/>
              </w:rPr>
              <w:t xml:space="preserve">C3</w:t>
            </w:r>
          </w:p>
        </w:tc>
        <w:tc>
          <w:tcPr>
            <w:tcW w:type="dxa" w:w="3300"/>
            <w:shd w:fill="F7F9FC" w:color="auto" w:val="clear"/>
            <w:tcMar>
              <w:top w:type="dxa" w:w="15"/>
              <w:left w:type="dxa" w:w="80"/>
              <w:bottom w:type="dxa" w:w="15"/>
              <w:right w:type="dxa" w:w="80"/>
            </w:tcMar>
            <w:vAlign w:val="top"/>
          </w:tcPr>
          <w:p>
            <w:r>
              <w:rPr>
                <w:sz w:val="15"/>
                <w:szCs w:val="15"/>
              </w:rPr>
              <w:t xml:space="preserve">Chapman, Snowberg, Wang &amp; Camerer (2025)</w:t>
            </w:r>
          </w:p>
        </w:tc>
        <w:tc>
          <w:tcPr>
            <w:tcW w:type="dxa" w:w="3900"/>
            <w:shd w:fill="F7F9FC" w:color="auto" w:val="clear"/>
            <w:tcMar>
              <w:top w:type="dxa" w:w="15"/>
              <w:left w:type="dxa" w:w="80"/>
              <w:bottom w:type="dxa" w:w="15"/>
              <w:right w:type="dxa" w:w="80"/>
            </w:tcMar>
            <w:vAlign w:val="top"/>
          </w:tcPr>
          <w:p>
            <w:r>
              <w:rPr>
                <w:sz w:val="15"/>
                <w:szCs w:val="15"/>
              </w:rPr>
              <w:t xml:space="preserve">Rev. Econ. Stud. 2025</w:t>
            </w:r>
          </w:p>
        </w:tc>
        <w:tc>
          <w:tcPr>
            <w:tcW w:type="dxa" w:w="1838"/>
            <w:shd w:fill="F7F9FC" w:color="auto" w:val="clear"/>
            <w:tcMar>
              <w:top w:type="dxa" w:w="15"/>
              <w:left w:type="dxa" w:w="80"/>
              <w:bottom w:type="dxa" w:w="15"/>
              <w:right w:type="dxa" w:w="80"/>
            </w:tcMar>
            <w:vAlign w:val="top"/>
          </w:tcPr>
          <w:p>
            <w:r>
              <w:rPr>
                <w:b/>
                <w:bCs/>
                <w:color w:val="B4410C"/>
                <w:sz w:val="15"/>
                <w:szCs w:val="15"/>
              </w:rPr>
              <w:t xml:space="preserve">Caltech</w:t>
            </w:r>
          </w:p>
        </w:tc>
      </w:tr>
      <w:tr>
        <w:trPr>
          <w:cantSplit/>
        </w:trPr>
        <w:tc>
          <w:tcPr>
            <w:tcW w:type="dxa" w:w="600"/>
            <w:tcMar>
              <w:top w:type="dxa" w:w="15"/>
              <w:left w:type="dxa" w:w="80"/>
              <w:bottom w:type="dxa" w:w="15"/>
              <w:right w:type="dxa" w:w="80"/>
            </w:tcMar>
            <w:vAlign w:val="top"/>
          </w:tcPr>
          <w:p>
            <w:r>
              <w:rPr>
                <w:b/>
                <w:bCs/>
                <w:color w:val="B4410C"/>
                <w:sz w:val="15"/>
                <w:szCs w:val="15"/>
              </w:rPr>
              <w:t xml:space="preserve">C4</w:t>
            </w:r>
          </w:p>
        </w:tc>
        <w:tc>
          <w:tcPr>
            <w:tcW w:type="dxa" w:w="3300"/>
            <w:tcMar>
              <w:top w:type="dxa" w:w="15"/>
              <w:left w:type="dxa" w:w="80"/>
              <w:bottom w:type="dxa" w:w="15"/>
              <w:right w:type="dxa" w:w="80"/>
            </w:tcMar>
            <w:vAlign w:val="top"/>
          </w:tcPr>
          <w:p>
            <w:r>
              <w:rPr>
                <w:sz w:val="15"/>
                <w:szCs w:val="15"/>
              </w:rPr>
              <w:t xml:space="preserve">Wise, Zbozinek, Charpentier, Michelini, Hagan &amp; Mobbs (2023)</w:t>
            </w:r>
          </w:p>
        </w:tc>
        <w:tc>
          <w:tcPr>
            <w:tcW w:type="dxa" w:w="3900"/>
            <w:tcMar>
              <w:top w:type="dxa" w:w="15"/>
              <w:left w:type="dxa" w:w="80"/>
              <w:bottom w:type="dxa" w:w="15"/>
              <w:right w:type="dxa" w:w="80"/>
            </w:tcMar>
            <w:vAlign w:val="top"/>
          </w:tcPr>
          <w:p>
            <w:r>
              <w:rPr>
                <w:sz w:val="15"/>
                <w:szCs w:val="15"/>
              </w:rPr>
              <w:t xml:space="preserve">Emotion 2023</w:t>
            </w:r>
          </w:p>
        </w:tc>
        <w:tc>
          <w:tcPr>
            <w:tcW w:type="dxa" w:w="1838"/>
            <w:tcMar>
              <w:top w:type="dxa" w:w="15"/>
              <w:left w:type="dxa" w:w="80"/>
              <w:bottom w:type="dxa" w:w="15"/>
              <w:right w:type="dxa" w:w="80"/>
            </w:tcMar>
            <w:vAlign w:val="top"/>
          </w:tcPr>
          <w:p>
            <w:r>
              <w:rPr>
                <w:b/>
                <w:bCs/>
                <w:color w:val="B4410C"/>
                <w:sz w:val="15"/>
                <w:szCs w:val="15"/>
              </w:rPr>
              <w:t xml:space="preserve">Caltech</w:t>
            </w:r>
          </w:p>
        </w:tc>
      </w:tr>
      <w:tr>
        <w:trPr>
          <w:cantSplit/>
        </w:trPr>
        <w:tc>
          <w:tcPr>
            <w:tcW w:type="dxa" w:w="600"/>
            <w:shd w:fill="F7F9FC" w:color="auto" w:val="clear"/>
            <w:tcMar>
              <w:top w:type="dxa" w:w="15"/>
              <w:left w:type="dxa" w:w="80"/>
              <w:bottom w:type="dxa" w:w="15"/>
              <w:right w:type="dxa" w:w="80"/>
            </w:tcMar>
            <w:vAlign w:val="top"/>
          </w:tcPr>
          <w:p>
            <w:r>
              <w:rPr>
                <w:b/>
                <w:bCs/>
                <w:color w:val="B4410C"/>
                <w:sz w:val="15"/>
                <w:szCs w:val="15"/>
              </w:rPr>
              <w:t xml:space="preserve">C5</w:t>
            </w:r>
          </w:p>
        </w:tc>
        <w:tc>
          <w:tcPr>
            <w:tcW w:type="dxa" w:w="3300"/>
            <w:shd w:fill="F7F9FC" w:color="auto" w:val="clear"/>
            <w:tcMar>
              <w:top w:type="dxa" w:w="15"/>
              <w:left w:type="dxa" w:w="80"/>
              <w:bottom w:type="dxa" w:w="15"/>
              <w:right w:type="dxa" w:w="80"/>
            </w:tcMar>
            <w:vAlign w:val="top"/>
          </w:tcPr>
          <w:p>
            <w:r>
              <w:rPr>
                <w:sz w:val="15"/>
                <w:szCs w:val="15"/>
              </w:rPr>
              <w:t xml:space="preserve">Liu, Famiglietti, Purdy et al. (2022)</w:t>
            </w:r>
          </w:p>
        </w:tc>
        <w:tc>
          <w:tcPr>
            <w:tcW w:type="dxa" w:w="3900"/>
            <w:shd w:fill="F7F9FC" w:color="auto" w:val="clear"/>
            <w:tcMar>
              <w:top w:type="dxa" w:w="15"/>
              <w:left w:type="dxa" w:w="80"/>
              <w:bottom w:type="dxa" w:w="15"/>
              <w:right w:type="dxa" w:w="80"/>
            </w:tcMar>
            <w:vAlign w:val="top"/>
          </w:tcPr>
          <w:p>
            <w:r>
              <w:rPr>
                <w:sz w:val="15"/>
                <w:szCs w:val="15"/>
              </w:rPr>
              <w:t xml:space="preserve">Nat. Commun. 2022</w:t>
            </w:r>
          </w:p>
        </w:tc>
        <w:tc>
          <w:tcPr>
            <w:tcW w:type="dxa" w:w="1838"/>
            <w:shd w:fill="F7F9FC" w:color="auto" w:val="clear"/>
            <w:tcMar>
              <w:top w:type="dxa" w:w="15"/>
              <w:left w:type="dxa" w:w="80"/>
              <w:bottom w:type="dxa" w:w="15"/>
              <w:right w:type="dxa" w:w="80"/>
            </w:tcMar>
            <w:vAlign w:val="top"/>
          </w:tcPr>
          <w:p>
            <w:r>
              <w:rPr>
                <w:b/>
                <w:bCs/>
                <w:color w:val="B4410C"/>
                <w:sz w:val="15"/>
                <w:szCs w:val="15"/>
              </w:rPr>
              <w:t xml:space="preserve">JPL (Caltech)</w:t>
            </w:r>
          </w:p>
        </w:tc>
      </w:tr>
      <w:tr>
        <w:trPr>
          <w:cantSplit/>
        </w:trPr>
        <w:tc>
          <w:tcPr>
            <w:tcW w:type="dxa" w:w="600"/>
            <w:tcMar>
              <w:top w:type="dxa" w:w="15"/>
              <w:left w:type="dxa" w:w="80"/>
              <w:bottom w:type="dxa" w:w="15"/>
              <w:right w:type="dxa" w:w="80"/>
            </w:tcMar>
            <w:vAlign w:val="top"/>
          </w:tcPr>
          <w:p>
            <w:r>
              <w:rPr>
                <w:b/>
                <w:bCs/>
                <w:color w:val="4D4D4F"/>
                <w:sz w:val="15"/>
                <w:szCs w:val="15"/>
              </w:rPr>
              <w:t xml:space="preserve">M1</w:t>
            </w:r>
          </w:p>
        </w:tc>
        <w:tc>
          <w:tcPr>
            <w:tcW w:type="dxa" w:w="3300"/>
            <w:tcMar>
              <w:top w:type="dxa" w:w="15"/>
              <w:left w:type="dxa" w:w="80"/>
              <w:bottom w:type="dxa" w:w="15"/>
              <w:right w:type="dxa" w:w="80"/>
            </w:tcMar>
            <w:vAlign w:val="top"/>
          </w:tcPr>
          <w:p>
            <w:r>
              <w:rPr>
                <w:sz w:val="15"/>
                <w:szCs w:val="15"/>
              </w:rPr>
              <w:t xml:space="preserve">Morris &amp; Yang (2022)</w:t>
            </w:r>
          </w:p>
        </w:tc>
        <w:tc>
          <w:tcPr>
            <w:tcW w:type="dxa" w:w="3900"/>
            <w:tcMar>
              <w:top w:type="dxa" w:w="15"/>
              <w:left w:type="dxa" w:w="80"/>
              <w:bottom w:type="dxa" w:w="15"/>
              <w:right w:type="dxa" w:w="80"/>
            </w:tcMar>
            <w:vAlign w:val="top"/>
          </w:tcPr>
          <w:p>
            <w:r>
              <w:rPr>
                <w:sz w:val="15"/>
                <w:szCs w:val="15"/>
              </w:rPr>
              <w:t xml:space="preserve">Rev. Econ. Stud. 2022</w:t>
            </w:r>
          </w:p>
        </w:tc>
        <w:tc>
          <w:tcPr>
            <w:tcW w:type="dxa" w:w="1838"/>
            <w:tcMar>
              <w:top w:type="dxa" w:w="15"/>
              <w:left w:type="dxa" w:w="80"/>
              <w:bottom w:type="dxa" w:w="15"/>
              <w:right w:type="dxa" w:w="80"/>
            </w:tcMar>
            <w:vAlign w:val="top"/>
          </w:tcPr>
          <w:p>
            <w:r>
              <w:rPr>
                <w:b/>
                <w:bCs/>
                <w:color w:val="4D4D4F"/>
                <w:sz w:val="15"/>
                <w:szCs w:val="15"/>
              </w:rPr>
              <w:t xml:space="preserve">MIT · UCL</w:t>
            </w:r>
          </w:p>
        </w:tc>
      </w:tr>
      <w:tr>
        <w:trPr>
          <w:cantSplit/>
        </w:trPr>
        <w:tc>
          <w:tcPr>
            <w:tcW w:type="dxa" w:w="600"/>
            <w:shd w:fill="F7F9FC" w:color="auto" w:val="clear"/>
            <w:tcMar>
              <w:top w:type="dxa" w:w="15"/>
              <w:left w:type="dxa" w:w="80"/>
              <w:bottom w:type="dxa" w:w="15"/>
              <w:right w:type="dxa" w:w="80"/>
            </w:tcMar>
            <w:vAlign w:val="top"/>
          </w:tcPr>
          <w:p>
            <w:r>
              <w:rPr>
                <w:b/>
                <w:bCs/>
                <w:color w:val="4D4D4F"/>
                <w:sz w:val="15"/>
                <w:szCs w:val="15"/>
              </w:rPr>
              <w:t xml:space="preserve">M2</w:t>
            </w:r>
          </w:p>
        </w:tc>
        <w:tc>
          <w:tcPr>
            <w:tcW w:type="dxa" w:w="3300"/>
            <w:shd w:fill="F7F9FC" w:color="auto" w:val="clear"/>
            <w:tcMar>
              <w:top w:type="dxa" w:w="15"/>
              <w:left w:type="dxa" w:w="80"/>
              <w:bottom w:type="dxa" w:w="15"/>
              <w:right w:type="dxa" w:w="80"/>
            </w:tcMar>
            <w:vAlign w:val="top"/>
          </w:tcPr>
          <w:p>
            <w:r>
              <w:rPr>
                <w:sz w:val="15"/>
                <w:szCs w:val="15"/>
              </w:rPr>
              <w:t xml:space="preserve">Kaur, Mullainathan, Oh &amp; Schilbach (2025)</w:t>
            </w:r>
          </w:p>
        </w:tc>
        <w:tc>
          <w:tcPr>
            <w:tcW w:type="dxa" w:w="3900"/>
            <w:shd w:fill="F7F9FC" w:color="auto" w:val="clear"/>
            <w:tcMar>
              <w:top w:type="dxa" w:w="15"/>
              <w:left w:type="dxa" w:w="80"/>
              <w:bottom w:type="dxa" w:w="15"/>
              <w:right w:type="dxa" w:w="80"/>
            </w:tcMar>
            <w:vAlign w:val="top"/>
          </w:tcPr>
          <w:p>
            <w:r>
              <w:rPr>
                <w:sz w:val="15"/>
                <w:szCs w:val="15"/>
              </w:rPr>
              <w:t xml:space="preserve">Q. J. Econ. 2025</w:t>
            </w:r>
          </w:p>
        </w:tc>
        <w:tc>
          <w:tcPr>
            <w:tcW w:type="dxa" w:w="1838"/>
            <w:shd w:fill="F7F9FC" w:color="auto" w:val="clear"/>
            <w:tcMar>
              <w:top w:type="dxa" w:w="15"/>
              <w:left w:type="dxa" w:w="80"/>
              <w:bottom w:type="dxa" w:w="15"/>
              <w:right w:type="dxa" w:w="80"/>
            </w:tcMar>
            <w:vAlign w:val="top"/>
          </w:tcPr>
          <w:p>
            <w:r>
              <w:rPr>
                <w:b/>
                <w:bCs/>
                <w:color w:val="4D4D4F"/>
                <w:sz w:val="15"/>
                <w:szCs w:val="15"/>
              </w:rPr>
              <w:t xml:space="preserve">MIT · PSE · others</w:t>
            </w:r>
          </w:p>
        </w:tc>
      </w:tr>
      <w:tr>
        <w:trPr>
          <w:cantSplit/>
        </w:trPr>
        <w:tc>
          <w:tcPr>
            <w:tcW w:type="dxa" w:w="600"/>
            <w:tcMar>
              <w:top w:type="dxa" w:w="15"/>
              <w:left w:type="dxa" w:w="80"/>
              <w:bottom w:type="dxa" w:w="15"/>
              <w:right w:type="dxa" w:w="80"/>
            </w:tcMar>
            <w:vAlign w:val="top"/>
          </w:tcPr>
          <w:p>
            <w:r>
              <w:rPr>
                <w:b/>
                <w:bCs/>
                <w:color w:val="4D4D4F"/>
                <w:sz w:val="15"/>
                <w:szCs w:val="15"/>
              </w:rPr>
              <w:t xml:space="preserve">M3</w:t>
            </w:r>
          </w:p>
        </w:tc>
        <w:tc>
          <w:tcPr>
            <w:tcW w:type="dxa" w:w="3300"/>
            <w:tcMar>
              <w:top w:type="dxa" w:w="15"/>
              <w:left w:type="dxa" w:w="80"/>
              <w:bottom w:type="dxa" w:w="15"/>
              <w:right w:type="dxa" w:w="80"/>
            </w:tcMar>
            <w:vAlign w:val="top"/>
          </w:tcPr>
          <w:p>
            <w:r>
              <w:rPr>
                <w:sz w:val="15"/>
                <w:szCs w:val="15"/>
              </w:rPr>
              <w:t xml:space="preserve">Costello, Pennycook &amp; Rand (2024)</w:t>
            </w:r>
          </w:p>
        </w:tc>
        <w:tc>
          <w:tcPr>
            <w:tcW w:type="dxa" w:w="3900"/>
            <w:tcMar>
              <w:top w:type="dxa" w:w="15"/>
              <w:left w:type="dxa" w:w="80"/>
              <w:bottom w:type="dxa" w:w="15"/>
              <w:right w:type="dxa" w:w="80"/>
            </w:tcMar>
            <w:vAlign w:val="top"/>
          </w:tcPr>
          <w:p>
            <w:r>
              <w:rPr>
                <w:sz w:val="15"/>
                <w:szCs w:val="15"/>
              </w:rPr>
              <w:t xml:space="preserve">Science 2024</w:t>
            </w:r>
          </w:p>
        </w:tc>
        <w:tc>
          <w:tcPr>
            <w:tcW w:type="dxa" w:w="1838"/>
            <w:tcMar>
              <w:top w:type="dxa" w:w="15"/>
              <w:left w:type="dxa" w:w="80"/>
              <w:bottom w:type="dxa" w:w="15"/>
              <w:right w:type="dxa" w:w="80"/>
            </w:tcMar>
            <w:vAlign w:val="top"/>
          </w:tcPr>
          <w:p>
            <w:r>
              <w:rPr>
                <w:b/>
                <w:bCs/>
                <w:color w:val="4D4D4F"/>
                <w:sz w:val="15"/>
                <w:szCs w:val="15"/>
              </w:rPr>
              <w:t xml:space="preserve">MIT · American U. · Cornell</w:t>
            </w:r>
          </w:p>
        </w:tc>
      </w:tr>
      <w:tr>
        <w:trPr>
          <w:cantSplit/>
        </w:trPr>
        <w:tc>
          <w:tcPr>
            <w:tcW w:type="dxa" w:w="600"/>
            <w:shd w:fill="F7F9FC" w:color="auto" w:val="clear"/>
            <w:tcMar>
              <w:top w:type="dxa" w:w="15"/>
              <w:left w:type="dxa" w:w="80"/>
              <w:bottom w:type="dxa" w:w="15"/>
              <w:right w:type="dxa" w:w="80"/>
            </w:tcMar>
            <w:vAlign w:val="top"/>
          </w:tcPr>
          <w:p>
            <w:r>
              <w:rPr>
                <w:b/>
                <w:bCs/>
                <w:color w:val="4D4D4F"/>
                <w:sz w:val="15"/>
                <w:szCs w:val="15"/>
              </w:rPr>
              <w:t xml:space="preserve">M4</w:t>
            </w:r>
          </w:p>
        </w:tc>
        <w:tc>
          <w:tcPr>
            <w:tcW w:type="dxa" w:w="3300"/>
            <w:shd w:fill="F7F9FC" w:color="auto" w:val="clear"/>
            <w:tcMar>
              <w:top w:type="dxa" w:w="15"/>
              <w:left w:type="dxa" w:w="80"/>
              <w:bottom w:type="dxa" w:w="15"/>
              <w:right w:type="dxa" w:w="80"/>
            </w:tcMar>
            <w:vAlign w:val="top"/>
          </w:tcPr>
          <w:p>
            <w:r>
              <w:rPr>
                <w:sz w:val="15"/>
                <w:szCs w:val="15"/>
              </w:rPr>
              <w:t xml:space="preserve">Acemoglu, Chernozhukov, Werning &amp; Whinston (2021)</w:t>
            </w:r>
          </w:p>
        </w:tc>
        <w:tc>
          <w:tcPr>
            <w:tcW w:type="dxa" w:w="3900"/>
            <w:shd w:fill="F7F9FC" w:color="auto" w:val="clear"/>
            <w:tcMar>
              <w:top w:type="dxa" w:w="15"/>
              <w:left w:type="dxa" w:w="80"/>
              <w:bottom w:type="dxa" w:w="15"/>
              <w:right w:type="dxa" w:w="80"/>
            </w:tcMar>
            <w:vAlign w:val="top"/>
          </w:tcPr>
          <w:p>
            <w:r>
              <w:rPr>
                <w:sz w:val="15"/>
                <w:szCs w:val="15"/>
              </w:rPr>
              <w:t xml:space="preserve">AER: Insights 2021</w:t>
            </w:r>
          </w:p>
        </w:tc>
        <w:tc>
          <w:tcPr>
            <w:tcW w:type="dxa" w:w="1838"/>
            <w:shd w:fill="F7F9FC" w:color="auto" w:val="clear"/>
            <w:tcMar>
              <w:top w:type="dxa" w:w="15"/>
              <w:left w:type="dxa" w:w="80"/>
              <w:bottom w:type="dxa" w:w="15"/>
              <w:right w:type="dxa" w:w="80"/>
            </w:tcMar>
            <w:vAlign w:val="top"/>
          </w:tcPr>
          <w:p>
            <w:r>
              <w:rPr>
                <w:b/>
                <w:bCs/>
                <w:color w:val="4D4D4F"/>
                <w:sz w:val="15"/>
                <w:szCs w:val="15"/>
              </w:rPr>
              <w:t xml:space="preserve">MIT</w:t>
            </w:r>
          </w:p>
        </w:tc>
      </w:tr>
      <w:tr>
        <w:trPr>
          <w:cantSplit/>
        </w:trPr>
        <w:tc>
          <w:tcPr>
            <w:tcW w:type="dxa" w:w="600"/>
            <w:tcMar>
              <w:top w:type="dxa" w:w="15"/>
              <w:left w:type="dxa" w:w="80"/>
              <w:bottom w:type="dxa" w:w="15"/>
              <w:right w:type="dxa" w:w="80"/>
            </w:tcMar>
            <w:vAlign w:val="top"/>
          </w:tcPr>
          <w:p>
            <w:r>
              <w:rPr>
                <w:b/>
                <w:bCs/>
                <w:color w:val="4D4D4F"/>
                <w:sz w:val="15"/>
                <w:szCs w:val="15"/>
              </w:rPr>
              <w:t xml:space="preserve">M5</w:t>
            </w:r>
          </w:p>
        </w:tc>
        <w:tc>
          <w:tcPr>
            <w:tcW w:type="dxa" w:w="3300"/>
            <w:tcMar>
              <w:top w:type="dxa" w:w="15"/>
              <w:left w:type="dxa" w:w="80"/>
              <w:bottom w:type="dxa" w:w="15"/>
              <w:right w:type="dxa" w:w="80"/>
            </w:tcMar>
            <w:vAlign w:val="top"/>
          </w:tcPr>
          <w:p>
            <w:r>
              <w:rPr>
                <w:sz w:val="15"/>
                <w:szCs w:val="15"/>
              </w:rPr>
              <w:t xml:space="preserve">Wang, Guetta-Jeanrenaud, Palacios, Fan, Kakkar, Obradovich &amp; Zheng (2025)</w:t>
            </w:r>
          </w:p>
        </w:tc>
        <w:tc>
          <w:tcPr>
            <w:tcW w:type="dxa" w:w="3900"/>
            <w:tcMar>
              <w:top w:type="dxa" w:w="15"/>
              <w:left w:type="dxa" w:w="80"/>
              <w:bottom w:type="dxa" w:w="15"/>
              <w:right w:type="dxa" w:w="80"/>
            </w:tcMar>
            <w:vAlign w:val="top"/>
          </w:tcPr>
          <w:p>
            <w:r>
              <w:rPr>
                <w:sz w:val="15"/>
                <w:szCs w:val="15"/>
              </w:rPr>
              <w:t xml:space="preserve">One Earth 2025</w:t>
            </w:r>
          </w:p>
        </w:tc>
        <w:tc>
          <w:tcPr>
            <w:tcW w:type="dxa" w:w="1838"/>
            <w:tcMar>
              <w:top w:type="dxa" w:w="15"/>
              <w:left w:type="dxa" w:w="80"/>
              <w:bottom w:type="dxa" w:w="15"/>
              <w:right w:type="dxa" w:w="80"/>
            </w:tcMar>
            <w:vAlign w:val="top"/>
          </w:tcPr>
          <w:p>
            <w:r>
              <w:rPr>
                <w:b/>
                <w:bCs/>
                <w:color w:val="4D4D4F"/>
                <w:sz w:val="15"/>
                <w:szCs w:val="15"/>
              </w:rPr>
              <w:t xml:space="preserve">MIT · others</w:t>
            </w:r>
          </w:p>
        </w:tc>
      </w:tr>
      <w:tr>
        <w:trPr>
          <w:cantSplit/>
        </w:trPr>
        <w:tc>
          <w:tcPr>
            <w:tcW w:type="dxa" w:w="600"/>
            <w:shd w:fill="F7F9FC" w:color="auto" w:val="clear"/>
            <w:tcMar>
              <w:top w:type="dxa" w:w="15"/>
              <w:left w:type="dxa" w:w="80"/>
              <w:bottom w:type="dxa" w:w="15"/>
              <w:right w:type="dxa" w:w="80"/>
            </w:tcMar>
            <w:vAlign w:val="top"/>
          </w:tcPr>
          <w:p>
            <w:r>
              <w:rPr>
                <w:b/>
                <w:bCs/>
                <w:color w:val="215CAF"/>
                <w:sz w:val="15"/>
                <w:szCs w:val="15"/>
              </w:rPr>
              <w:t xml:space="preserve">E1</w:t>
            </w:r>
          </w:p>
        </w:tc>
        <w:tc>
          <w:tcPr>
            <w:tcW w:type="dxa" w:w="3300"/>
            <w:shd w:fill="F7F9FC" w:color="auto" w:val="clear"/>
            <w:tcMar>
              <w:top w:type="dxa" w:w="15"/>
              <w:left w:type="dxa" w:w="80"/>
              <w:bottom w:type="dxa" w:w="15"/>
              <w:right w:type="dxa" w:w="80"/>
            </w:tcMar>
            <w:vAlign w:val="top"/>
          </w:tcPr>
          <w:p>
            <w:r>
              <w:rPr>
                <w:sz w:val="15"/>
                <w:szCs w:val="15"/>
              </w:rPr>
              <w:t xml:space="preserve">Fischer, Sippel &amp; Knutti (2021)</w:t>
            </w:r>
          </w:p>
        </w:tc>
        <w:tc>
          <w:tcPr>
            <w:tcW w:type="dxa" w:w="3900"/>
            <w:shd w:fill="F7F9FC" w:color="auto" w:val="clear"/>
            <w:tcMar>
              <w:top w:type="dxa" w:w="15"/>
              <w:left w:type="dxa" w:w="80"/>
              <w:bottom w:type="dxa" w:w="15"/>
              <w:right w:type="dxa" w:w="80"/>
            </w:tcMar>
            <w:vAlign w:val="top"/>
          </w:tcPr>
          <w:p>
            <w:r>
              <w:rPr>
                <w:sz w:val="15"/>
                <w:szCs w:val="15"/>
              </w:rPr>
              <w:t xml:space="preserve">Nat. Clim. Change 2021</w:t>
            </w:r>
          </w:p>
        </w:tc>
        <w:tc>
          <w:tcPr>
            <w:tcW w:type="dxa" w:w="1838"/>
            <w:shd w:fill="F7F9FC" w:color="auto" w:val="clear"/>
            <w:tcMar>
              <w:top w:type="dxa" w:w="15"/>
              <w:left w:type="dxa" w:w="80"/>
              <w:bottom w:type="dxa" w:w="15"/>
              <w:right w:type="dxa" w:w="80"/>
            </w:tcMar>
            <w:vAlign w:val="top"/>
          </w:tcPr>
          <w:p>
            <w:r>
              <w:rPr>
                <w:b/>
                <w:bCs/>
                <w:color w:val="215CAF"/>
                <w:sz w:val="15"/>
                <w:szCs w:val="15"/>
              </w:rPr>
              <w:t xml:space="preserve">ETH Zürich</w:t>
            </w:r>
          </w:p>
        </w:tc>
      </w:tr>
      <w:tr>
        <w:trPr>
          <w:cantSplit/>
        </w:trPr>
        <w:tc>
          <w:tcPr>
            <w:tcW w:type="dxa" w:w="600"/>
            <w:tcMar>
              <w:top w:type="dxa" w:w="15"/>
              <w:left w:type="dxa" w:w="80"/>
              <w:bottom w:type="dxa" w:w="15"/>
              <w:right w:type="dxa" w:w="80"/>
            </w:tcMar>
            <w:vAlign w:val="top"/>
          </w:tcPr>
          <w:p>
            <w:r>
              <w:rPr>
                <w:b/>
                <w:bCs/>
                <w:color w:val="215CAF"/>
                <w:sz w:val="15"/>
                <w:szCs w:val="15"/>
              </w:rPr>
              <w:t xml:space="preserve">E2</w:t>
            </w:r>
          </w:p>
        </w:tc>
        <w:tc>
          <w:tcPr>
            <w:tcW w:type="dxa" w:w="3300"/>
            <w:tcMar>
              <w:top w:type="dxa" w:w="15"/>
              <w:left w:type="dxa" w:w="80"/>
              <w:bottom w:type="dxa" w:w="15"/>
              <w:right w:type="dxa" w:w="80"/>
            </w:tcMar>
            <w:vAlign w:val="top"/>
          </w:tcPr>
          <w:p>
            <w:r>
              <w:rPr>
                <w:sz w:val="15"/>
                <w:szCs w:val="15"/>
              </w:rPr>
              <w:t xml:space="preserve">Wabersich &amp; Zeilinger (2023)</w:t>
            </w:r>
          </w:p>
        </w:tc>
        <w:tc>
          <w:tcPr>
            <w:tcW w:type="dxa" w:w="3900"/>
            <w:tcMar>
              <w:top w:type="dxa" w:w="15"/>
              <w:left w:type="dxa" w:w="80"/>
              <w:bottom w:type="dxa" w:w="15"/>
              <w:right w:type="dxa" w:w="80"/>
            </w:tcMar>
            <w:vAlign w:val="top"/>
          </w:tcPr>
          <w:p>
            <w:r>
              <w:rPr>
                <w:sz w:val="15"/>
                <w:szCs w:val="15"/>
              </w:rPr>
              <w:t xml:space="preserve">IEEE Trans. Autom. Control 2023</w:t>
            </w:r>
          </w:p>
        </w:tc>
        <w:tc>
          <w:tcPr>
            <w:tcW w:type="dxa" w:w="1838"/>
            <w:tcMar>
              <w:top w:type="dxa" w:w="15"/>
              <w:left w:type="dxa" w:w="80"/>
              <w:bottom w:type="dxa" w:w="15"/>
              <w:right w:type="dxa" w:w="80"/>
            </w:tcMar>
            <w:vAlign w:val="top"/>
          </w:tcPr>
          <w:p>
            <w:r>
              <w:rPr>
                <w:b/>
                <w:bCs/>
                <w:color w:val="215CAF"/>
                <w:sz w:val="15"/>
                <w:szCs w:val="15"/>
              </w:rPr>
              <w:t xml:space="preserve">ETH Zürich</w:t>
            </w:r>
          </w:p>
        </w:tc>
      </w:tr>
      <w:tr>
        <w:trPr>
          <w:cantSplit/>
        </w:trPr>
        <w:tc>
          <w:tcPr>
            <w:tcW w:type="dxa" w:w="600"/>
            <w:shd w:fill="F7F9FC" w:color="auto" w:val="clear"/>
            <w:tcMar>
              <w:top w:type="dxa" w:w="15"/>
              <w:left w:type="dxa" w:w="80"/>
              <w:bottom w:type="dxa" w:w="15"/>
              <w:right w:type="dxa" w:w="80"/>
            </w:tcMar>
            <w:vAlign w:val="top"/>
          </w:tcPr>
          <w:p>
            <w:r>
              <w:rPr>
                <w:b/>
                <w:bCs/>
                <w:color w:val="215CAF"/>
                <w:sz w:val="15"/>
                <w:szCs w:val="15"/>
              </w:rPr>
              <w:t xml:space="preserve">E3</w:t>
            </w:r>
          </w:p>
        </w:tc>
        <w:tc>
          <w:tcPr>
            <w:tcW w:type="dxa" w:w="3300"/>
            <w:shd w:fill="F7F9FC" w:color="auto" w:val="clear"/>
            <w:tcMar>
              <w:top w:type="dxa" w:w="15"/>
              <w:left w:type="dxa" w:w="80"/>
              <w:bottom w:type="dxa" w:w="15"/>
              <w:right w:type="dxa" w:w="80"/>
            </w:tcMar>
            <w:vAlign w:val="top"/>
          </w:tcPr>
          <w:p>
            <w:r>
              <w:rPr>
                <w:sz w:val="15"/>
                <w:szCs w:val="15"/>
              </w:rPr>
              <w:t xml:space="preserve">Barretto-García, de Hollander, Grueschow, Polanía, Woodford &amp; Ruff (2023)</w:t>
            </w:r>
          </w:p>
        </w:tc>
        <w:tc>
          <w:tcPr>
            <w:tcW w:type="dxa" w:w="3900"/>
            <w:shd w:fill="F7F9FC" w:color="auto" w:val="clear"/>
            <w:tcMar>
              <w:top w:type="dxa" w:w="15"/>
              <w:left w:type="dxa" w:w="80"/>
              <w:bottom w:type="dxa" w:w="15"/>
              <w:right w:type="dxa" w:w="80"/>
            </w:tcMar>
            <w:vAlign w:val="top"/>
          </w:tcPr>
          <w:p>
            <w:r>
              <w:rPr>
                <w:sz w:val="15"/>
                <w:szCs w:val="15"/>
              </w:rPr>
              <w:t xml:space="preserve">Nat. Hum. Behav. 2023</w:t>
            </w:r>
          </w:p>
        </w:tc>
        <w:tc>
          <w:tcPr>
            <w:tcW w:type="dxa" w:w="1838"/>
            <w:shd w:fill="F7F9FC" w:color="auto" w:val="clear"/>
            <w:tcMar>
              <w:top w:type="dxa" w:w="15"/>
              <w:left w:type="dxa" w:w="80"/>
              <w:bottom w:type="dxa" w:w="15"/>
              <w:right w:type="dxa" w:w="80"/>
            </w:tcMar>
            <w:vAlign w:val="top"/>
          </w:tcPr>
          <w:p>
            <w:r>
              <w:rPr>
                <w:b/>
                <w:bCs/>
                <w:color w:val="215CAF"/>
                <w:sz w:val="15"/>
                <w:szCs w:val="15"/>
              </w:rPr>
              <w:t xml:space="preserve">ETH Zürich · UZH</w:t>
            </w:r>
          </w:p>
        </w:tc>
      </w:tr>
      <w:tr>
        <w:trPr>
          <w:cantSplit/>
        </w:trPr>
        <w:tc>
          <w:tcPr>
            <w:tcW w:type="dxa" w:w="600"/>
            <w:tcMar>
              <w:top w:type="dxa" w:w="15"/>
              <w:left w:type="dxa" w:w="80"/>
              <w:bottom w:type="dxa" w:w="15"/>
              <w:right w:type="dxa" w:w="80"/>
            </w:tcMar>
            <w:vAlign w:val="top"/>
          </w:tcPr>
          <w:p>
            <w:r>
              <w:rPr>
                <w:b/>
                <w:bCs/>
                <w:color w:val="215CAF"/>
                <w:sz w:val="15"/>
                <w:szCs w:val="15"/>
              </w:rPr>
              <w:t xml:space="preserve">E4</w:t>
            </w:r>
          </w:p>
        </w:tc>
        <w:tc>
          <w:tcPr>
            <w:tcW w:type="dxa" w:w="3300"/>
            <w:tcMar>
              <w:top w:type="dxa" w:w="15"/>
              <w:left w:type="dxa" w:w="80"/>
              <w:bottom w:type="dxa" w:w="15"/>
              <w:right w:type="dxa" w:w="80"/>
            </w:tcMar>
            <w:vAlign w:val="top"/>
          </w:tcPr>
          <w:p>
            <w:r>
              <w:rPr>
                <w:sz w:val="15"/>
                <w:szCs w:val="15"/>
              </w:rPr>
              <w:t xml:space="preserve">Cologna, Meiler et al. (TISP) (2025)</w:t>
            </w:r>
          </w:p>
        </w:tc>
        <w:tc>
          <w:tcPr>
            <w:tcW w:type="dxa" w:w="3900"/>
            <w:tcMar>
              <w:top w:type="dxa" w:w="15"/>
              <w:left w:type="dxa" w:w="80"/>
              <w:bottom w:type="dxa" w:w="15"/>
              <w:right w:type="dxa" w:w="80"/>
            </w:tcMar>
            <w:vAlign w:val="top"/>
          </w:tcPr>
          <w:p>
            <w:r>
              <w:rPr>
                <w:sz w:val="15"/>
                <w:szCs w:val="15"/>
              </w:rPr>
              <w:t xml:space="preserve">Nat. Clim. Change 2025</w:t>
            </w:r>
          </w:p>
        </w:tc>
        <w:tc>
          <w:tcPr>
            <w:tcW w:type="dxa" w:w="1838"/>
            <w:tcMar>
              <w:top w:type="dxa" w:w="15"/>
              <w:left w:type="dxa" w:w="80"/>
              <w:bottom w:type="dxa" w:w="15"/>
              <w:right w:type="dxa" w:w="80"/>
            </w:tcMar>
            <w:vAlign w:val="top"/>
          </w:tcPr>
          <w:p>
            <w:r>
              <w:rPr>
                <w:b/>
                <w:bCs/>
                <w:color w:val="215CAF"/>
                <w:sz w:val="15"/>
                <w:szCs w:val="15"/>
              </w:rPr>
              <w:t xml:space="preserve">ETH Zürich · Harvard · UZH</w:t>
            </w:r>
          </w:p>
        </w:tc>
      </w:tr>
      <w:tr>
        <w:trPr>
          <w:cantSplit/>
        </w:trPr>
        <w:tc>
          <w:tcPr>
            <w:tcW w:type="dxa" w:w="600"/>
            <w:shd w:fill="F7F9FC" w:color="auto" w:val="clear"/>
            <w:tcMar>
              <w:top w:type="dxa" w:w="15"/>
              <w:left w:type="dxa" w:w="80"/>
              <w:bottom w:type="dxa" w:w="15"/>
              <w:right w:type="dxa" w:w="80"/>
            </w:tcMar>
            <w:vAlign w:val="top"/>
          </w:tcPr>
          <w:p>
            <w:r>
              <w:rPr>
                <w:b/>
                <w:bCs/>
                <w:color w:val="215CAF"/>
                <w:sz w:val="15"/>
                <w:szCs w:val="15"/>
              </w:rPr>
              <w:t xml:space="preserve">E5</w:t>
            </w:r>
          </w:p>
        </w:tc>
        <w:tc>
          <w:tcPr>
            <w:tcW w:type="dxa" w:w="3300"/>
            <w:shd w:fill="F7F9FC" w:color="auto" w:val="clear"/>
            <w:tcMar>
              <w:top w:type="dxa" w:w="15"/>
              <w:left w:type="dxa" w:w="80"/>
              <w:bottom w:type="dxa" w:w="15"/>
              <w:right w:type="dxa" w:w="80"/>
            </w:tcMar>
            <w:vAlign w:val="top"/>
          </w:tcPr>
          <w:p>
            <w:r>
              <w:rPr>
                <w:sz w:val="15"/>
                <w:szCs w:val="15"/>
              </w:rPr>
              <w:t xml:space="preserve">Ciullo, Strobl, Meiler, Martius &amp; Bresch (2023)</w:t>
            </w:r>
          </w:p>
        </w:tc>
        <w:tc>
          <w:tcPr>
            <w:tcW w:type="dxa" w:w="3900"/>
            <w:shd w:fill="F7F9FC" w:color="auto" w:val="clear"/>
            <w:tcMar>
              <w:top w:type="dxa" w:w="15"/>
              <w:left w:type="dxa" w:w="80"/>
              <w:bottom w:type="dxa" w:w="15"/>
              <w:right w:type="dxa" w:w="80"/>
            </w:tcMar>
            <w:vAlign w:val="top"/>
          </w:tcPr>
          <w:p>
            <w:r>
              <w:rPr>
                <w:sz w:val="15"/>
                <w:szCs w:val="15"/>
              </w:rPr>
              <w:t xml:space="preserve">Nat. Commun. 2023</w:t>
            </w:r>
          </w:p>
        </w:tc>
        <w:tc>
          <w:tcPr>
            <w:tcW w:type="dxa" w:w="1838"/>
            <w:shd w:fill="F7F9FC" w:color="auto" w:val="clear"/>
            <w:tcMar>
              <w:top w:type="dxa" w:w="15"/>
              <w:left w:type="dxa" w:w="80"/>
              <w:bottom w:type="dxa" w:w="15"/>
              <w:right w:type="dxa" w:w="80"/>
            </w:tcMar>
            <w:vAlign w:val="top"/>
          </w:tcPr>
          <w:p>
            <w:r>
              <w:rPr>
                <w:b/>
                <w:bCs/>
                <w:color w:val="215CAF"/>
                <w:sz w:val="15"/>
                <w:szCs w:val="15"/>
              </w:rPr>
              <w:t xml:space="preserve">ETH Zürich · Bern</w:t>
            </w:r>
          </w:p>
        </w:tc>
      </w:tr>
    </w:tbl>
    <w:p>
      <w:pPr>
        <w:spacing w:after="160"/>
      </w:pPr>
    </w:p>
    <w:p>
      <w:pPr>
        <w:pStyle w:val="Heading1"/>
      </w:pPr>
      <w:r>
        <w:rPr>
          <w:color w:val="002147"/>
        </w:rPr>
        <w:t xml:space="preserve">4. University of Oxford</w:t>
      </w:r>
    </w:p>
    <w:p>
      <w:pPr>
        <w:spacing w:after="120"/>
        <w:jc w:val="both"/>
      </w:pPr>
      <w:r>
        <w:t xml:space="preserve">Five Oxford papers. Johannes Abeler, David Huffman and Collin Raymond show that complex incentives leave some attributes unprocessed [O1]; Keno Juechems, Jan Balaguer, Bernhard Spitzer and Christopher Summerfield derive distortions of value and probability as optimal for noisy agents [O2]; Ondrej Zika, Katja Wiech, Andrea Reinecke, Michael Browning and Nicolas Schuck link trait anxiety to hidden-state inference [O3]; Anna Murgatroyd, Jim Hall and co-authors test a 1-in-500-year drought standard for England's water supply [O4]; and Luca Ferretti, Chris Wymant, Christophe Fraser and co-authors calibrate a digital exposure score on 7 million contacts [O5].</w:t>
      </w:r>
    </w:p>
    <w:p>
      <w:pPr>
        <w:keepNext/>
        <w:pBdr>
          <w:top w:val="single" w:color="002147" w:sz="6" w:space="4"/>
        </w:pBdr>
        <w:spacing w:after="60" w:before="220"/>
      </w:pPr>
      <w:r>
        <w:rPr>
          <w:b/>
          <w:bCs/>
          <w:color w:val="002147"/>
          <w:sz w:val="23"/>
          <w:szCs w:val="23"/>
        </w:rPr>
        <w:t xml:space="preserve">O1  </w:t>
      </w:r>
      <w:r>
        <w:rPr>
          <w:b/>
          <w:bCs/>
          <w:color w:val="1F3864"/>
          <w:sz w:val="23"/>
          <w:szCs w:val="23"/>
        </w:rPr>
        <w:t xml:space="preserve">Incentive Complexity, Bounded Rationality, and Effort Provision</w:t>
      </w:r>
    </w:p>
    <w:p>
      <w:pPr>
        <w:keepNext/>
        <w:spacing w:after="60" w:line="240" w:lineRule="auto"/>
      </w:pPr>
      <w:r>
        <w:rPr>
          <w:b/>
          <w:bCs/>
          <w:color w:val="333B47"/>
          <w:sz w:val="15"/>
          <w:szCs w:val="15"/>
        </w:rPr>
        <w:t xml:space="preserve">Authors: </w:t>
      </w:r>
      <w:r>
        <w:rPr>
          <w:sz w:val="15"/>
          <w:szCs w:val="15"/>
        </w:rPr>
        <w:t xml:space="preserve">Johannes Abeler, David B. Huffman, Collin Raymond</w:t>
      </w:r>
      <w:r>
        <w:rPr>
          <w:sz w:val="15"/>
          <w:szCs w:val="15"/>
        </w:rPr>
        <w:t xml:space="preserve">   </w:t>
      </w:r>
      <w:r>
        <w:rPr>
          <w:b/>
          <w:bCs/>
          <w:color w:val="333B47"/>
          <w:sz w:val="15"/>
          <w:szCs w:val="15"/>
        </w:rPr>
        <w:t xml:space="preserve">Published in: </w:t>
      </w:r>
      <w:r>
        <w:rPr>
          <w:sz w:val="15"/>
          <w:szCs w:val="15"/>
        </w:rPr>
        <w:t xml:space="preserve">American Economic Review, 115(12), 4404–4437 (December 2025); earlier Oxford Department of Economics Discussion Paper 1012 (June 2023)</w:t>
      </w:r>
      <w:r>
        <w:rPr>
          <w:sz w:val="15"/>
          <w:szCs w:val="15"/>
        </w:rPr>
        <w:t xml:space="preserve">   </w:t>
      </w:r>
      <w:r>
        <w:rPr>
          <w:b/>
          <w:bCs/>
          <w:color w:val="333B47"/>
          <w:sz w:val="15"/>
          <w:szCs w:val="15"/>
        </w:rPr>
        <w:t xml:space="preserve">Link: </w:t>
      </w:r>
      <w:hyperlink w:history="1" r:id="rIdenvcvexvs-lyx886e0vet">
        <w:r>
          <w:rPr>
            <w:color w:val="1D4ED8"/>
            <w:sz w:val="15"/>
            <w:szCs w:val="15"/>
            <w:u w:val="single"/>
          </w:rPr>
          <w:t xml:space="preserve">https://doi.org/10.1257/aer.20230751</w:t>
        </w:r>
      </w:hyperlink>
    </w:p>
    <w:p>
      <w:pPr>
        <w:keepNext/>
        <w:spacing w:after="80" w:line="240" w:lineRule="auto"/>
      </w:pPr>
      <w:r>
        <w:rPr>
          <w:b/>
          <w:bCs/>
          <w:color w:val="333B47"/>
          <w:sz w:val="15"/>
          <w:szCs w:val="15"/>
        </w:rPr>
        <w:t xml:space="preserve">Affiliation: </w:t>
      </w:r>
      <w:r>
        <w:rPr>
          <w:color w:val="3A4350"/>
          <w:sz w:val="15"/>
          <w:szCs w:val="15"/>
        </w:rPr>
        <w:t xml:space="preserve">Johannes Abeler, Department of Economics, University of Oxford: the paper is listed on the Oxford Economics web pages and appeared as Oxford Department of Economics Discussion Paper 1012 with an Oxford Research Archive record (search results). A Cornell news story (Dec 2025) reports the work of Huffman and Raymond; their affiliations at the time were not checked further.</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(4/5)</w:t>
      </w:r>
    </w:p>
    <w:p>
      <w:pPr>
        <w:spacing w:after="60"/>
        <w:jc w:val="both"/>
      </w:pPr>
      <w:r>
        <w:rPr>
          <w:b/>
          <w:bCs/>
          <w:color w:val="002147"/>
          <w:sz w:val="17"/>
          <w:szCs w:val="17"/>
        </w:rPr>
        <w:t xml:space="preserve">Summary. </w:t>
      </w:r>
      <w:r>
        <w:rPr>
          <w:sz w:val="17"/>
          <w:szCs w:val="17"/>
        </w:rPr>
        <w:t xml:space="preserve">Real incentive schemes are often complex, and workers may not process every attribute. Combining field experiments with about 3 000 warehouse workers and online laboratory experiments, the authors study a ratchet incentive, in which high effort today raises future targets. Under the firm's complex scheme, effort responded strongly to incentives but the ratchet effect (holding back effort to keep targets low) was very small; a simplified version produced a strong ratchet effect in the laboratory. The mechanism is opacity: some attributes of a complex scheme are not taken into account. Workers then over-provide effort relative to the rational benchmark, raising efficiency; even small degrees of opacity shift behaviour substantially.</w:t>
      </w:r>
    </w:p>
    <w:p>
      <w:pPr>
        <w:keepNext/>
        <w:spacing w:after="20" w:before="40"/>
      </w:pPr>
      <w:r>
        <w:rPr>
          <w:b/>
          <w:bCs/>
          <w:color w:val="002147"/>
          <w:sz w:val="17"/>
          <w:szCs w:val="17"/>
        </w:rPr>
        <w:t xml:space="preserve">Key equation.</w:t>
      </w:r>
      <w:r>
        <w:rPr>
          <w:i/>
          <w:iCs/>
          <w:color w:val="5B6573"/>
          <w:sz w:val="15"/>
          <w:szCs w:val="15"/>
        </w:rPr>
        <w:t xml:space="preserve">  Effort choice when a fraction of the ratchet attribute is opaque to the worker (representative formulation)</w:t>
      </w:r>
    </w:p>
    <w:p>
      <w:pPr>
        <w:pStyle w:val="Equation"/>
      </w:pPr>
      <m:oMathPara>
        <m:oMathParaPr>
          <m:jc m:val="center"/>
        </m:oMathParaPr>
        <m:oMath>
          <m:sSup>
            <m:e>
              <m:r>
                <m:t>e</m:t>
              </m:r>
            </m:e>
            <m:sup>
              <m:r>
                <m:rPr>
                  <m:sty m:val="p"/>
                </m:rPr>
                <m:t>⋆</m:t>
              </m:r>
            </m:sup>
          </m:sSup>
          <m:r>
            <m:rPr>
              <m:sty m:val="p"/>
            </m:rPr>
            <m:t>=</m:t>
          </m:r>
          <m:r>
            <m:rPr>
              <m:sty m:val="p"/>
            </m:rPr>
            <m:t>arg</m:t>
          </m:r>
          <m:limLow>
            <m:e>
              <m:r>
                <m:rPr>
                  <m:sty m:val="p"/>
                </m:rPr>
                <m:t>max</m:t>
              </m:r>
            </m:e>
            <m:lim>
              <m:r>
                <m:t>e</m:t>
              </m:r>
              <m:r>
                <m:rPr>
                  <m:sty m:val="p"/>
                </m:rPr>
                <m:t>≥</m:t>
              </m:r>
              <m:r>
                <m:t>0</m:t>
              </m:r>
            </m:lim>
          </m:limLow>
          <m:d>
            <m:dPr>
              <m:begChr m:val="{"/>
              <m:sepChr m:val=""/>
              <m:endChr m:val="}"/>
              <m:grow/>
            </m:dPr>
            <m:e>
              <m:r>
                <m:t>π</m:t>
              </m:r>
              <m:d>
                <m:dPr>
                  <m:begChr m:val="("/>
                  <m:sepChr m:val=""/>
                  <m:endChr m:val=")"/>
                  <m:grow/>
                </m:dPr>
                <m:e>
                  <m:r>
                    <m:t>e</m:t>
                  </m:r>
                </m:e>
              </m:d>
              <m:r>
                <m:rPr>
                  <m:sty m:val="p"/>
                </m:rPr>
                <m:t>−</m:t>
              </m:r>
              <m:r>
                <m:t>c</m:t>
              </m:r>
              <m:d>
                <m:dPr>
                  <m:begChr m:val="("/>
                  <m:sepChr m:val=""/>
                  <m:endChr m:val=")"/>
                  <m:grow/>
                </m:dPr>
                <m:e>
                  <m:r>
                    <m:t>e</m:t>
                  </m:r>
                </m:e>
              </m:d>
              <m:r>
                <m:rPr>
                  <m:sty m:val="p"/>
                </m:rPr>
                <m:t>−</m:t>
              </m:r>
              <m:d>
                <m:dPr>
                  <m:begChr m:val="("/>
                  <m:sepChr m:val=""/>
                  <m:endChr m:val=")"/>
                  <m:grow/>
                </m:dPr>
                <m:e>
                  <m:r>
                    <m:t>1</m:t>
                  </m:r>
                  <m:r>
                    <m:rPr>
                      <m:sty m:val="p"/>
                    </m:rPr>
                    <m:t>−</m:t>
                  </m:r>
                  <m:r>
                    <m:t>θ</m:t>
                  </m:r>
                </m:e>
              </m:d>
              <m:r>
                <m:t> </m:t>
              </m:r>
              <m:r>
                <m:t>δ</m:t>
              </m:r>
              <m:r>
                <m:t> </m:t>
              </m:r>
              <m:r>
                <m:t>R</m:t>
              </m:r>
              <m:d>
                <m:dPr>
                  <m:begChr m:val="("/>
                  <m:sepChr m:val=""/>
                  <m:endChr m:val=")"/>
                  <m:grow/>
                </m:dPr>
                <m:e>
                  <m:r>
                    <m:t>e</m:t>
                  </m:r>
                </m:e>
              </m:d>
            </m:e>
          </m:d>
        </m:oMath>
      </m:oMathPara>
    </w:p>
    <w:p>
      <w:pPr>
        <w:spacing w:after="60"/>
        <w:jc w:val="both"/>
      </w:pPr>
      <m:oMath>
        <m:r>
          <m:t>π</m:t>
        </m:r>
        <m:d>
          <m:dPr>
            <m:begChr m:val="("/>
            <m:sepChr m:val=""/>
            <m:endChr m:val=")"/>
            <m:grow/>
          </m:dPr>
          <m:e>
            <m:r>
              <m:t>e</m:t>
            </m:r>
          </m:e>
        </m:d>
      </m:oMath>
      <w:r>
        <w:rPr>
          <w:color w:val="3A4350"/>
          <w:sz w:val="15"/>
          <w:szCs w:val="15"/>
        </w:rPr>
        <w:t xml:space="preserve"> is current pay from effort </w:t>
      </w:r>
      <m:oMath>
        <m:r>
          <m:t>e</m:t>
        </m:r>
      </m:oMath>
      <w:r>
        <w:rPr>
          <w:color w:val="3A4350"/>
          <w:sz w:val="15"/>
          <w:szCs w:val="15"/>
        </w:rPr>
        <w:t xml:space="preserve">, </w:t>
      </w:r>
      <m:oMath>
        <m:r>
          <m:t>c</m:t>
        </m:r>
        <m:d>
          <m:dPr>
            <m:begChr m:val="("/>
            <m:sepChr m:val=""/>
            <m:endChr m:val=")"/>
            <m:grow/>
          </m:dPr>
          <m:e>
            <m:r>
              <m:t>e</m:t>
            </m:r>
          </m:e>
        </m:d>
      </m:oMath>
      <w:r>
        <w:rPr>
          <w:color w:val="3A4350"/>
          <w:sz w:val="15"/>
          <w:szCs w:val="15"/>
        </w:rPr>
        <w:t xml:space="preserve"> the cost of effort, </w:t>
      </w:r>
      <m:oMath>
        <m:r>
          <m:t>R</m:t>
        </m:r>
        <m:d>
          <m:dPr>
            <m:begChr m:val="("/>
            <m:sepChr m:val=""/>
            <m:endChr m:val=")"/>
            <m:grow/>
          </m:dPr>
          <m:e>
            <m:r>
              <m:t>e</m:t>
            </m:r>
          </m:e>
        </m:d>
      </m:oMath>
      <w:r>
        <w:rPr>
          <w:color w:val="3A4350"/>
          <w:sz w:val="15"/>
          <w:szCs w:val="15"/>
        </w:rPr>
        <w:t xml:space="preserve"> the future pay lost because higher effort raises the next target (the ratchet), </w:t>
      </w:r>
      <m:oMath>
        <m:r>
          <m:t>δ</m:t>
        </m:r>
      </m:oMath>
      <w:r>
        <w:rPr>
          <w:color w:val="3A4350"/>
          <w:sz w:val="15"/>
          <w:szCs w:val="15"/>
        </w:rPr>
        <w:t xml:space="preserve"> a discount factor and </w:t>
      </w:r>
      <m:oMath>
        <m:r>
          <m:t>θ</m:t>
        </m:r>
        <m:r>
          <m:rPr>
            <m:sty m:val="p"/>
          </m:rPr>
          <m:t>∈</m:t>
        </m:r>
        <m:d>
          <m:dPr>
            <m:begChr m:val="["/>
            <m:sepChr m:val=""/>
            <m:endChr m:val="]"/>
            <m:grow/>
          </m:dPr>
          <m:e>
            <m:r>
              <m:t>0</m:t>
            </m:r>
            <m:r>
              <m:rPr>
                <m:sty m:val="p"/>
              </m:rPr>
              <m:t>,</m:t>
            </m:r>
            <m:r>
              <m:t>1</m:t>
            </m:r>
          </m:e>
        </m:d>
      </m:oMath>
      <w:r>
        <w:rPr>
          <w:color w:val="3A4350"/>
          <w:sz w:val="15"/>
          <w:szCs w:val="15"/>
        </w:rPr>
        <w:t xml:space="preserve"> the degree of opacity, with </w:t>
      </w:r>
      <m:oMath>
        <m:r>
          <m:t>θ</m:t>
        </m:r>
        <m:r>
          <m:rPr>
            <m:sty m:val="p"/>
          </m:rPr>
          <m:t>=</m:t>
        </m:r>
        <m:r>
          <m:t>1</m:t>
        </m:r>
      </m:oMath>
      <w:r>
        <w:rPr>
          <w:color w:val="3A4350"/>
          <w:sz w:val="15"/>
          <w:szCs w:val="15"/>
        </w:rPr>
        <w:t xml:space="preserve"> meaning the ratchet is ignored.</w:t>
      </w:r>
    </w:p>
    <w:p>
      <w:pPr>
        <w:spacing w:after="60"/>
        <w:jc w:val="both"/>
      </w:pPr>
      <w:r>
        <w:rPr>
          <w:b/>
          <w:bCs/>
          <w:color w:val="002147"/>
          <w:sz w:val="17"/>
          <w:szCs w:val="17"/>
        </w:rPr>
        <w:t xml:space="preserve">Link to the Fushë-Kuqe stakeholders. </w:t>
      </w:r>
      <w:r>
        <w:rPr>
          <w:sz w:val="17"/>
          <w:szCs w:val="17"/>
        </w:rPr>
        <w:t xml:space="preserve">Belongs to theme 2. Fushë-Kuqe irrigators, hotels and well operators only partly process licence and tariff rules. A drought surcharge, or a clause tying next year's licence to this year's pumping, will be discounted if buried in a complex scheme. Clauses that must bite in a drought (cut-backs near A1 and P10) should be simple and visible.</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Published in the American Economic Review (2025), with a registered trial in the AEA RCT Registry (trial 11427), it shows in the field and the laboratory that complexity changes behaviour in a predictable direction: opaque attributes become inert. Bounded rationality becomes a measurable design parameter rather than an excuse.</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experiments concern effort on routine tasks in normal conditions. It is open whether opacity persists or collapses under stress and scarcity, for example when a drought makes a licence ratchet salient, and how much behavioural slack a groundwater rule should then budget for.</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an opacity mechanism by which complex incentives make some attributes inert and change the welfare sign of complexity. Proposed extension: present irrigators and hotel managers with a simple and a complex drought tariff (with a ratchet on next year's allocation) in a framed experiment, estimate the opacity </w:t>
      </w:r>
      <m:oMath>
        <m:r>
          <m:t>θ</m:t>
        </m:r>
      </m:oMath>
      <w:r>
        <w:rPr>
          <w:sz w:val="17"/>
          <w:szCs w:val="17"/>
        </w:rPr>
        <w:t xml:space="preserve">, and feed the implied over- or under-pumping into the 20 000 weighted draws to size the human-error margin of the 10% chloride rule.</w:t>
      </w:r>
    </w:p>
    <w:p>
      <w:pPr>
        <w:keepNext/>
        <w:pBdr>
          <w:top w:val="single" w:color="002147" w:sz="6" w:space="4"/>
        </w:pBdr>
        <w:spacing w:after="60" w:before="220"/>
      </w:pPr>
      <w:r>
        <w:rPr>
          <w:b/>
          <w:bCs/>
          <w:color w:val="002147"/>
          <w:sz w:val="23"/>
          <w:szCs w:val="23"/>
        </w:rPr>
        <w:t xml:space="preserve">O2  </w:t>
      </w:r>
      <w:r>
        <w:rPr>
          <w:b/>
          <w:bCs/>
          <w:color w:val="1F3864"/>
          <w:sz w:val="23"/>
          <w:szCs w:val="23"/>
        </w:rPr>
        <w:t xml:space="preserve">Optimal utility and probability functions for agents with finite computational precision</w:t>
      </w:r>
    </w:p>
    <w:p>
      <w:pPr>
        <w:keepNext/>
        <w:spacing w:after="60" w:line="240" w:lineRule="auto"/>
      </w:pPr>
      <w:r>
        <w:rPr>
          <w:b/>
          <w:bCs/>
          <w:color w:val="333B47"/>
          <w:sz w:val="15"/>
          <w:szCs w:val="15"/>
        </w:rPr>
        <w:t xml:space="preserve">Authors: </w:t>
      </w:r>
      <w:r>
        <w:rPr>
          <w:sz w:val="15"/>
          <w:szCs w:val="15"/>
        </w:rPr>
        <w:t xml:space="preserve">Keno Juechems, Jan Balaguer, Bernhard Spitzer, Christopher Summerfield</w:t>
      </w:r>
      <w:r>
        <w:rPr>
          <w:sz w:val="15"/>
          <w:szCs w:val="15"/>
        </w:rPr>
        <w:t xml:space="preserve">   </w:t>
      </w:r>
      <w:r>
        <w:rPr>
          <w:b/>
          <w:bCs/>
          <w:color w:val="333B47"/>
          <w:sz w:val="15"/>
          <w:szCs w:val="15"/>
        </w:rPr>
        <w:t xml:space="preserve">Published in: </w:t>
      </w:r>
      <w:r>
        <w:rPr>
          <w:sz w:val="15"/>
          <w:szCs w:val="15"/>
        </w:rPr>
        <w:t xml:space="preserve">Proceedings of the National Academy of Sciences of the USA, 118(2), e2002232118 (2021; published online 30 December 2020)</w:t>
      </w:r>
      <w:r>
        <w:rPr>
          <w:sz w:val="15"/>
          <w:szCs w:val="15"/>
        </w:rPr>
        <w:t xml:space="preserve">   </w:t>
      </w:r>
      <w:r>
        <w:rPr>
          <w:b/>
          <w:bCs/>
          <w:color w:val="333B47"/>
          <w:sz w:val="15"/>
          <w:szCs w:val="15"/>
        </w:rPr>
        <w:t xml:space="preserve">Link: </w:t>
      </w:r>
      <w:hyperlink w:history="1" r:id="rIdxori4xo071flqqy3mh__2">
        <w:r>
          <w:rPr>
            <w:color w:val="1D4ED8"/>
            <w:sz w:val="15"/>
            <w:szCs w:val="15"/>
            <w:u w:val="single"/>
          </w:rPr>
          <w:t xml:space="preserve">https://doi.org/10.1073/pnas.2002232118</w:t>
        </w:r>
      </w:hyperlink>
    </w:p>
    <w:p>
      <w:pPr>
        <w:keepNext/>
        <w:spacing w:after="80" w:line="240" w:lineRule="auto"/>
      </w:pPr>
      <w:r>
        <w:rPr>
          <w:b/>
          <w:bCs/>
          <w:color w:val="333B47"/>
          <w:sz w:val="15"/>
          <w:szCs w:val="15"/>
        </w:rPr>
        <w:t xml:space="preserve">Affiliation: </w:t>
      </w:r>
      <w:r>
        <w:rPr>
          <w:color w:val="3A4350"/>
          <w:sz w:val="15"/>
          <w:szCs w:val="15"/>
        </w:rPr>
        <w:t xml:space="preserve">Christopher Summerfield, Department of Experimental Psychology, University of Oxford (a Fondation pour l'Audition lab page); the paper is deposited in the Oxford Research Archive and listed on the Oxford Neuroscience publication pages (search results). Spitzer's listing is at the Max Planck Institute for Human Development, Berlin; other authors' departments not verified.</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(4/5)</w:t>
      </w:r>
    </w:p>
    <w:p>
      <w:pPr>
        <w:spacing w:after="60"/>
        <w:jc w:val="both"/>
      </w:pPr>
      <w:r>
        <w:rPr>
          <w:b/>
          <w:bCs/>
          <w:color w:val="002147"/>
          <w:sz w:val="17"/>
          <w:szCs w:val="17"/>
        </w:rPr>
        <w:t xml:space="preserve">Summary. </w:t>
      </w:r>
      <w:r>
        <w:rPr>
          <w:sz w:val="17"/>
          <w:szCs w:val="17"/>
        </w:rPr>
        <w:t xml:space="preserve">People act as if their internal values were distorted: utility and probability are transformed in the ways described by prospect theory, so choices seem not to maximise reward and preferences can reverse. The authors start from the premise that decisions are computed with finite precision, so internal values are corrupted by noise. They show that, for such an agent, the distortions of value and probability that humans display are approximately optimal: they maximise reward and minimise uncertainty given the noise. In two experiments they manipulate factors that change the reward-maximising form of distortion, and in each case people adapt their distortions in the optimal direction.</w:t>
      </w:r>
    </w:p>
    <w:p>
      <w:pPr>
        <w:keepNext/>
        <w:spacing w:after="20" w:before="40"/>
      </w:pPr>
      <w:r>
        <w:rPr>
          <w:b/>
          <w:bCs/>
          <w:color w:val="002147"/>
          <w:sz w:val="17"/>
          <w:szCs w:val="17"/>
        </w:rPr>
        <w:t xml:space="preserve">Key equation.</w:t>
      </w:r>
      <w:r>
        <w:rPr>
          <w:i/>
          <w:iCs/>
          <w:color w:val="5B6573"/>
          <w:sz w:val="15"/>
          <w:szCs w:val="15"/>
        </w:rPr>
        <w:t xml:space="preserve">  Choosing value and probability transforms to maximise reward when every valuation is noisy (representative formulation)</w:t>
      </w:r>
    </w:p>
    <w:p>
      <w:pPr>
        <w:pStyle w:val="Equation"/>
      </w:pPr>
      <m:oMathPara>
        <m:oMathParaPr>
          <m:jc m:val="center"/>
        </m:oMathParaPr>
        <m:oMath>
          <m:limLow>
            <m:e>
              <m:r>
                <m:rPr>
                  <m:sty m:val="p"/>
                </m:rPr>
                <m:t>max</m:t>
              </m:r>
            </m:e>
            <m:lim>
              <m:r>
                <m:t>u</m:t>
              </m:r>
              <m:r>
                <m:rPr>
                  <m:sty m:val="p"/>
                </m:rPr>
                <m:t>,</m:t>
              </m:r>
              <m:r>
                <m:t> </m:t>
              </m:r>
              <m:r>
                <m:t>w</m:t>
              </m:r>
            </m:lim>
          </m:limLow>
          <m:r>
            <m:rPr>
              <m:scr m:val="double-struck"/>
              <m:sty m:val="p"/>
            </m:rPr>
            <m:t>E</m:t>
          </m:r>
          <m:d>
            <m:dPr>
              <m:begChr m:val="["/>
              <m:sepChr m:val=""/>
              <m:endChr m:val="]"/>
              <m:grow/>
            </m:dPr>
            <m:e>
              <m:sSub>
                <m:e>
                  <m:r>
                    <m:t>p</m:t>
                  </m:r>
                </m:e>
                <m:sub>
                  <m:r>
                    <m:t>c</m:t>
                  </m:r>
                </m:sub>
              </m:sSub>
              <m:r>
                <m:t> </m:t>
              </m:r>
              <m:sSub>
                <m:e>
                  <m:r>
                    <m:t>x</m:t>
                  </m:r>
                </m:e>
                <m:sub>
                  <m:r>
                    <m:t>c</m:t>
                  </m:r>
                </m:sub>
              </m:sSub>
            </m:e>
          </m:d>
          <m:r>
            <m:rPr>
              <m:sty m:val="p"/>
            </m:rPr>
            <m:t>,</m:t>
          </m:r>
          <m:r>
            <m:t> </m:t>
          </m:r>
          <m:r>
            <m:t>c</m:t>
          </m:r>
          <m:r>
            <m:rPr>
              <m:sty m:val="p"/>
            </m:rPr>
            <m:t>=</m:t>
          </m:r>
          <m:r>
            <m:rPr>
              <m:sty m:val="p"/>
            </m:rPr>
            <m:t>arg</m:t>
          </m:r>
          <m:limLow>
            <m:e>
              <m:r>
                <m:rPr>
                  <m:sty m:val="p"/>
                </m:rPr>
                <m:t>max</m:t>
              </m:r>
            </m:e>
            <m:lim>
              <m:r>
                <m:t>k</m:t>
              </m:r>
            </m:lim>
          </m:limLow>
          <m:d>
            <m:dPr>
              <m:begChr m:val="("/>
              <m:sepChr m:val=""/>
              <m:endChr m:val=")"/>
              <m:grow/>
            </m:dPr>
            <m:e>
              <m:r>
                <m:t>w</m:t>
              </m:r>
              <m:d>
                <m:dPr>
                  <m:begChr m:val="("/>
                  <m:sepChr m:val=""/>
                  <m:endChr m:val=")"/>
                  <m:grow/>
                </m:dPr>
                <m:e>
                  <m:sSub>
                    <m:e>
                      <m:r>
                        <m:t>p</m:t>
                      </m:r>
                    </m:e>
                    <m:sub>
                      <m:r>
                        <m:t>k</m:t>
                      </m:r>
                    </m:sub>
                  </m:sSub>
                </m:e>
              </m:d>
              <m:r>
                <m:t> </m:t>
              </m:r>
              <m:r>
                <m:t>u</m:t>
              </m:r>
              <m:d>
                <m:dPr>
                  <m:begChr m:val="("/>
                  <m:sepChr m:val=""/>
                  <m:endChr m:val=")"/>
                  <m:grow/>
                </m:dPr>
                <m:e>
                  <m:sSub>
                    <m:e>
                      <m:r>
                        <m:t>x</m:t>
                      </m:r>
                    </m:e>
                    <m:sub>
                      <m:r>
                        <m:t>k</m:t>
                      </m:r>
                    </m:sub>
                  </m:sSub>
                </m:e>
              </m:d>
              <m:r>
                <m:rPr>
                  <m:sty m:val="p"/>
                </m:rPr>
                <m:t>+</m:t>
              </m:r>
              <m:sSub>
                <m:e>
                  <m:r>
                    <m:t>ε</m:t>
                  </m:r>
                </m:e>
                <m:sub>
                  <m:r>
                    <m:t>k</m:t>
                  </m:r>
                </m:sub>
              </m:sSub>
            </m:e>
          </m:d>
          <m:r>
            <m:rPr>
              <m:sty m:val="p"/>
            </m:rPr>
            <m:t>,</m:t>
          </m:r>
          <m:r>
            <m:t> </m:t>
          </m:r>
          <m:sSub>
            <m:e>
              <m:r>
                <m:t>ε</m:t>
              </m:r>
            </m:e>
            <m:sub>
              <m:r>
                <m:t>k</m:t>
              </m:r>
            </m:sub>
          </m:sSub>
          <m:r>
            <m:rPr>
              <m:sty m:val="p"/>
            </m:rPr>
            <m:t>∼</m:t>
          </m:r>
          <m:r>
            <m:rPr>
              <m:scr m:val="script"/>
              <m:sty m:val="p"/>
            </m:rPr>
            <m:t>N</m:t>
          </m:r>
          <m:d>
            <m:dPr>
              <m:begChr m:val="("/>
              <m:sepChr m:val=""/>
              <m:endChr m:val=")"/>
              <m:grow/>
            </m:dPr>
            <m:e>
              <m:r>
                <m:t>0</m:t>
              </m:r>
              <m:r>
                <m:rPr>
                  <m:sty m:val="p"/>
                </m:rPr>
                <m:t>,</m:t>
              </m:r>
              <m:sSup>
                <m:e>
                  <m:r>
                    <m:t>σ</m:t>
                  </m:r>
                </m:e>
                <m:sup>
                  <m:r>
                    <m:t>2</m:t>
                  </m:r>
                </m:sup>
              </m:sSup>
            </m:e>
          </m:d>
        </m:oMath>
      </m:oMathPara>
    </w:p>
    <w:p>
      <w:pPr>
        <w:spacing w:after="60"/>
        <w:jc w:val="both"/>
      </w:pPr>
      <w:r>
        <w:rPr>
          <w:color w:val="3A4350"/>
          <w:sz w:val="15"/>
          <w:szCs w:val="15"/>
        </w:rPr>
        <w:t xml:space="preserve">The agent chooses a utility transform </w:t>
      </w:r>
      <m:oMath>
        <m:r>
          <m:t>u</m:t>
        </m:r>
      </m:oMath>
      <w:r>
        <w:rPr>
          <w:color w:val="3A4350"/>
          <w:sz w:val="15"/>
          <w:szCs w:val="15"/>
        </w:rPr>
        <w:t xml:space="preserve"> and a probability transform </w:t>
      </w:r>
      <m:oMath>
        <m:r>
          <m:t>w</m:t>
        </m:r>
      </m:oMath>
      <w:r>
        <w:rPr>
          <w:color w:val="3A4350"/>
          <w:sz w:val="15"/>
          <w:szCs w:val="15"/>
        </w:rPr>
        <w:t xml:space="preserve"> within a bounded range so as to maximise the expected reward </w:t>
      </w:r>
      <m:oMath>
        <m:sSub>
          <m:e>
            <m:r>
              <m:t>p</m:t>
            </m:r>
          </m:e>
          <m:sub>
            <m:r>
              <m:t>c</m:t>
            </m:r>
          </m:sub>
        </m:sSub>
        <m:sSub>
          <m:e>
            <m:r>
              <m:t>x</m:t>
            </m:r>
          </m:e>
          <m:sub>
            <m:r>
              <m:t>c</m:t>
            </m:r>
          </m:sub>
        </m:sSub>
      </m:oMath>
      <w:r>
        <w:rPr>
          <w:color w:val="3A4350"/>
          <w:sz w:val="15"/>
          <w:szCs w:val="15"/>
        </w:rPr>
        <w:t xml:space="preserve"> of the option </w:t>
      </w:r>
      <m:oMath>
        <m:r>
          <m:t>c</m:t>
        </m:r>
      </m:oMath>
      <w:r>
        <w:rPr>
          <w:color w:val="3A4350"/>
          <w:sz w:val="15"/>
          <w:szCs w:val="15"/>
        </w:rPr>
        <w:t xml:space="preserve"> it picks, when each option's internal value is corrupted by noise </w:t>
      </w:r>
      <m:oMath>
        <m:sSub>
          <m:e>
            <m:r>
              <m:t>ε</m:t>
            </m:r>
          </m:e>
          <m:sub>
            <m:r>
              <m:t>k</m:t>
            </m:r>
          </m:sub>
        </m:sSub>
      </m:oMath>
      <w:r>
        <w:rPr>
          <w:color w:val="3A4350"/>
          <w:sz w:val="15"/>
          <w:szCs w:val="15"/>
        </w:rPr>
        <w:t xml:space="preserve"> of variance </w:t>
      </w:r>
      <m:oMath>
        <m:sSup>
          <m:e>
            <m:r>
              <m:t>σ</m:t>
            </m:r>
          </m:e>
          <m:sup>
            <m:r>
              <m:t>2</m:t>
            </m:r>
          </m:sup>
        </m:sSup>
      </m:oMath>
      <w:r>
        <w:rPr>
          <w:color w:val="3A4350"/>
          <w:sz w:val="15"/>
          <w:szCs w:val="15"/>
        </w:rPr>
        <w:t xml:space="preserve"> (finite precision).</w:t>
      </w:r>
    </w:p>
    <w:p>
      <w:pPr>
        <w:spacing w:after="60"/>
        <w:jc w:val="both"/>
      </w:pPr>
      <w:r>
        <w:rPr>
          <w:b/>
          <w:bCs/>
          <w:color w:val="002147"/>
          <w:sz w:val="17"/>
          <w:szCs w:val="17"/>
        </w:rPr>
        <w:t xml:space="preserve">Link to the Fushë-Kuqe stakeholders. </w:t>
      </w:r>
      <w:r>
        <w:rPr>
          <w:sz w:val="17"/>
          <w:szCs w:val="17"/>
        </w:rPr>
        <w:t xml:space="preserve">Belongs to theme 3. When a hotel owner overweights a small probability of a chloride breach in a drought, or an irrigator discounts a larger one in a normal year, this need not be a bias to correct: under noisy reasoning it may be the best they can do. A decisive rule needs thresholds robust to such weighting.</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recasts probability weighting and utility curvature as near-optimal responses to internal noise, joining objective computational error (theme 2) to subjective distortion (theme 3) in one normative model with two experimental tests. Published in PNAS (2021), with an open copy in the Oxford Research Archive.</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theory concerns single choices between lotteries with stated probabilities. It is open how finite precision shapes weighting when probabilities come from a model ensemble, such as the 20 000 chloride draws, and whether the optimal distortion differs between normal and drought years.</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optimal transforms of value and probability derived for a noisy decision-maker, predicting how the shape of distortion should change with the task, and confirmed experimentally. Proposed extension: elicit stakeholders' choices between pumping options whose breach probabilities at A1 and P10 come from the Fushë-Kuqe ensemble, shown simply or with clutter, fit the optimal-distortion model, and test whether the unanimous 10% rule still holds under each fitted weighting function.</w:t>
      </w:r>
    </w:p>
    <w:p>
      <w:pPr>
        <w:keepNext/>
        <w:pBdr>
          <w:top w:val="single" w:color="002147" w:sz="6" w:space="4"/>
        </w:pBdr>
        <w:spacing w:after="60" w:before="220"/>
      </w:pPr>
      <w:r>
        <w:rPr>
          <w:b/>
          <w:bCs/>
          <w:color w:val="002147"/>
          <w:sz w:val="23"/>
          <w:szCs w:val="23"/>
        </w:rPr>
        <w:t xml:space="preserve">O3  </w:t>
      </w:r>
      <w:r>
        <w:rPr>
          <w:b/>
          <w:bCs/>
          <w:color w:val="1F3864"/>
          <w:sz w:val="23"/>
          <w:szCs w:val="23"/>
        </w:rPr>
        <w:t xml:space="preserve">Trait anxiety is associated with hidden state inference during aversive reversal learning</w:t>
      </w:r>
    </w:p>
    <w:p>
      <w:pPr>
        <w:keepNext/>
        <w:spacing w:after="60" w:line="240" w:lineRule="auto"/>
      </w:pPr>
      <w:r>
        <w:rPr>
          <w:b/>
          <w:bCs/>
          <w:color w:val="333B47"/>
          <w:sz w:val="15"/>
          <w:szCs w:val="15"/>
        </w:rPr>
        <w:t xml:space="preserve">Authors: </w:t>
      </w:r>
      <w:r>
        <w:rPr>
          <w:sz w:val="15"/>
          <w:szCs w:val="15"/>
        </w:rPr>
        <w:t xml:space="preserve">Ondrej Zika, Katja Wiech, Andrea Reinecke, Michael Browning, Nicolas W. Schuck</w:t>
      </w:r>
      <w:r>
        <w:rPr>
          <w:sz w:val="15"/>
          <w:szCs w:val="15"/>
        </w:rPr>
        <w:t xml:space="preserve">   </w:t>
      </w:r>
      <w:r>
        <w:rPr>
          <w:b/>
          <w:bCs/>
          <w:color w:val="333B47"/>
          <w:sz w:val="15"/>
          <w:szCs w:val="15"/>
        </w:rPr>
        <w:t xml:space="preserve">Published in: </w:t>
      </w:r>
      <w:r>
        <w:rPr>
          <w:sz w:val="15"/>
          <w:szCs w:val="15"/>
        </w:rPr>
        <w:t xml:space="preserve">Nature Communications, 14, article 4203 (July 2023)</w:t>
      </w:r>
      <w:r>
        <w:rPr>
          <w:sz w:val="15"/>
          <w:szCs w:val="15"/>
        </w:rPr>
        <w:t xml:space="preserve">   </w:t>
      </w:r>
      <w:r>
        <w:rPr>
          <w:b/>
          <w:bCs/>
          <w:color w:val="333B47"/>
          <w:sz w:val="15"/>
          <w:szCs w:val="15"/>
        </w:rPr>
        <w:t xml:space="preserve">Link: </w:t>
      </w:r>
      <w:hyperlink w:history="1" r:id="rIdoeirdhboeel31kznsy_cs">
        <w:r>
          <w:rPr>
            <w:color w:val="1D4ED8"/>
            <w:sz w:val="15"/>
            <w:szCs w:val="15"/>
            <w:u w:val="single"/>
          </w:rPr>
          <w:t xml:space="preserve">https://doi.org/10.1038/s41467-023-39825-3</w:t>
        </w:r>
      </w:hyperlink>
    </w:p>
    <w:p>
      <w:pPr>
        <w:keepNext/>
        <w:spacing w:after="80" w:line="240" w:lineRule="auto"/>
      </w:pPr>
      <w:r>
        <w:rPr>
          <w:b/>
          <w:bCs/>
          <w:color w:val="333B47"/>
          <w:sz w:val="15"/>
          <w:szCs w:val="15"/>
        </w:rPr>
        <w:t xml:space="preserve">Affiliation: </w:t>
      </w:r>
      <w:r>
        <w:rPr>
          <w:color w:val="3A4350"/>
          <w:sz w:val="15"/>
          <w:szCs w:val="15"/>
        </w:rPr>
        <w:t xml:space="preserve">Katja Wiech, Andrea Reinecke and Michael Browning are listed with the University of Oxford, including the Department of Psychiatry (PubMed Central record); the paper also appears on the Pain and Mind group page of the Nuffield Department of Clinical Neurosciences and in the Oxford Research Archive. Zika and Schuck: Max Planck Institute for Human Development, Berlin (search results).</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(3/5)</w:t>
      </w:r>
    </w:p>
    <w:p>
      <w:pPr>
        <w:spacing w:after="60"/>
        <w:jc w:val="both"/>
      </w:pPr>
      <w:r>
        <w:rPr>
          <w:b/>
          <w:bCs/>
          <w:color w:val="002147"/>
          <w:sz w:val="17"/>
          <w:szCs w:val="17"/>
        </w:rPr>
        <w:t xml:space="preserve">Summary. </w:t>
      </w:r>
      <w:r>
        <w:rPr>
          <w:sz w:val="17"/>
          <w:szCs w:val="17"/>
        </w:rPr>
        <w:t xml:space="preserve">How does anxiety change belief updating when threat contingencies switch abruptly? Healthy participants saw cues that predicted an electric shock with probabilities that changed repeatedly, and rated their expectation on every trial. Higher trait anxiety went with sharper shifts in expectation after contingency reversals and with weaker learning from isolated oddball outcomes. Computational model comparison showed that trait anxiety is related to a better fit of a hidden-state inference model, which treats a large change as a switch to a different latent state, than of a gradual error-driven learning model when contingency changes are large. The authors propose hidden-state inference as a mechanism behind anxiety-related relapse of fear.</w:t>
      </w:r>
    </w:p>
    <w:p>
      <w:pPr>
        <w:keepNext/>
        <w:spacing w:after="20" w:before="40"/>
      </w:pPr>
      <w:r>
        <w:rPr>
          <w:b/>
          <w:bCs/>
          <w:color w:val="002147"/>
          <w:sz w:val="17"/>
          <w:szCs w:val="17"/>
        </w:rPr>
        <w:t xml:space="preserve">Key equation.</w:t>
      </w:r>
      <w:r>
        <w:rPr>
          <w:i/>
          <w:iCs/>
          <w:color w:val="5B6573"/>
          <w:sz w:val="15"/>
          <w:szCs w:val="15"/>
        </w:rPr>
        <w:t xml:space="preserve">  Belief update over latent contingency states versus gradual error-driven learning (representative formulation)</w:t>
      </w:r>
    </w:p>
    <w:p>
      <w:pPr>
        <w:pStyle w:val="Equation"/>
      </w:pPr>
      <m:oMathPara>
        <m:oMathParaPr>
          <m:jc m:val="center"/>
        </m:oMathParaPr>
        <m:oMath>
          <m:r>
            <m:t>P</m:t>
          </m:r>
          <m:d>
            <m:dPr>
              <m:begChr m:val="("/>
              <m:sepChr m:val=""/>
              <m:endChr m:val=")"/>
              <m:grow/>
            </m:dPr>
            <m:e>
              <m:sSub>
                <m:e>
                  <m:r>
                    <m:t>s</m:t>
                  </m:r>
                </m:e>
                <m:sub>
                  <m:r>
                    <m:t>t</m:t>
                  </m:r>
                </m:sub>
              </m:sSub>
              <m:r>
                <m:rPr>
                  <m:sty m:val="p"/>
                </m:rPr>
                <m:t>=</m:t>
              </m:r>
              <m:r>
                <m:t>k</m:t>
              </m:r>
              <m:r>
                <m:rPr>
                  <m:sty m:val="p"/>
                </m:rPr>
                <m:t>∣</m:t>
              </m:r>
              <m:sSub>
                <m:e>
                  <m:r>
                    <m:t>r</m:t>
                  </m:r>
                </m:e>
                <m:sub>
                  <m:r>
                    <m:t>1</m:t>
                  </m:r>
                  <m:r>
                    <m:rPr>
                      <m:sty m:val="p"/>
                    </m:rPr>
                    <m:t>:</m:t>
                  </m:r>
                  <m:r>
                    <m:t>t</m:t>
                  </m:r>
                </m:sub>
              </m:sSub>
            </m:e>
          </m:d>
          <m:r>
            <m:rPr>
              <m:sty m:val="p"/>
            </m:rPr>
            <m:t>∝</m:t>
          </m:r>
          <m:r>
            <m:t>P</m:t>
          </m:r>
          <m:d>
            <m:dPr>
              <m:begChr m:val="("/>
              <m:sepChr m:val=""/>
              <m:endChr m:val=")"/>
              <m:grow/>
            </m:dPr>
            <m:e>
              <m:sSub>
                <m:e>
                  <m:r>
                    <m:t>r</m:t>
                  </m:r>
                </m:e>
                <m:sub>
                  <m:r>
                    <m:t>t</m:t>
                  </m:r>
                </m:sub>
              </m:sSub>
              <m:r>
                <m:rPr>
                  <m:sty m:val="p"/>
                </m:rPr>
                <m:t>∣</m:t>
              </m:r>
              <m:sSub>
                <m:e>
                  <m:r>
                    <m:t>s</m:t>
                  </m:r>
                </m:e>
                <m:sub>
                  <m:r>
                    <m:t>t</m:t>
                  </m:r>
                </m:sub>
              </m:sSub>
              <m:r>
                <m:rPr>
                  <m:sty m:val="p"/>
                </m:rPr>
                <m:t>=</m:t>
              </m:r>
              <m:r>
                <m:t>k</m:t>
              </m:r>
            </m:e>
          </m:d>
          <m:nary>
            <m:naryPr>
              <m:chr m:val="∑"/>
              <m:limLoc m:val="undOvr"/>
              <m:subHide m:val="off"/>
              <m:supHide m:val="on"/>
            </m:naryPr>
            <m:sub>
              <m:r>
                <m:t>j</m:t>
              </m:r>
            </m:sub>
            <m:sup>
              <m:r>
                <m:t>​</m:t>
              </m:r>
            </m:sup>
            <m:e>
              <m:sSub>
                <m:e>
                  <m:r>
                    <m:t>T</m:t>
                  </m:r>
                </m:e>
                <m:sub>
                  <m:r>
                    <m:t>j</m:t>
                  </m:r>
                  <m:r>
                    <m:t>k</m:t>
                  </m:r>
                </m:sub>
              </m:sSub>
            </m:e>
          </m:nary>
          <m:r>
            <m:t> </m:t>
          </m:r>
          <m:r>
            <m:t>P</m:t>
          </m:r>
          <m:d>
            <m:dPr>
              <m:begChr m:val="("/>
              <m:sepChr m:val=""/>
              <m:endChr m:val=")"/>
              <m:grow/>
            </m:dPr>
            <m:e>
              <m:sSub>
                <m:e>
                  <m:r>
                    <m:t>s</m:t>
                  </m:r>
                </m:e>
                <m:sub>
                  <m:r>
                    <m:t>t</m:t>
                  </m:r>
                  <m:r>
                    <m:rPr>
                      <m:sty m:val="p"/>
                    </m:rPr>
                    <m:t>−</m:t>
                  </m:r>
                  <m:r>
                    <m:t>1</m:t>
                  </m:r>
                </m:sub>
              </m:sSub>
              <m:r>
                <m:rPr>
                  <m:sty m:val="p"/>
                </m:rPr>
                <m:t>=</m:t>
              </m:r>
              <m:r>
                <m:t>j</m:t>
              </m:r>
              <m:r>
                <m:rPr>
                  <m:sty m:val="p"/>
                </m:rPr>
                <m:t>∣</m:t>
              </m:r>
              <m:sSub>
                <m:e>
                  <m:r>
                    <m:t>r</m:t>
                  </m:r>
                </m:e>
                <m:sub>
                  <m:r>
                    <m:t>1</m:t>
                  </m:r>
                  <m:r>
                    <m:rPr>
                      <m:sty m:val="p"/>
                    </m:rPr>
                    <m:t>:</m:t>
                  </m:r>
                  <m:r>
                    <m:t>t</m:t>
                  </m:r>
                  <m:r>
                    <m:rPr>
                      <m:sty m:val="p"/>
                    </m:rPr>
                    <m:t>−</m:t>
                  </m:r>
                  <m:r>
                    <m:t>1</m:t>
                  </m:r>
                </m:sub>
              </m:sSub>
            </m:e>
          </m:d>
          <m:r>
            <m:t> </m:t>
          </m:r>
          <m:r>
            <m:rPr>
              <m:nor/>
            </m:rPr>
            <m:t>versus</m:t>
          </m:r>
          <m:r>
            <m:t> </m:t>
          </m:r>
          <m:sSub>
            <m:e>
              <m:r>
                <m:t>V</m:t>
              </m:r>
            </m:e>
            <m:sub>
              <m:r>
                <m:t>t</m:t>
              </m:r>
              <m:r>
                <m:rPr>
                  <m:sty m:val="p"/>
                </m:rPr>
                <m:t>+</m:t>
              </m:r>
              <m:r>
                <m:t>1</m:t>
              </m:r>
            </m:sub>
          </m:sSub>
          <m:r>
            <m:rPr>
              <m:sty m:val="p"/>
            </m:rPr>
            <m:t>=</m:t>
          </m:r>
          <m:sSub>
            <m:e>
              <m:r>
                <m:t>V</m:t>
              </m:r>
            </m:e>
            <m:sub>
              <m:r>
                <m:t>t</m:t>
              </m:r>
            </m:sub>
          </m:sSub>
          <m:r>
            <m:rPr>
              <m:sty m:val="p"/>
            </m:rPr>
            <m:t>+</m:t>
          </m:r>
          <m:r>
            <m:t>α</m:t>
          </m:r>
          <m:r>
            <m:t> </m:t>
          </m:r>
          <m:d>
            <m:dPr>
              <m:begChr m:val="("/>
              <m:sepChr m:val=""/>
              <m:endChr m:val=")"/>
              <m:grow/>
            </m:dPr>
            <m:e>
              <m:sSub>
                <m:e>
                  <m:r>
                    <m:t>r</m:t>
                  </m:r>
                </m:e>
                <m:sub>
                  <m:r>
                    <m:t>t</m:t>
                  </m:r>
                </m:sub>
              </m:sSub>
              <m:r>
                <m:rPr>
                  <m:sty m:val="p"/>
                </m:rPr>
                <m:t>−</m:t>
              </m:r>
              <m:sSub>
                <m:e>
                  <m:r>
                    <m:t>V</m:t>
                  </m:r>
                </m:e>
                <m:sub>
                  <m:r>
                    <m:t>t</m:t>
                  </m:r>
                </m:sub>
              </m:sSub>
            </m:e>
          </m:d>
        </m:oMath>
      </m:oMathPara>
    </w:p>
    <w:p>
      <w:pPr>
        <w:spacing w:after="60"/>
        <w:jc w:val="both"/>
      </w:pPr>
      <w:r>
        <w:rPr>
          <w:color w:val="3A4350"/>
          <w:sz w:val="15"/>
          <w:szCs w:val="15"/>
        </w:rPr>
        <w:t xml:space="preserve">Hidden-state inference updates the belief that latent state </w:t>
      </w:r>
      <m:oMath>
        <m:r>
          <m:t>k</m:t>
        </m:r>
      </m:oMath>
      <w:r>
        <w:rPr>
          <w:color w:val="3A4350"/>
          <w:sz w:val="15"/>
          <w:szCs w:val="15"/>
        </w:rPr>
        <w:t xml:space="preserve"> is active from outcome </w:t>
      </w:r>
      <m:oMath>
        <m:sSub>
          <m:e>
            <m:r>
              <m:t>r</m:t>
            </m:r>
          </m:e>
          <m:sub>
            <m:r>
              <m:t>t</m:t>
            </m:r>
          </m:sub>
        </m:sSub>
      </m:oMath>
      <w:r>
        <w:rPr>
          <w:color w:val="3A4350"/>
          <w:sz w:val="15"/>
          <w:szCs w:val="15"/>
        </w:rPr>
        <w:t xml:space="preserve"> (shock or no shock) using switching probabilities </w:t>
      </w:r>
      <m:oMath>
        <m:sSub>
          <m:e>
            <m:r>
              <m:t>T</m:t>
            </m:r>
          </m:e>
          <m:sub>
            <m:r>
              <m:t>j</m:t>
            </m:r>
            <m:r>
              <m:t>k</m:t>
            </m:r>
          </m:sub>
        </m:sSub>
      </m:oMath>
      <w:r>
        <w:rPr>
          <w:color w:val="3A4350"/>
          <w:sz w:val="15"/>
          <w:szCs w:val="15"/>
        </w:rPr>
        <w:t xml:space="preserve">; gradual learning updates a single expectancy </w:t>
      </w:r>
      <m:oMath>
        <m:sSub>
          <m:e>
            <m:r>
              <m:t>V</m:t>
            </m:r>
          </m:e>
          <m:sub>
            <m:r>
              <m:t>t</m:t>
            </m:r>
          </m:sub>
        </m:sSub>
      </m:oMath>
      <w:r>
        <w:rPr>
          <w:color w:val="3A4350"/>
          <w:sz w:val="15"/>
          <w:szCs w:val="15"/>
        </w:rPr>
        <w:t xml:space="preserve"> with learning rate </w:t>
      </w:r>
      <m:oMath>
        <m:r>
          <m:t>α</m:t>
        </m:r>
      </m:oMath>
      <w:r>
        <w:rPr>
          <w:color w:val="3A4350"/>
          <w:sz w:val="15"/>
          <w:szCs w:val="15"/>
        </w:rPr>
        <w:t xml:space="preserve">.</w:t>
      </w:r>
    </w:p>
    <w:p>
      <w:pPr>
        <w:spacing w:after="60"/>
        <w:jc w:val="both"/>
      </w:pPr>
      <w:r>
        <w:rPr>
          <w:b/>
          <w:bCs/>
          <w:color w:val="002147"/>
          <w:sz w:val="17"/>
          <w:szCs w:val="17"/>
        </w:rPr>
        <w:t xml:space="preserve">Link to the Fushë-Kuqe stakeholders. </w:t>
      </w:r>
      <w:r>
        <w:rPr>
          <w:sz w:val="17"/>
          <w:szCs w:val="17"/>
        </w:rPr>
        <w:t xml:space="preserve">Belongs to theme 3. In a drought, a chloride spike at a sentinel well is an aversive surprise. Anxious stakeholders, such as a hotel group or the utility after complaints, may jump to 'the aquifer has flipped' instead of weighing evidence, and swing between panic and calm. Triggers agreed in advance on objective indicators protect the rule against such switching.</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gives a model-based account of how a subjective trait changes learning under threat: anxious people switch beliefs as if the world had changed state rather than averaging evidence. Published in Nature Communications (2023), with formal model comparison as the core evidence.</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evidence comes from a laboratory task with shocks. It is open whether the same signature appears when stakeholders read hydrochemical monitoring data, and whether it helps (fast detection of a real regime shift) or harms (false alarms) in coastal-aquifer management.</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model comparison showing that trait anxiety predicts hidden-state inference rather than gradual updating when contingencies change sharply. Proposed extension: show Fushë-Kuqe stakeholders synthetic chloride series at A1 and P10, generated from the ensemble with and without a drought regime shift, record their expectations, fit both models, and test whether a pre-agreed two-state trigger reduces both missed shifts and false alarms.</w:t>
      </w:r>
    </w:p>
    <w:p>
      <w:pPr>
        <w:keepNext/>
        <w:pBdr>
          <w:top w:val="single" w:color="002147" w:sz="6" w:space="4"/>
        </w:pBdr>
        <w:spacing w:after="60" w:before="220"/>
      </w:pPr>
      <w:r>
        <w:rPr>
          <w:b/>
          <w:bCs/>
          <w:color w:val="002147"/>
          <w:sz w:val="23"/>
          <w:szCs w:val="23"/>
        </w:rPr>
        <w:t xml:space="preserve">O4  </w:t>
      </w:r>
      <w:r>
        <w:rPr>
          <w:b/>
          <w:bCs/>
          <w:color w:val="1F3864"/>
          <w:sz w:val="23"/>
          <w:szCs w:val="23"/>
        </w:rPr>
        <w:t xml:space="preserve">Strategic analysis of the drought resilience of water supply systems</w:t>
      </w:r>
    </w:p>
    <w:p>
      <w:pPr>
        <w:keepNext/>
        <w:spacing w:after="60" w:line="240" w:lineRule="auto"/>
      </w:pPr>
      <w:r>
        <w:rPr>
          <w:b/>
          <w:bCs/>
          <w:color w:val="333B47"/>
          <w:sz w:val="15"/>
          <w:szCs w:val="15"/>
        </w:rPr>
        <w:t xml:space="preserve">Authors: </w:t>
      </w:r>
      <w:r>
        <w:rPr>
          <w:sz w:val="15"/>
          <w:szCs w:val="15"/>
        </w:rPr>
        <w:t xml:space="preserve">Anna Murgatroyd, Helen Gavin, Olivia Becher, Gemma Coxon, Doug Hunt, Emily Fallon, Jonny Wilson, Gokhan Cuceloglu, Jim W. Hall</w:t>
      </w:r>
      <w:r>
        <w:rPr>
          <w:sz w:val="15"/>
          <w:szCs w:val="15"/>
        </w:rPr>
        <w:t xml:space="preserve">   </w:t>
      </w:r>
      <w:r>
        <w:rPr>
          <w:b/>
          <w:bCs/>
          <w:color w:val="333B47"/>
          <w:sz w:val="15"/>
          <w:szCs w:val="15"/>
        </w:rPr>
        <w:t xml:space="preserve">Published in: </w:t>
      </w:r>
      <w:r>
        <w:rPr>
          <w:sz w:val="15"/>
          <w:szCs w:val="15"/>
        </w:rPr>
        <w:t xml:space="preserve">Philosophical Transactions of the Royal Society A, 380(2238), article 20210292 (December 2022; online 24 October 2022)</w:t>
      </w:r>
      <w:r>
        <w:rPr>
          <w:sz w:val="15"/>
          <w:szCs w:val="15"/>
        </w:rPr>
        <w:t xml:space="preserve">   </w:t>
      </w:r>
      <w:r>
        <w:rPr>
          <w:b/>
          <w:bCs/>
          <w:color w:val="333B47"/>
          <w:sz w:val="15"/>
          <w:szCs w:val="15"/>
        </w:rPr>
        <w:t xml:space="preserve">Link: </w:t>
      </w:r>
      <w:hyperlink w:history="1" r:id="rId1brdymremsvfzcjngshcn">
        <w:r>
          <w:rPr>
            <w:color w:val="1D4ED8"/>
            <w:sz w:val="15"/>
            <w:szCs w:val="15"/>
            <w:u w:val="single"/>
          </w:rPr>
          <w:t xml:space="preserve">https://doi.org/10.1098/rsta.2021.0292</w:t>
        </w:r>
      </w:hyperlink>
    </w:p>
    <w:p>
      <w:pPr>
        <w:keepNext/>
        <w:spacing w:after="80" w:line="240" w:lineRule="auto"/>
      </w:pPr>
      <w:r>
        <w:rPr>
          <w:b/>
          <w:bCs/>
          <w:color w:val="333B47"/>
          <w:sz w:val="15"/>
          <w:szCs w:val="15"/>
        </w:rPr>
        <w:t xml:space="preserve">Affiliation: </w:t>
      </w:r>
      <w:r>
        <w:rPr>
          <w:color w:val="3A4350"/>
          <w:sz w:val="15"/>
          <w:szCs w:val="15"/>
        </w:rPr>
        <w:t xml:space="preserve">Lead affiliation: Environmental Change Institute, University of Oxford (bibliographic record in a search result; open-access copies in PubMed Central and the Newcastle University repository). Other authors' affiliations not verified.</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(3/5)</w:t>
      </w:r>
    </w:p>
    <w:p>
      <w:pPr>
        <w:spacing w:after="60"/>
        <w:jc w:val="both"/>
      </w:pPr>
      <w:r>
        <w:rPr>
          <w:b/>
          <w:bCs/>
          <w:color w:val="002147"/>
          <w:sz w:val="17"/>
          <w:szCs w:val="17"/>
        </w:rPr>
        <w:t xml:space="preserve">Summary. </w:t>
      </w:r>
      <w:r>
        <w:rPr>
          <w:sz w:val="17"/>
          <w:szCs w:val="17"/>
        </w:rPr>
        <w:t xml:space="preserve">England plans to secure public water supplies against droughts up to a 1-in-500-year return period. The authors build a coupled simulation that links climate simulations, a national-scale hydrological model and a national-scale water-resource system model, showing how extreme meteorological droughts translate into hydrological droughts and into shortages for water users. They use it to test the strategic resource options being planned for most of England's population. The 1-in-500-year standard is achievable where these options are used, even while abstraction is reduced to restore the aquatic environment, and is easier to meet if demand is also reduced.</w:t>
      </w:r>
    </w:p>
    <w:p>
      <w:pPr>
        <w:keepNext/>
        <w:spacing w:after="20" w:before="40"/>
      </w:pPr>
      <w:r>
        <w:rPr>
          <w:b/>
          <w:bCs/>
          <w:color w:val="002147"/>
          <w:sz w:val="17"/>
          <w:szCs w:val="17"/>
        </w:rPr>
        <w:t xml:space="preserve">Key equation.</w:t>
      </w:r>
      <w:r>
        <w:rPr>
          <w:i/>
          <w:iCs/>
          <w:color w:val="5B6573"/>
          <w:sz w:val="15"/>
          <w:szCs w:val="15"/>
        </w:rPr>
        <w:t xml:space="preserve">  Meeting a drought return-period standard with planned options under environmental abstraction limits (representative formulation)</w:t>
      </w:r>
    </w:p>
    <w:p>
      <w:pPr>
        <w:pStyle w:val="Equation"/>
      </w:pPr>
      <m:oMathPara>
        <m:oMathParaPr>
          <m:jc m:val="center"/>
        </m:oMathParaPr>
        <m:oMath>
          <m:limLow>
            <m:e>
              <m:r>
                <m:rPr>
                  <m:sty m:val="p"/>
                </m:rPr>
                <m:t>min</m:t>
              </m:r>
            </m:e>
            <m:lim>
              <m:r>
                <m:rPr>
                  <m:sty m:val="b"/>
                </m:rPr>
                <m:t>a</m:t>
              </m:r>
            </m:lim>
          </m:limLow>
          <m:r>
            <m:t>C</m:t>
          </m:r>
          <m:d>
            <m:dPr>
              <m:begChr m:val="("/>
              <m:sepChr m:val=""/>
              <m:endChr m:val=")"/>
              <m:grow/>
            </m:dPr>
            <m:e>
              <m:r>
                <m:rPr>
                  <m:sty m:val="b"/>
                </m:rPr>
                <m:t>a</m:t>
              </m:r>
            </m:e>
          </m:d>
          <m:r>
            <m:t> </m:t>
          </m:r>
          <m:r>
            <m:rPr>
              <m:nor/>
            </m:rPr>
            <m:t>s.t.</m:t>
          </m:r>
          <m:r>
            <m:t> </m:t>
          </m:r>
          <m:r>
            <m:rPr>
              <m:nor/>
            </m:rPr>
            <m:t>Pr</m:t>
          </m:r>
          <m:d>
            <m:dPr>
              <m:begChr m:val="("/>
              <m:sepChr m:val=""/>
              <m:endChr m:val=")"/>
              <m:grow/>
            </m:dPr>
            <m:e>
              <m:r>
                <m:rPr>
                  <m:nor/>
                </m:rPr>
                <m:t>shortfall in year </m:t>
              </m:r>
              <m:r>
                <m:t>t</m:t>
              </m:r>
              <m:r>
                <m:rPr>
                  <m:sty m:val="p"/>
                </m:rPr>
                <m:t>∣</m:t>
              </m:r>
              <m:r>
                <m:rPr>
                  <m:sty m:val="b"/>
                </m:rPr>
                <m:t>a</m:t>
              </m:r>
              <m:r>
                <m:rPr>
                  <m:sty m:val="p"/>
                </m:rPr>
                <m:t>,</m:t>
              </m:r>
              <m:bar>
                <m:barPr>
                  <m:pos m:val="top"/>
                </m:barPr>
                <m:e>
                  <m:r>
                    <m:t>Q</m:t>
                  </m:r>
                </m:e>
              </m:bar>
            </m:e>
          </m:d>
          <m:r>
            <m:rPr>
              <m:sty m:val="p"/>
            </m:rPr>
            <m:t>≤</m:t>
          </m:r>
          <m:f>
            <m:fPr>
              <m:type m:val="bar"/>
            </m:fPr>
            <m:num>
              <m:r>
                <m:t>1</m:t>
              </m:r>
            </m:num>
            <m:den>
              <m:r>
                <m:t>500</m:t>
              </m:r>
            </m:den>
          </m:f>
        </m:oMath>
      </m:oMathPara>
    </w:p>
    <w:p>
      <w:pPr>
        <w:spacing w:after="60"/>
        <w:jc w:val="both"/>
      </w:pPr>
      <m:oMath>
        <m:r>
          <m:rPr>
            <m:sty m:val="b"/>
          </m:rPr>
          <m:t>a</m:t>
        </m:r>
      </m:oMath>
      <w:r>
        <w:rPr>
          <w:color w:val="3A4350"/>
          <w:sz w:val="15"/>
          <w:szCs w:val="15"/>
        </w:rPr>
        <w:t xml:space="preserve"> is a set of strategic resource options with cost </w:t>
      </w:r>
      <m:oMath>
        <m:r>
          <m:t>C</m:t>
        </m:r>
      </m:oMath>
      <w:r>
        <w:rPr>
          <w:color w:val="3A4350"/>
          <w:sz w:val="15"/>
          <w:szCs w:val="15"/>
        </w:rPr>
        <w:t xml:space="preserve">, </w:t>
      </w:r>
      <m:oMath>
        <m:bar>
          <m:barPr>
            <m:pos m:val="top"/>
          </m:barPr>
          <m:e>
            <m:r>
              <m:t>Q</m:t>
            </m:r>
          </m:e>
        </m:bar>
      </m:oMath>
      <w:r>
        <w:rPr>
          <w:color w:val="3A4350"/>
          <w:sz w:val="15"/>
          <w:szCs w:val="15"/>
        </w:rPr>
        <w:t xml:space="preserve"> the reduced abstraction limits that protect the aquatic environment, and the probability is taken over climate-driven droughts propagated through the hydrological and water-resource models.</w:t>
      </w:r>
    </w:p>
    <w:p>
      <w:pPr>
        <w:spacing w:after="60"/>
        <w:jc w:val="both"/>
      </w:pPr>
      <w:r>
        <w:rPr>
          <w:b/>
          <w:bCs/>
          <w:color w:val="002147"/>
          <w:sz w:val="17"/>
          <w:szCs w:val="17"/>
        </w:rPr>
        <w:t xml:space="preserve">Link to the Fushë-Kuqe stakeholders. </w:t>
      </w:r>
      <w:r>
        <w:rPr>
          <w:sz w:val="17"/>
          <w:szCs w:val="17"/>
        </w:rPr>
        <w:t xml:space="preserve">Belongs to theme 1. The Fushë-Kuqe rule could be stated as a design standard: the unanimous 10% chloride limit must hold in droughts up to a stated return period, not only in average years. The paper shows how to carry extreme droughts through recharge to shortages and test options (pumping caps at A1 and P10, managed recharge) against that standard.</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turns an explicit extreme-event standard into a testable, system-wide question, carrying simulated droughts through hydrology to shortages for users, and shows that drought resilience and environmental abstraction cuts can be reconciled. Open access in Philosophical Transactions A (2022).</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analysis concerns supply shortages under given operating rules; it omits saline intrusion and departures from the rules. Testing a return-period standard for coastal groundwater, where drought recharge and unlicensed pumping by hotels and irrigators act together,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national coupled chain from climate simulations to water-user shortages, used to test an explicit 1-in-500-year drought standard together with environmental abstraction cuts. Proposed extension: drive the Fushë-Kuqe chloride model with drought recharge series of 10-, 100- and 500-year return periods plus surges in hotel and irrigation pumping, and find the smallest managed recharge for which every stakeholder's breach probability at A1 and P10 stays at or below 10%.</w:t>
      </w:r>
    </w:p>
    <w:p>
      <w:pPr>
        <w:keepNext/>
        <w:pBdr>
          <w:top w:val="single" w:color="002147" w:sz="6" w:space="4"/>
        </w:pBdr>
        <w:spacing w:after="60" w:before="220"/>
      </w:pPr>
      <w:r>
        <w:rPr>
          <w:b/>
          <w:bCs/>
          <w:color w:val="002147"/>
          <w:sz w:val="23"/>
          <w:szCs w:val="23"/>
        </w:rPr>
        <w:t xml:space="preserve">O5  </w:t>
      </w:r>
      <w:r>
        <w:rPr>
          <w:b/>
          <w:bCs/>
          <w:color w:val="1F3864"/>
          <w:sz w:val="23"/>
          <w:szCs w:val="23"/>
        </w:rPr>
        <w:t xml:space="preserve">Digital measurement of SARS-CoV-2 transmission risk from 7 million contacts</w:t>
      </w:r>
    </w:p>
    <w:p>
      <w:pPr>
        <w:keepNext/>
        <w:spacing w:after="60" w:line="240" w:lineRule="auto"/>
      </w:pPr>
      <w:r>
        <w:rPr>
          <w:b/>
          <w:bCs/>
          <w:color w:val="333B47"/>
          <w:sz w:val="15"/>
          <w:szCs w:val="15"/>
        </w:rPr>
        <w:t xml:space="preserve">Authors: </w:t>
      </w:r>
      <w:r>
        <w:rPr>
          <w:sz w:val="15"/>
          <w:szCs w:val="15"/>
        </w:rPr>
        <w:t xml:space="preserve">Luca Ferretti, Chris Wymant, James Petrie, Daphne Tsallis, Michelle Kendall, Alice Ledda, Francesco Di Lauro, Adam Fowler, Andrea Di Francia, Jasmina Panovska-Griffiths, Lucie Abeler-Dörner, Marcos Charalambides, Mark Briers, Christophe Fraser</w:t>
      </w:r>
      <w:r>
        <w:rPr>
          <w:sz w:val="15"/>
          <w:szCs w:val="15"/>
        </w:rPr>
        <w:t xml:space="preserve">   </w:t>
      </w:r>
      <w:r>
        <w:rPr>
          <w:b/>
          <w:bCs/>
          <w:color w:val="333B47"/>
          <w:sz w:val="15"/>
          <w:szCs w:val="15"/>
        </w:rPr>
        <w:t xml:space="preserve">Published in: </w:t>
      </w:r>
      <w:r>
        <w:rPr>
          <w:sz w:val="15"/>
          <w:szCs w:val="15"/>
        </w:rPr>
        <w:t xml:space="preserve">Nature, 626(7997), 145–150 (February 2024; online 20 December 2023)</w:t>
      </w:r>
      <w:r>
        <w:rPr>
          <w:sz w:val="15"/>
          <w:szCs w:val="15"/>
        </w:rPr>
        <w:t xml:space="preserve">   </w:t>
      </w:r>
      <w:r>
        <w:rPr>
          <w:b/>
          <w:bCs/>
          <w:color w:val="333B47"/>
          <w:sz w:val="15"/>
          <w:szCs w:val="15"/>
        </w:rPr>
        <w:t xml:space="preserve">Link: </w:t>
      </w:r>
      <w:hyperlink w:history="1" r:id="rIdojfccq_pltdukopxcbeuc">
        <w:r>
          <w:rPr>
            <w:color w:val="1D4ED8"/>
            <w:sz w:val="15"/>
            <w:szCs w:val="15"/>
            <w:u w:val="single"/>
          </w:rPr>
          <w:t xml:space="preserve">https://doi.org/10.1038/s41586-023-06952-2</w:t>
        </w:r>
      </w:hyperlink>
    </w:p>
    <w:p>
      <w:pPr>
        <w:keepNext/>
        <w:spacing w:after="80" w:line="240" w:lineRule="auto"/>
      </w:pPr>
      <w:r>
        <w:rPr>
          <w:b/>
          <w:bCs/>
          <w:color w:val="333B47"/>
          <w:sz w:val="15"/>
          <w:szCs w:val="15"/>
        </w:rPr>
        <w:t xml:space="preserve">Affiliation: </w:t>
      </w:r>
      <w:r>
        <w:rPr>
          <w:color w:val="3A4350"/>
          <w:sz w:val="15"/>
          <w:szCs w:val="15"/>
        </w:rPr>
        <w:t xml:space="preserve">Big Data Institute and Pandemic Sciences Institute, University of Oxford (Christophe Fraser's group): both institutes' publication pages list the paper (search results). Other authors' affiliations not verified.</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(3/5)</w:t>
      </w:r>
    </w:p>
    <w:p>
      <w:pPr>
        <w:spacing w:after="60"/>
        <w:jc w:val="both"/>
      </w:pPr>
      <w:r>
        <w:rPr>
          <w:b/>
          <w:bCs/>
          <w:color w:val="002147"/>
          <w:sz w:val="17"/>
          <w:szCs w:val="17"/>
        </w:rPr>
        <w:t xml:space="preserve">Summary. </w:t>
      </w:r>
      <w:r>
        <w:rPr>
          <w:sz w:val="17"/>
          <w:szCs w:val="17"/>
        </w:rPr>
        <w:t xml:space="preserve">Exposure notification in the COVID-19 pandemic used rules such as '2 m for 15 minutes', with little evidence behind the threshold. Using 7 million contacts notified by the NHS COVID-19 app in England and Wales, the authors relate the app's digital measurements of exposure to actual transmissions. App-computed risk scores were strongly related to transmission probability. Longer exposures at greater distance carried risk similar to shorter, closer ones. Transmission probability first rose roughly linearly, by about 1.1% per hour, and kept rising over several days; most contacts were brief (median 0.7 h) while transmissions came from long ones (median 6 h). Households were 6% of contacts but 40% of transmissions.</w:t>
      </w:r>
    </w:p>
    <w:p>
      <w:pPr>
        <w:keepNext/>
        <w:spacing w:after="20" w:before="40"/>
      </w:pPr>
      <w:r>
        <w:rPr>
          <w:b/>
          <w:bCs/>
          <w:color w:val="002147"/>
          <w:sz w:val="17"/>
          <w:szCs w:val="17"/>
        </w:rPr>
        <w:t xml:space="preserve">Key equation.</w:t>
      </w:r>
      <w:r>
        <w:rPr>
          <w:i/>
          <w:iCs/>
          <w:color w:val="5B6573"/>
          <w:sz w:val="15"/>
          <w:szCs w:val="15"/>
        </w:rPr>
        <w:t xml:space="preserve">  Transmission probability accumulating with distance-weighted exposure time (representative formulation)</w:t>
      </w:r>
    </w:p>
    <w:p>
      <w:pPr>
        <w:pStyle w:val="Equation"/>
      </w:pPr>
      <m:oMathPara>
        <m:oMathParaPr>
          <m:jc m:val="center"/>
        </m:oMathParaPr>
        <m:oMath>
          <m:r>
            <m:t>p</m:t>
          </m:r>
          <m:d>
            <m:dPr>
              <m:begChr m:val="("/>
              <m:sepChr m:val=""/>
              <m:endChr m:val=")"/>
              <m:grow/>
            </m:dPr>
            <m:e>
              <m:r>
                <m:t>τ</m:t>
              </m:r>
            </m:e>
          </m:d>
          <m:r>
            <m:rPr>
              <m:sty m:val="p"/>
            </m:rPr>
            <m:t>=</m:t>
          </m:r>
          <m:r>
            <m:t>1</m:t>
          </m:r>
          <m:r>
            <m:rPr>
              <m:sty m:val="p"/>
            </m:rPr>
            <m:t>−</m:t>
          </m:r>
          <m:r>
            <m:rPr>
              <m:sty m:val="p"/>
            </m:rPr>
            <m:t>exp</m:t>
          </m:r>
          <m:d>
            <m:dPr>
              <m:begChr m:val="("/>
              <m:sepChr m:val=""/>
              <m:endChr m:val=")"/>
              <m:grow/>
            </m:dPr>
            <m:e>
              <m:r>
                <m:rPr>
                  <m:sty m:val="p"/>
                </m:rPr>
                <m:t>−</m:t>
              </m:r>
              <m:nary>
                <m:naryPr>
                  <m:chr m:val="∑"/>
                  <m:limLoc m:val="undOvr"/>
                  <m:subHide m:val="off"/>
                  <m:supHide m:val="on"/>
                </m:naryPr>
                <m:sub>
                  <m:r>
                    <m:t>i</m:t>
                  </m:r>
                </m:sub>
                <m:sup>
                  <m:r>
                    <m:t>​</m:t>
                  </m:r>
                </m:sup>
                <m:e>
                  <m:r>
                    <m:t>β</m:t>
                  </m:r>
                </m:e>
              </m:nary>
              <m:d>
                <m:dPr>
                  <m:begChr m:val="("/>
                  <m:sepChr m:val=""/>
                  <m:endChr m:val=")"/>
                  <m:grow/>
                </m:dPr>
                <m:e>
                  <m:sSub>
                    <m:e>
                      <m:r>
                        <m:t>d</m:t>
                      </m:r>
                    </m:e>
                    <m:sub>
                      <m:r>
                        <m:t>i</m:t>
                      </m:r>
                    </m:sub>
                  </m:sSub>
                </m:e>
              </m:d>
              <m:r>
                <m:t> </m:t>
              </m:r>
              <m:r>
                <m:t>Δ</m:t>
              </m:r>
              <m:sSub>
                <m:e>
                  <m:r>
                    <m:t>t</m:t>
                  </m:r>
                </m:e>
                <m:sub>
                  <m:r>
                    <m:t>i</m:t>
                  </m:r>
                </m:sub>
              </m:sSub>
            </m:e>
          </m:d>
          <m:r>
            <m:rPr>
              <m:sty m:val="p"/>
            </m:rPr>
            <m:t>≈</m:t>
          </m:r>
          <m:r>
            <m:t>0.011</m:t>
          </m:r>
          <m:r>
            <m:t> </m:t>
          </m:r>
          <m:r>
            <m:t>τ</m:t>
          </m:r>
          <m:r>
            <m:t> </m:t>
          </m:r>
          <m:r>
            <m:rPr>
              <m:nor/>
            </m:rPr>
            <m:t>for short exposures</m:t>
          </m:r>
        </m:oMath>
      </m:oMathPara>
    </w:p>
    <w:p>
      <w:pPr>
        <w:spacing w:after="60"/>
        <w:jc w:val="both"/>
      </w:pPr>
      <m:oMath>
        <m:sSub>
          <m:e>
            <m:r>
              <m:t>d</m:t>
            </m:r>
          </m:e>
          <m:sub>
            <m:r>
              <m:t>i</m:t>
            </m:r>
          </m:sub>
        </m:sSub>
      </m:oMath>
      <w:r>
        <w:rPr>
          <w:color w:val="3A4350"/>
          <w:sz w:val="15"/>
          <w:szCs w:val="15"/>
        </w:rPr>
        <w:t xml:space="preserve"> is the estimated distance during exposure window </w:t>
      </w:r>
      <m:oMath>
        <m:r>
          <m:t>i</m:t>
        </m:r>
      </m:oMath>
      <w:r>
        <w:rPr>
          <w:color w:val="3A4350"/>
          <w:sz w:val="15"/>
          <w:szCs w:val="15"/>
        </w:rPr>
        <w:t xml:space="preserve"> of length </w:t>
      </w:r>
      <m:oMath>
        <m:r>
          <m:t>Δ</m:t>
        </m:r>
        <m:sSub>
          <m:e>
            <m:r>
              <m:t>t</m:t>
            </m:r>
          </m:e>
          <m:sub>
            <m:r>
              <m:t>i</m:t>
            </m:r>
          </m:sub>
        </m:sSub>
      </m:oMath>
      <w:r>
        <w:rPr>
          <w:color w:val="3A4350"/>
          <w:sz w:val="15"/>
          <w:szCs w:val="15"/>
        </w:rPr>
        <w:t xml:space="preserve">, </w:t>
      </w:r>
      <m:oMath>
        <m:r>
          <m:t>β</m:t>
        </m:r>
      </m:oMath>
      <w:r>
        <w:rPr>
          <w:color w:val="3A4350"/>
          <w:sz w:val="15"/>
          <w:szCs w:val="15"/>
        </w:rPr>
        <w:t xml:space="preserve"> a distance-dependent transmission rate and </w:t>
      </w:r>
      <m:oMath>
        <m:r>
          <m:t>τ</m:t>
        </m:r>
      </m:oMath>
      <w:r>
        <w:rPr>
          <w:color w:val="3A4350"/>
          <w:sz w:val="15"/>
          <w:szCs w:val="15"/>
        </w:rPr>
        <w:t xml:space="preserve"> the total exposure in hours; the reported initial slope is about 1.1% per hour.</w:t>
      </w:r>
    </w:p>
    <w:p>
      <w:pPr>
        <w:spacing w:after="60"/>
        <w:jc w:val="both"/>
      </w:pPr>
      <w:r>
        <w:rPr>
          <w:b/>
          <w:bCs/>
          <w:color w:val="002147"/>
          <w:sz w:val="17"/>
          <w:szCs w:val="17"/>
        </w:rPr>
        <w:t xml:space="preserve">Link to the Fushë-Kuqe stakeholders. </w:t>
      </w:r>
      <w:r>
        <w:rPr>
          <w:sz w:val="17"/>
          <w:szCs w:val="17"/>
        </w:rPr>
        <w:t xml:space="preserve">Belongs to theme 4. Like exposure notification, a drought contingency plan acts on objective indicators without fresh deliberation. For Fushë-Kuqe, triggers should accumulate measured stress over time (days of low head, cumulative pumping by hotels and irrigators) rather than rely on a single crude threshold, and should target where risk concentrates, such as wells nearest the sea.</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is the largest direct test of a warning trigger applied to millions of people: a graded score of accumulated exposure, not a fixed cut-off, tracks real risk, and risk concentrates in long exposures and households. Published in Nature (2024).</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paper measures how well an indicator predicts harm, not how people complied once warned. For aquifer stakeholders, it is open how to calibrate cumulative triggers when the harm, a chloride breach, is delayed and observed at only a few wells.</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population-scale calibration of a digital exposure score against observed transmission, showing that duration and distance trade off and that risk accumulates almost linearly at first. Proposed extension: define a cumulative drought-exposure score at A1 and P10 (summed head deficit over days), calibrate it against breach probabilities from the 20 000 draws, and set the trigger level that keeps every stakeholder's breach probability at or below 10%.</w:t>
      </w:r>
    </w:p>
    <w:p>
      <w:pPr>
        <w:pStyle w:val="Heading1"/>
      </w:pPr>
      <w:r>
        <w:rPr>
          <w:color w:val="B4410C"/>
        </w:rPr>
        <w:t xml:space="preserve">5. California Institute of Technology (Caltech)</w:t>
      </w:r>
    </w:p>
    <w:p>
      <w:pPr>
        <w:spacing w:after="120"/>
        <w:jc w:val="both"/>
      </w:pPr>
      <w:r>
        <w:t xml:space="preserve">Five Caltech papers. Christina McGranaghan, Kirby Nielsen, Ted O'Donoghue, Jason Somerville and Charles Sprenger separate common-ratio preferences from noise [C1]; Xiaomin Li and Colin Camerer predict mistakes and focal points from visual salience [C2]; Jonathan Chapman, Erik Snowberg, Stephanie Wang and Colin Camerer find loss tolerance as common as loss aversion [C3]; Toby Wise, Dean Mobbs and co-authors predict emotional responses to the pandemic from uncertainty aversion [C4]; and Pang-Wei Liu, James Famiglietti and co-authors, with authors at the Jet Propulsion Laboratory managed by Caltech, measure accelerating groundwater depletion in a megadrought [C5].</w:t>
      </w:r>
    </w:p>
    <w:p>
      <w:pPr>
        <w:keepNext/>
        <w:pBdr>
          <w:top w:val="single" w:color="B4410C" w:sz="6" w:space="4"/>
        </w:pBdr>
        <w:spacing w:after="60" w:before="220"/>
      </w:pPr>
      <w:r>
        <w:rPr>
          <w:b/>
          <w:bCs/>
          <w:color w:val="B4410C"/>
          <w:sz w:val="23"/>
          <w:szCs w:val="23"/>
        </w:rPr>
        <w:t xml:space="preserve">C1  </w:t>
      </w:r>
      <w:r>
        <w:rPr>
          <w:b/>
          <w:bCs/>
          <w:color w:val="1F3864"/>
          <w:sz w:val="23"/>
          <w:szCs w:val="23"/>
        </w:rPr>
        <w:t xml:space="preserve">Distinguishing Common Ratio Preferences from Common Ratio Effects Using Paired Valuation Tasks</w:t>
      </w:r>
    </w:p>
    <w:p>
      <w:pPr>
        <w:keepNext/>
        <w:spacing w:after="60" w:line="240" w:lineRule="auto"/>
      </w:pPr>
      <w:r>
        <w:rPr>
          <w:b/>
          <w:bCs/>
          <w:color w:val="333B47"/>
          <w:sz w:val="15"/>
          <w:szCs w:val="15"/>
        </w:rPr>
        <w:t xml:space="preserve">Authors: </w:t>
      </w:r>
      <w:r>
        <w:rPr>
          <w:sz w:val="15"/>
          <w:szCs w:val="15"/>
        </w:rPr>
        <w:t xml:space="preserve">Christina McGranaghan, Kirby Nielsen, Ted O'Donoghue, Jason Somerville, Charles Sprenger</w:t>
      </w:r>
      <w:r>
        <w:rPr>
          <w:sz w:val="15"/>
          <w:szCs w:val="15"/>
        </w:rPr>
        <w:t xml:space="preserve">   </w:t>
      </w:r>
      <w:r>
        <w:rPr>
          <w:b/>
          <w:bCs/>
          <w:color w:val="333B47"/>
          <w:sz w:val="15"/>
          <w:szCs w:val="15"/>
        </w:rPr>
        <w:t xml:space="preserve">Published in: </w:t>
      </w:r>
      <w:r>
        <w:rPr>
          <w:sz w:val="15"/>
          <w:szCs w:val="15"/>
        </w:rPr>
        <w:t xml:space="preserve">American Economic Review, 114(2), 307–347 (February 2024)</w:t>
      </w:r>
      <w:r>
        <w:rPr>
          <w:sz w:val="15"/>
          <w:szCs w:val="15"/>
        </w:rPr>
        <w:t xml:space="preserve">   </w:t>
      </w:r>
      <w:r>
        <w:rPr>
          <w:b/>
          <w:bCs/>
          <w:color w:val="333B47"/>
          <w:sz w:val="15"/>
          <w:szCs w:val="15"/>
        </w:rPr>
        <w:t xml:space="preserve">Link: </w:t>
      </w:r>
      <w:hyperlink w:history="1" r:id="rId6smdvxtrofo0k6xwymfv3">
        <w:r>
          <w:rPr>
            <w:color w:val="1D4ED8"/>
            <w:sz w:val="15"/>
            <w:szCs w:val="15"/>
            <w:u w:val="single"/>
          </w:rPr>
          <w:t xml:space="preserve">https://doi.org/10.1257/aer.20221535</w:t>
        </w:r>
      </w:hyperlink>
    </w:p>
    <w:p>
      <w:pPr>
        <w:keepNext/>
        <w:spacing w:after="80" w:line="240" w:lineRule="auto"/>
      </w:pPr>
      <w:r>
        <w:rPr>
          <w:b/>
          <w:bCs/>
          <w:color w:val="333B47"/>
          <w:sz w:val="15"/>
          <w:szCs w:val="15"/>
        </w:rPr>
        <w:t xml:space="preserve">Affiliation: </w:t>
      </w:r>
      <w:r>
        <w:rPr>
          <w:color w:val="3A4350"/>
          <w:sz w:val="15"/>
          <w:szCs w:val="15"/>
        </w:rPr>
        <w:t xml:space="preserve">Kirby Nielsen and Charles Sprenger, California Institute of Technology: the article is deposited in CaltechAUTHORS (record 2mgbm-6jh97, "Published February 2024"), Caltech's library people feed lists Sprenger (Sprenger-C-D), and a 2021 Oxford Nuffield CESS seminar lists "Kirby Nielsen (Caltech)". Ted O'Donoghue's Cornell page hosts the paper. Division and the other authors' affiliations not verified.</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(4/5)</w:t>
      </w:r>
    </w:p>
    <w:p>
      <w:pPr>
        <w:spacing w:after="60"/>
        <w:jc w:val="both"/>
      </w:pPr>
      <w:r>
        <w:rPr>
          <w:b/>
          <w:bCs/>
          <w:color w:val="B4410C"/>
          <w:sz w:val="17"/>
          <w:szCs w:val="17"/>
        </w:rPr>
        <w:t xml:space="preserve">Summary. </w:t>
      </w:r>
      <w:r>
        <w:rPr>
          <w:sz w:val="17"/>
          <w:szCs w:val="17"/>
        </w:rPr>
        <w:t xml:space="preserve">The common ratio effect, a preference for a sure amount over a riskier, larger prize that reverses when both winning probabilities are scaled down by the same factor, is classic evidence against expected utility. The authors argue that, without strong assumptions on how noise enters choices, common ratio effects say little about whether a common ratio preference exists: under the same noise assumptions, paired choice tasks can give biased tests of expected utility, whereas paired valuation tasks give unbiased ones. In an online experiment with 900 participants they find no systematic common ratio preference, and the same participants' paired choices show how noise alone produces a common ratio effect.</w:t>
      </w:r>
    </w:p>
    <w:p>
      <w:pPr>
        <w:keepNext/>
        <w:spacing w:after="20" w:before="40"/>
      </w:pPr>
      <w:r>
        <w:rPr>
          <w:b/>
          <w:bCs/>
          <w:color w:val="B4410C"/>
          <w:sz w:val="17"/>
          <w:szCs w:val="17"/>
        </w:rPr>
        <w:t xml:space="preserve">Key equation.</w:t>
      </w:r>
      <w:r>
        <w:rPr>
          <w:i/>
          <w:iCs/>
          <w:color w:val="5B6573"/>
          <w:sz w:val="15"/>
          <w:szCs w:val="15"/>
        </w:rPr>
        <w:t xml:space="preserve">  How Fechnerian noise produces a common ratio effect under expected utility (representative formulation, not transcribed from the paper)</w:t>
      </w:r>
    </w:p>
    <w:p>
      <w:pPr>
        <w:pStyle w:val="Equation"/>
      </w:pPr>
      <m:oMathPara>
        <m:oMathParaPr>
          <m:jc m:val="center"/>
        </m:oMathParaPr>
        <m:oMath>
          <m:r>
            <m:rPr>
              <m:nor/>
            </m:rPr>
            <m:t>Pr</m:t>
          </m:r>
          <m:d>
            <m:dPr>
              <m:begChr m:val="("/>
              <m:sepChr m:val=""/>
              <m:endChr m:val=")"/>
              <m:grow/>
            </m:dPr>
            <m:e>
              <m:sSub>
                <m:e>
                  <m:r>
                    <m:t>R</m:t>
                  </m:r>
                </m:e>
                <m:sub>
                  <m:r>
                    <m:t>α</m:t>
                  </m:r>
                </m:sub>
              </m:sSub>
            </m:e>
          </m:d>
          <m:r>
            <m:rPr>
              <m:sty m:val="p"/>
            </m:rPr>
            <m:t>=</m:t>
          </m:r>
          <m:r>
            <m:t>Φ</m:t>
          </m:r>
          <m:d>
            <m:dPr>
              <m:begChr m:val="("/>
              <m:sepChr m:val=""/>
              <m:endChr m:val=")"/>
              <m:grow/>
            </m:dPr>
            <m:e>
              <m:f>
                <m:fPr>
                  <m:type m:val="bar"/>
                </m:fPr>
                <m:num>
                  <m:r>
                    <m:t>α</m:t>
                  </m:r>
                  <m:d>
                    <m:dPr>
                      <m:begChr m:val="["/>
                      <m:sepChr m:val=""/>
                      <m:endChr m:val="]"/>
                      <m:grow/>
                    </m:dPr>
                    <m:e>
                      <m:r>
                        <m:t>p</m:t>
                      </m:r>
                      <m:r>
                        <m:t>u</m:t>
                      </m:r>
                      <m:d>
                        <m:dPr>
                          <m:begChr m:val="("/>
                          <m:sepChr m:val=""/>
                          <m:endChr m:val=")"/>
                          <m:grow/>
                        </m:dPr>
                        <m:e>
                          <m:r>
                            <m:t>Y</m:t>
                          </m:r>
                        </m:e>
                      </m:d>
                      <m:r>
                        <m:rPr>
                          <m:sty m:val="p"/>
                        </m:rPr>
                        <m:t>−</m:t>
                      </m:r>
                      <m:r>
                        <m:t>u</m:t>
                      </m:r>
                      <m:d>
                        <m:dPr>
                          <m:begChr m:val="("/>
                          <m:sepChr m:val=""/>
                          <m:endChr m:val=")"/>
                          <m:grow/>
                        </m:dPr>
                        <m:e>
                          <m:r>
                            <m:t>X</m:t>
                          </m:r>
                        </m:e>
                      </m:d>
                    </m:e>
                  </m:d>
                </m:num>
                <m:den>
                  <m:r>
                    <m:t>σ</m:t>
                  </m:r>
                </m:den>
              </m:f>
            </m:e>
          </m:d>
        </m:oMath>
      </m:oMathPara>
    </w:p>
    <w:p>
      <w:pPr>
        <w:spacing w:after="60"/>
        <w:jc w:val="both"/>
      </w:pPr>
      <m:oMath>
        <m:sSub>
          <m:e>
            <m:r>
              <m:t>R</m:t>
            </m:r>
          </m:e>
          <m:sub>
            <m:r>
              <m:t>α</m:t>
            </m:r>
          </m:sub>
        </m:sSub>
      </m:oMath>
      <w:r>
        <w:rPr>
          <w:color w:val="3A4350"/>
          <w:sz w:val="15"/>
          <w:szCs w:val="15"/>
        </w:rPr>
        <w:t xml:space="preserve"> is the choice of the risky lottery (win </w:t>
      </w:r>
      <m:oMath>
        <m:r>
          <m:t>Y</m:t>
        </m:r>
      </m:oMath>
      <w:r>
        <w:rPr>
          <w:color w:val="3A4350"/>
          <w:sz w:val="15"/>
          <w:szCs w:val="15"/>
        </w:rPr>
        <w:t xml:space="preserve"> with probability </w:t>
      </w:r>
      <m:oMath>
        <m:r>
          <m:t>α</m:t>
        </m:r>
        <m:r>
          <m:t>p</m:t>
        </m:r>
      </m:oMath>
      <w:r>
        <w:rPr>
          <w:color w:val="3A4350"/>
          <w:sz w:val="15"/>
          <w:szCs w:val="15"/>
        </w:rPr>
        <w:t xml:space="preserve">) over the safer one (win </w:t>
      </w:r>
      <m:oMath>
        <m:r>
          <m:t>X</m:t>
        </m:r>
      </m:oMath>
      <w:r>
        <w:rPr>
          <w:color w:val="3A4350"/>
          <w:sz w:val="15"/>
          <w:szCs w:val="15"/>
        </w:rPr>
        <w:t xml:space="preserve"> with probability </w:t>
      </w:r>
      <m:oMath>
        <m:r>
          <m:t>α</m:t>
        </m:r>
      </m:oMath>
      <w:r>
        <w:rPr>
          <w:color w:val="3A4350"/>
          <w:sz w:val="15"/>
          <w:szCs w:val="15"/>
        </w:rPr>
        <w:t xml:space="preserve">), </w:t>
      </w:r>
      <m:oMath>
        <m:r>
          <m:t>u</m:t>
        </m:r>
      </m:oMath>
      <w:r>
        <w:rPr>
          <w:color w:val="3A4350"/>
          <w:sz w:val="15"/>
          <w:szCs w:val="15"/>
        </w:rPr>
        <w:t xml:space="preserve"> is utility with </w:t>
      </w:r>
      <m:oMath>
        <m:r>
          <m:t>u</m:t>
        </m:r>
        <m:d>
          <m:dPr>
            <m:begChr m:val="("/>
            <m:sepChr m:val=""/>
            <m:endChr m:val=")"/>
            <m:grow/>
          </m:dPr>
          <m:e>
            <m:r>
              <m:t>0</m:t>
            </m:r>
          </m:e>
        </m:d>
        <m:r>
          <m:rPr>
            <m:sty m:val="p"/>
          </m:rPr>
          <m:t>=</m:t>
        </m:r>
        <m:r>
          <m:t>0</m:t>
        </m:r>
      </m:oMath>
      <w:r>
        <w:rPr>
          <w:color w:val="3A4350"/>
          <w:sz w:val="15"/>
          <w:szCs w:val="15"/>
        </w:rPr>
        <w:t xml:space="preserve">, </w:t>
      </w:r>
      <m:oMath>
        <m:r>
          <m:t>σ</m:t>
        </m:r>
      </m:oMath>
      <w:r>
        <w:rPr>
          <w:color w:val="3A4350"/>
          <w:sz w:val="15"/>
          <w:szCs w:val="15"/>
        </w:rPr>
        <w:t xml:space="preserve"> the noise scale and </w:t>
      </w:r>
      <m:oMath>
        <m:r>
          <m:t>Φ</m:t>
        </m:r>
      </m:oMath>
      <w:r>
        <w:rPr>
          <w:color w:val="3A4350"/>
          <w:sz w:val="15"/>
          <w:szCs w:val="15"/>
        </w:rPr>
        <w:t xml:space="preserve"> the normal distribution function; if </w:t>
      </w:r>
      <m:oMath>
        <m:r>
          <m:t>p</m:t>
        </m:r>
        <m:r>
          <m:t>u</m:t>
        </m:r>
        <m:d>
          <m:dPr>
            <m:begChr m:val="("/>
            <m:sepChr m:val=""/>
            <m:endChr m:val=")"/>
            <m:grow/>
          </m:dPr>
          <m:e>
            <m:r>
              <m:t>Y</m:t>
            </m:r>
          </m:e>
        </m:d>
        <m:r>
          <m:rPr>
            <m:sty m:val="p"/>
          </m:rPr>
          <m:t>&lt;</m:t>
        </m:r>
        <m:r>
          <m:t>u</m:t>
        </m:r>
        <m:d>
          <m:dPr>
            <m:begChr m:val="("/>
            <m:sepChr m:val=""/>
            <m:endChr m:val=")"/>
            <m:grow/>
          </m:dPr>
          <m:e>
            <m:r>
              <m:t>X</m:t>
            </m:r>
          </m:e>
        </m:d>
      </m:oMath>
      <w:r>
        <w:rPr>
          <w:color w:val="3A4350"/>
          <w:sz w:val="15"/>
          <w:szCs w:val="15"/>
        </w:rPr>
        <w:t xml:space="preserve">, the share of risky choices rises towards one half as </w:t>
      </w:r>
      <m:oMath>
        <m:r>
          <m:t>α</m:t>
        </m:r>
      </m:oMath>
      <w:r>
        <w:rPr>
          <w:color w:val="3A4350"/>
          <w:sz w:val="15"/>
          <w:szCs w:val="15"/>
        </w:rPr>
        <w:t xml:space="preserve"> falls, a common ratio effect with no common ratio preference.</w:t>
      </w:r>
    </w:p>
    <w:p>
      <w:pPr>
        <w:spacing w:after="60"/>
        <w:jc w:val="both"/>
      </w:pPr>
      <w:r>
        <w:rPr>
          <w:b/>
          <w:bCs/>
          <w:color w:val="B4410C"/>
          <w:sz w:val="17"/>
          <w:szCs w:val="17"/>
        </w:rPr>
        <w:t xml:space="preserve">Link to the Fushë-Kuqe stakeholders. </w:t>
      </w:r>
      <w:r>
        <w:rPr>
          <w:sz w:val="17"/>
          <w:szCs w:val="17"/>
        </w:rPr>
        <w:t xml:space="preserve">Belongs to theme 2. When Fushë-Kuqe stakeholders choose between a safe pumping cap and a riskier, more profitable one, apparent over-weighting of small chloride-exceedance probabilities may be noise rather than preference. Eliciting valuations (the pumping cut each group would accept for a given risk reduction) in normal and drought framings separates the two before the 10% rule is fixed.</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recasts one of the oldest anomalies against expected utility as possibly an artefact of noise, and supplies a test that separates preference from noise. Published in the American Economic Review; a 2026 arXiv paper by Echenique and Tserenjigmid already disputes valuation tests, showing the question is live.</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test uses money lotteries in calm conditions. Whether stakeholders' choices about rare chloride exceedances reflect noise or genuine probability weighting, and whether noise grows under drought stress, is untested; the answer decides whether a crisis rule should correct preferences or absorb noise.</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test of expected utility that stays unbiased under noise assumptions that bias paired-choice tests, and evidence that noise alone generates the common ratio effect. Proposed extension: ask stakeholders what pumping reduction they would accept to cut the A1/P10 exceedance probability from </w:t>
      </w:r>
      <m:oMath>
        <m:r>
          <m:t>p</m:t>
        </m:r>
      </m:oMath>
      <w:r>
        <w:rPr>
          <w:sz w:val="17"/>
          <w:szCs w:val="17"/>
        </w:rPr>
        <w:t xml:space="preserve"> to </w:t>
      </w:r>
      <m:oMath>
        <m:r>
          <m:t>α</m:t>
        </m:r>
        <m:r>
          <m:t>p</m:t>
        </m:r>
      </m:oMath>
      <w:r>
        <w:rPr>
          <w:sz w:val="17"/>
          <w:szCs w:val="17"/>
        </w:rPr>
        <w:t xml:space="preserve">, in normal and drought scenarios; if valuations show no common ratio preference, set triggers on probabilities and treat inconsistent choices as noise within an explicit error margin.</w:t>
      </w:r>
    </w:p>
    <w:p>
      <w:pPr>
        <w:keepNext/>
        <w:pBdr>
          <w:top w:val="single" w:color="B4410C" w:sz="6" w:space="4"/>
        </w:pBdr>
        <w:spacing w:after="60" w:before="220"/>
      </w:pPr>
      <w:r>
        <w:rPr>
          <w:b/>
          <w:bCs/>
          <w:color w:val="B4410C"/>
          <w:sz w:val="23"/>
          <w:szCs w:val="23"/>
        </w:rPr>
        <w:t xml:space="preserve">C2  </w:t>
      </w:r>
      <w:r>
        <w:rPr>
          <w:b/>
          <w:bCs/>
          <w:color w:val="1F3864"/>
          <w:sz w:val="23"/>
          <w:szCs w:val="23"/>
        </w:rPr>
        <w:t xml:space="preserve">Predictable Effects of Visual Salience in Experimental Decisions and Games</w:t>
      </w:r>
    </w:p>
    <w:p>
      <w:pPr>
        <w:keepNext/>
        <w:spacing w:after="60" w:line="240" w:lineRule="auto"/>
      </w:pPr>
      <w:r>
        <w:rPr>
          <w:b/>
          <w:bCs/>
          <w:color w:val="333B47"/>
          <w:sz w:val="15"/>
          <w:szCs w:val="15"/>
        </w:rPr>
        <w:t xml:space="preserve">Authors: </w:t>
      </w:r>
      <w:r>
        <w:rPr>
          <w:sz w:val="15"/>
          <w:szCs w:val="15"/>
        </w:rPr>
        <w:t xml:space="preserve">Xiaomin Li, Colin F. Camerer</w:t>
      </w:r>
      <w:r>
        <w:rPr>
          <w:sz w:val="15"/>
          <w:szCs w:val="15"/>
        </w:rPr>
        <w:t xml:space="preserve">   </w:t>
      </w:r>
      <w:r>
        <w:rPr>
          <w:b/>
          <w:bCs/>
          <w:color w:val="333B47"/>
          <w:sz w:val="15"/>
          <w:szCs w:val="15"/>
        </w:rPr>
        <w:t xml:space="preserve">Published in: </w:t>
      </w:r>
      <w:r>
        <w:rPr>
          <w:sz w:val="15"/>
          <w:szCs w:val="15"/>
        </w:rPr>
        <w:t xml:space="preserve">Quarterly Journal of Economics, 137(3), 1849–1900 (2022)</w:t>
      </w:r>
      <w:r>
        <w:rPr>
          <w:sz w:val="15"/>
          <w:szCs w:val="15"/>
        </w:rPr>
        <w:t xml:space="preserve">   </w:t>
      </w:r>
      <w:r>
        <w:rPr>
          <w:b/>
          <w:bCs/>
          <w:color w:val="333B47"/>
          <w:sz w:val="15"/>
          <w:szCs w:val="15"/>
        </w:rPr>
        <w:t xml:space="preserve">Link: </w:t>
      </w:r>
      <w:hyperlink w:history="1" r:id="rIddhdg6aylxfqnogwsgrx5d">
        <w:r>
          <w:rPr>
            <w:color w:val="1D4ED8"/>
            <w:sz w:val="15"/>
            <w:szCs w:val="15"/>
            <w:u w:val="single"/>
          </w:rPr>
          <w:t xml:space="preserve">https://doi.org/10.1093/qje/qjac025</w:t>
        </w:r>
      </w:hyperlink>
    </w:p>
    <w:p>
      <w:pPr>
        <w:keepNext/>
        <w:spacing w:after="80" w:line="240" w:lineRule="auto"/>
      </w:pPr>
      <w:r>
        <w:rPr>
          <w:b/>
          <w:bCs/>
          <w:color w:val="333B47"/>
          <w:sz w:val="15"/>
          <w:szCs w:val="15"/>
        </w:rPr>
        <w:t xml:space="preserve">Affiliation: </w:t>
      </w:r>
      <w:r>
        <w:rPr>
          <w:color w:val="3A4350"/>
          <w:sz w:val="15"/>
          <w:szCs w:val="15"/>
        </w:rPr>
        <w:t xml:space="preserve">Both authors at the California Institute of Technology: a search summary of the publication record gives both at Caltech, the article is in CaltechAUTHORS (record xf2ca-6v513), and Li's 2021 Caltech Ph.D. thesis "Attention, Strategy, and the Human Mind" (thesis.caltech.edu/13997) contains the work. Division not verified.</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(4/5)</w:t>
      </w:r>
    </w:p>
    <w:p>
      <w:pPr>
        <w:spacing w:after="60"/>
        <w:jc w:val="both"/>
      </w:pPr>
      <w:r>
        <w:rPr>
          <w:b/>
          <w:bCs/>
          <w:color w:val="B4410C"/>
          <w:sz w:val="17"/>
          <w:szCs w:val="17"/>
        </w:rPr>
        <w:t xml:space="preserve">Summary. </w:t>
      </w:r>
      <w:r>
        <w:rPr>
          <w:sz w:val="17"/>
          <w:szCs w:val="17"/>
        </w:rPr>
        <w:t xml:space="preserve">Does bottom-up visual salience, what draws the eye regardless of value, predictably change economic choices? Salience of each item or location is predicted out of sample by a computational model of visual attention. In choices between fruit sets, where salience was by design uncorrelated with value, salient options still pushed people into mistakes. In location-matching coordination games predicted salience correlated strongly with matching success (</w:t>
      </w:r>
      <m:oMath>
        <m:r>
          <m:t>r</m:t>
        </m:r>
        <m:r>
          <m:rPr>
            <m:sty m:val="p"/>
          </m:rPr>
          <m:t>=</m:t>
        </m:r>
        <m:r>
          <m:t>.57</m:t>
        </m:r>
      </m:oMath>
      <w:r>
        <w:rPr>
          <w:sz w:val="17"/>
          <w:szCs w:val="17"/>
        </w:rPr>
        <w:t xml:space="preserve">). In hider–seeker games players picked salient locations more often than the unique Nash equilibrium predicts, giving seekers an advantage, which the authors explain by salience shaping level-0 play in a level-k model; in matrix games the effect was small and weak.</w:t>
      </w:r>
    </w:p>
    <w:p>
      <w:pPr>
        <w:keepNext/>
        <w:spacing w:after="20" w:before="40"/>
      </w:pPr>
      <w:r>
        <w:rPr>
          <w:b/>
          <w:bCs/>
          <w:color w:val="B4410C"/>
          <w:sz w:val="17"/>
          <w:szCs w:val="17"/>
        </w:rPr>
        <w:t xml:space="preserve">Key equation.</w:t>
      </w:r>
      <w:r>
        <w:rPr>
          <w:i/>
          <w:iCs/>
          <w:color w:val="5B6573"/>
          <w:sz w:val="15"/>
          <w:szCs w:val="15"/>
        </w:rPr>
        <w:t xml:space="preserve">  Salience-driven level-0 play and the seeker's winning probability (representative formulation, not transcribed from the paper)</w:t>
      </w:r>
    </w:p>
    <w:p>
      <w:pPr>
        <w:pStyle w:val="Equation"/>
      </w:pPr>
      <m:oMathPara>
        <m:oMathParaPr>
          <m:jc m:val="center"/>
        </m:oMathParaPr>
        <m:oMath>
          <m:sSub>
            <m:e>
              <m:r>
                <m:t>P</m:t>
              </m:r>
            </m:e>
            <m:sub>
              <m:r>
                <m:t>0</m:t>
              </m:r>
            </m:sub>
          </m:sSub>
          <m:d>
            <m:dPr>
              <m:begChr m:val="("/>
              <m:sepChr m:val=""/>
              <m:endChr m:val=")"/>
              <m:grow/>
            </m:dPr>
            <m:e>
              <m:r>
                <m:rPr>
                  <m:sty m:val="p"/>
                </m:rPr>
                <m:t>ℓ</m:t>
              </m:r>
            </m:e>
          </m:d>
          <m:r>
            <m:rPr>
              <m:sty m:val="p"/>
            </m:rPr>
            <m:t>=</m:t>
          </m:r>
          <m:f>
            <m:fPr>
              <m:type m:val="bar"/>
            </m:fPr>
            <m:num>
              <m:sSub>
                <m:e>
                  <m:r>
                    <m:t>s</m:t>
                  </m:r>
                </m:e>
                <m:sub>
                  <m:r>
                    <m:rPr>
                      <m:sty m:val="p"/>
                    </m:rPr>
                    <m:t>ℓ</m:t>
                  </m:r>
                </m:sub>
              </m:sSub>
            </m:num>
            <m:den>
              <m:nary>
                <m:naryPr>
                  <m:chr m:val="∑"/>
                  <m:limLoc m:val="undOvr"/>
                  <m:subHide m:val="off"/>
                  <m:supHide m:val="off"/>
                </m:naryPr>
                <m:sub>
                  <m:r>
                    <m:t>m</m:t>
                  </m:r>
                  <m:r>
                    <m:rPr>
                      <m:sty m:val="p"/>
                    </m:rPr>
                    <m:t>=</m:t>
                  </m:r>
                  <m:r>
                    <m:t>1</m:t>
                  </m:r>
                </m:sub>
                <m:sup>
                  <m:r>
                    <m:t>M</m:t>
                  </m:r>
                </m:sup>
                <m:e>
                  <m:sSub>
                    <m:e>
                      <m:r>
                        <m:t>s</m:t>
                      </m:r>
                    </m:e>
                    <m:sub>
                      <m:r>
                        <m:t>m</m:t>
                      </m:r>
                    </m:sub>
                  </m:sSub>
                </m:e>
              </m:nary>
            </m:den>
          </m:f>
          <m:r>
            <m:rPr>
              <m:sty m:val="p"/>
            </m:rPr>
            <m:t>,</m:t>
          </m:r>
          <m:r>
            <m:t> </m:t>
          </m:r>
          <m:r>
            <m:rPr>
              <m:nor/>
            </m:rPr>
            <m:t>Pr</m:t>
          </m:r>
          <m:d>
            <m:dPr>
              <m:begChr m:val="("/>
              <m:sepChr m:val=""/>
              <m:endChr m:val=")"/>
              <m:grow/>
            </m:dPr>
            <m:e>
              <m:r>
                <m:rPr>
                  <m:nor/>
                </m:rPr>
                <m:t>seeker wins</m:t>
              </m:r>
            </m:e>
          </m:d>
          <m:r>
            <m:rPr>
              <m:sty m:val="p"/>
            </m:rPr>
            <m:t>=</m:t>
          </m:r>
          <m:nary>
            <m:naryPr>
              <m:chr m:val="∑"/>
              <m:limLoc m:val="undOvr"/>
              <m:subHide m:val="off"/>
              <m:supHide m:val="off"/>
            </m:naryPr>
            <m:sub>
              <m:r>
                <m:rPr>
                  <m:sty m:val="p"/>
                </m:rPr>
                <m:t>ℓ</m:t>
              </m:r>
              <m:r>
                <m:rPr>
                  <m:sty m:val="p"/>
                </m:rPr>
                <m:t>=</m:t>
              </m:r>
              <m:r>
                <m:t>1</m:t>
              </m:r>
            </m:sub>
            <m:sup>
              <m:r>
                <m:t>M</m:t>
              </m:r>
            </m:sup>
            <m:e>
              <m:sSub>
                <m:e>
                  <m:r>
                    <m:t>P</m:t>
                  </m:r>
                </m:e>
                <m:sub>
                  <m:r>
                    <m:rPr>
                      <m:nor/>
                    </m:rPr>
                    <m:t>hide</m:t>
                  </m:r>
                </m:sub>
              </m:sSub>
            </m:e>
          </m:nary>
          <m:d>
            <m:dPr>
              <m:begChr m:val="("/>
              <m:sepChr m:val=""/>
              <m:endChr m:val=")"/>
              <m:grow/>
            </m:dPr>
            <m:e>
              <m:r>
                <m:rPr>
                  <m:sty m:val="p"/>
                </m:rPr>
                <m:t>ℓ</m:t>
              </m:r>
            </m:e>
          </m:d>
          <m:sSub>
            <m:e>
              <m:r>
                <m:t>P</m:t>
              </m:r>
            </m:e>
            <m:sub>
              <m:r>
                <m:rPr>
                  <m:nor/>
                </m:rPr>
                <m:t>seek</m:t>
              </m:r>
            </m:sub>
          </m:sSub>
          <m:d>
            <m:dPr>
              <m:begChr m:val="("/>
              <m:sepChr m:val=""/>
              <m:endChr m:val=")"/>
              <m:grow/>
            </m:dPr>
            <m:e>
              <m:r>
                <m:rPr>
                  <m:sty m:val="p"/>
                </m:rPr>
                <m:t>ℓ</m:t>
              </m:r>
            </m:e>
          </m:d>
        </m:oMath>
      </m:oMathPara>
    </w:p>
    <w:p>
      <w:pPr>
        <w:spacing w:after="60"/>
        <w:jc w:val="both"/>
      </w:pPr>
      <m:oMath>
        <m:sSub>
          <m:e>
            <m:r>
              <m:t>s</m:t>
            </m:r>
          </m:e>
          <m:sub>
            <m:r>
              <m:rPr>
                <m:sty m:val="p"/>
              </m:rPr>
              <m:t>ℓ</m:t>
            </m:r>
          </m:sub>
        </m:sSub>
      </m:oMath>
      <w:r>
        <w:rPr>
          <w:color w:val="3A4350"/>
          <w:sz w:val="15"/>
          <w:szCs w:val="15"/>
        </w:rPr>
        <w:t xml:space="preserve"> is the algorithm-predicted salience of location </w:t>
      </w:r>
      <m:oMath>
        <m:r>
          <m:rPr>
            <m:sty m:val="p"/>
          </m:rPr>
          <m:t>ℓ</m:t>
        </m:r>
      </m:oMath>
      <w:r>
        <w:rPr>
          <w:color w:val="3A4350"/>
          <w:sz w:val="15"/>
          <w:szCs w:val="15"/>
        </w:rPr>
        <w:t xml:space="preserve"> among </w:t>
      </w:r>
      <m:oMath>
        <m:r>
          <m:t>M</m:t>
        </m:r>
      </m:oMath>
      <w:r>
        <w:rPr>
          <w:color w:val="3A4350"/>
          <w:sz w:val="15"/>
          <w:szCs w:val="15"/>
        </w:rPr>
        <w:t xml:space="preserve">, </w:t>
      </w:r>
      <m:oMath>
        <m:sSub>
          <m:e>
            <m:r>
              <m:t>P</m:t>
            </m:r>
          </m:e>
          <m:sub>
            <m:r>
              <m:t>0</m:t>
            </m:r>
          </m:sub>
        </m:sSub>
      </m:oMath>
      <w:r>
        <w:rPr>
          <w:color w:val="3A4350"/>
          <w:sz w:val="15"/>
          <w:szCs w:val="15"/>
        </w:rPr>
        <w:t xml:space="preserve"> the level-0 choice distribution and </w:t>
      </w:r>
      <m:oMath>
        <m:sSub>
          <m:e>
            <m:r>
              <m:t>P</m:t>
            </m:r>
          </m:e>
          <m:sub>
            <m:r>
              <m:rPr>
                <m:nor/>
              </m:rPr>
              <m:t>hide</m:t>
            </m:r>
          </m:sub>
        </m:sSub>
      </m:oMath>
      <w:r>
        <w:rPr>
          <w:color w:val="3A4350"/>
          <w:sz w:val="15"/>
          <w:szCs w:val="15"/>
        </w:rPr>
        <w:t xml:space="preserve">, </w:t>
      </w:r>
      <m:oMath>
        <m:sSub>
          <m:e>
            <m:r>
              <m:t>P</m:t>
            </m:r>
          </m:e>
          <m:sub>
            <m:r>
              <m:rPr>
                <m:nor/>
              </m:rPr>
              <m:t>seek</m:t>
            </m:r>
          </m:sub>
        </m:sSub>
      </m:oMath>
      <w:r>
        <w:rPr>
          <w:color w:val="3A4350"/>
          <w:sz w:val="15"/>
          <w:szCs w:val="15"/>
        </w:rPr>
        <w:t xml:space="preserve"> the hiders' and seekers' choice distributions; higher levels best-respond to the level below, so when both roles concentrate on salient locations the seeker wins more often than in equilibrium.</w:t>
      </w:r>
    </w:p>
    <w:p>
      <w:pPr>
        <w:spacing w:after="60"/>
        <w:jc w:val="both"/>
      </w:pPr>
      <w:r>
        <w:rPr>
          <w:b/>
          <w:bCs/>
          <w:color w:val="B4410C"/>
          <w:sz w:val="17"/>
          <w:szCs w:val="17"/>
        </w:rPr>
        <w:t xml:space="preserve">Link to the Fushë-Kuqe stakeholders. </w:t>
      </w:r>
      <w:r>
        <w:rPr>
          <w:sz w:val="17"/>
          <w:szCs w:val="17"/>
        </w:rPr>
        <w:t xml:space="preserve">Belongs to theme 2. In droughts, operators and irrigators act on what dashboards make salient, and a prominent but uninformative reading can steer pumping. Coordination among the utility, hotels and irrigators on a shared trigger succeeds more often when the agreed signal is salient, so the display of the A1, P10 and A30 indicators is part of the decision.</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shows that a pre-trained, value-blind model of visual salience predicts individual mistakes and coordination before data are collected, turning limited attention from a post-hoc story into a quantitative input to economic models. Published in the Quarterly Journal of Economics.</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Salience was studied in one-shot laboratory tasks with images and money. Whether salient but uninformative signals (one well's spike, media images of seawater intrusion) distort pumping under drought stress and time pressure, and how to design salience that aids compliance,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an out-of-sample algorithmic measure of bottom-up salience that predicts mistakes in individual choice and focal points in coordination through salience-driven level-0 play. Proposed extension: build two versions of a Fushë-Kuqe trigger dashboard (chloride at A1, P10 and A30, a recharge index), one making the agreed trigger the most salient element; in a role-play under simulated drought and time pressure, compare how often stakeholders take the agreed action and how often operators exceed licences.</w:t>
      </w:r>
    </w:p>
    <w:p>
      <w:pPr>
        <w:keepNext/>
        <w:pBdr>
          <w:top w:val="single" w:color="B4410C" w:sz="6" w:space="4"/>
        </w:pBdr>
        <w:spacing w:after="60" w:before="220"/>
      </w:pPr>
      <w:r>
        <w:rPr>
          <w:b/>
          <w:bCs/>
          <w:color w:val="B4410C"/>
          <w:sz w:val="23"/>
          <w:szCs w:val="23"/>
        </w:rPr>
        <w:t xml:space="preserve">C3  </w:t>
      </w:r>
      <w:r>
        <w:rPr>
          <w:b/>
          <w:bCs/>
          <w:color w:val="1F3864"/>
          <w:sz w:val="23"/>
          <w:szCs w:val="23"/>
        </w:rPr>
        <w:t xml:space="preserve">Looming Large or Seeming Small? Attitudes Towards Losses in a Representative Sample</w:t>
      </w:r>
    </w:p>
    <w:p>
      <w:pPr>
        <w:keepNext/>
        <w:spacing w:after="60" w:line="240" w:lineRule="auto"/>
      </w:pPr>
      <w:r>
        <w:rPr>
          <w:b/>
          <w:bCs/>
          <w:color w:val="333B47"/>
          <w:sz w:val="15"/>
          <w:szCs w:val="15"/>
        </w:rPr>
        <w:t xml:space="preserve">Authors: </w:t>
      </w:r>
      <w:r>
        <w:rPr>
          <w:sz w:val="15"/>
          <w:szCs w:val="15"/>
        </w:rPr>
        <w:t xml:space="preserve">Jonathan Chapman, Erik Snowberg, Stephanie Wang, Colin Camerer</w:t>
      </w:r>
      <w:r>
        <w:rPr>
          <w:sz w:val="15"/>
          <w:szCs w:val="15"/>
        </w:rPr>
        <w:t xml:space="preserve">   </w:t>
      </w:r>
      <w:r>
        <w:rPr>
          <w:b/>
          <w:bCs/>
          <w:color w:val="333B47"/>
          <w:sz w:val="15"/>
          <w:szCs w:val="15"/>
        </w:rPr>
        <w:t xml:space="preserve">Published in: </w:t>
      </w:r>
      <w:r>
        <w:rPr>
          <w:sz w:val="15"/>
          <w:szCs w:val="15"/>
        </w:rPr>
        <w:t xml:space="preserve">Review of Economic Studies, 92(5), 2893–2922 (2025)</w:t>
      </w:r>
      <w:r>
        <w:rPr>
          <w:sz w:val="15"/>
          <w:szCs w:val="15"/>
        </w:rPr>
        <w:t xml:space="preserve">   </w:t>
      </w:r>
      <w:r>
        <w:rPr>
          <w:b/>
          <w:bCs/>
          <w:color w:val="333B47"/>
          <w:sz w:val="15"/>
          <w:szCs w:val="15"/>
        </w:rPr>
        <w:t xml:space="preserve">Link: </w:t>
      </w:r>
      <w:hyperlink w:history="1" r:id="rIdci-tiavi9yzi7pxtqewu7">
        <w:r>
          <w:rPr>
            <w:color w:val="1D4ED8"/>
            <w:sz w:val="15"/>
            <w:szCs w:val="15"/>
            <w:u w:val="single"/>
          </w:rPr>
          <w:t xml:space="preserve">https://doi.org/10.1093/restud/rdae093</w:t>
        </w:r>
      </w:hyperlink>
    </w:p>
    <w:p>
      <w:pPr>
        <w:keepNext/>
        <w:spacing w:after="80" w:line="240" w:lineRule="auto"/>
      </w:pPr>
      <w:r>
        <w:rPr>
          <w:b/>
          <w:bCs/>
          <w:color w:val="333B47"/>
          <w:sz w:val="15"/>
          <w:szCs w:val="15"/>
        </w:rPr>
        <w:t xml:space="preserve">Affiliation: </w:t>
      </w:r>
      <w:r>
        <w:rPr>
          <w:color w:val="3A4350"/>
          <w:sz w:val="15"/>
          <w:szCs w:val="15"/>
        </w:rPr>
        <w:t xml:space="preserve">Colin Camerer, California Institute of Technology: the journal PDF is deposited in CaltechAUTHORS (record b7z7w-g4s35, "Review of Economic Studies (2024)", the online year), and Camerer's Caltech affiliation is confirmed by the Li &amp; Camerer (2022) record. Earlier versions are NBER Working Paper 30243 and CESifo Working Paper 9820 (2022). Co-authors' affiliations not verified.</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(4/5)</w:t>
      </w:r>
    </w:p>
    <w:p>
      <w:pPr>
        <w:spacing w:after="60"/>
        <w:jc w:val="both"/>
      </w:pPr>
      <w:r>
        <w:rPr>
          <w:b/>
          <w:bCs/>
          <w:color w:val="B4410C"/>
          <w:sz w:val="17"/>
          <w:szCs w:val="17"/>
        </w:rPr>
        <w:t xml:space="preserve">Summary. </w:t>
      </w:r>
      <w:r>
        <w:rPr>
          <w:sz w:val="17"/>
          <w:szCs w:val="17"/>
        </w:rPr>
        <w:t xml:space="preserve">Loss aversion, losses weighing more than equal gains, is a pillar of behavioural models of risk, and laboratory and student studies typically classify 70–90% of participants as loss averse. The authors measure loss attitudes with incentivised lottery choices in three representative surveys of the US population (combined </w:t>
      </w:r>
      <m:oMath>
        <m:r>
          <m:t>N</m:t>
        </m:r>
        <m:r>
          <m:rPr>
            <m:sty m:val="p"/>
          </m:rPr>
          <m:t>≈</m:t>
        </m:r>
        <m:r>
          <m:t>3000</m:t>
        </m:r>
      </m:oMath>
      <w:r>
        <w:rPr>
          <w:sz w:val="17"/>
          <w:szCs w:val="17"/>
        </w:rPr>
        <w:t xml:space="preserve">). About half of Americans are loss tolerant: they accept mixed gambles with negative expected value that include a possible loss. Loss aversion is more common among people with higher cognitive ability, and the results depart from what experts expected.</w:t>
      </w:r>
    </w:p>
    <w:p>
      <w:pPr>
        <w:keepNext/>
        <w:spacing w:after="20" w:before="40"/>
      </w:pPr>
      <w:r>
        <w:rPr>
          <w:b/>
          <w:bCs/>
          <w:color w:val="B4410C"/>
          <w:sz w:val="17"/>
          <w:szCs w:val="17"/>
        </w:rPr>
        <w:t xml:space="preserve">Key equation.</w:t>
      </w:r>
      <w:r>
        <w:rPr>
          <w:i/>
          <w:iCs/>
          <w:color w:val="5B6573"/>
          <w:sz w:val="15"/>
          <w:szCs w:val="15"/>
        </w:rPr>
        <w:t xml:space="preserve">  Prospect-theory value function with a loss parameter (representative formulation, not transcribed from the paper)</w:t>
      </w:r>
    </w:p>
    <w:p>
      <w:pPr>
        <w:pStyle w:val="Equation"/>
      </w:pPr>
      <m:oMathPara>
        <m:oMathParaPr>
          <m:jc m:val="center"/>
        </m:oMathParaPr>
        <m:oMath>
          <m:r>
            <m:t>v</m:t>
          </m:r>
          <m:d>
            <m:dPr>
              <m:begChr m:val="("/>
              <m:sepChr m:val=""/>
              <m:endChr m:val=")"/>
              <m:grow/>
            </m:dPr>
            <m:e>
              <m:r>
                <m:t>x</m:t>
              </m:r>
            </m:e>
          </m:d>
          <m:r>
            <m:rPr>
              <m:sty m:val="p"/>
            </m:rPr>
            <m:t>=</m:t>
          </m:r>
          <m:sSup>
            <m:e>
              <m:r>
                <m:t>x</m:t>
              </m:r>
            </m:e>
            <m:sup>
              <m:r>
                <m:t>ρ</m:t>
              </m:r>
            </m:sup>
          </m:sSup>
          <m:r>
            <m:rPr>
              <m:sty m:val="b"/>
            </m:rPr>
            <m:t>1</m:t>
          </m:r>
          <m:d>
            <m:dPr>
              <m:begChr m:val="{"/>
              <m:sepChr m:val=""/>
              <m:endChr m:val="}"/>
              <m:grow/>
            </m:dPr>
            <m:e>
              <m:r>
                <m:t>x</m:t>
              </m:r>
              <m:r>
                <m:rPr>
                  <m:sty m:val="p"/>
                </m:rPr>
                <m:t>≥</m:t>
              </m:r>
              <m:r>
                <m:t>0</m:t>
              </m:r>
            </m:e>
          </m:d>
          <m:r>
            <m:rPr>
              <m:sty m:val="p"/>
            </m:rPr>
            <m:t>−</m:t>
          </m:r>
          <m:r>
            <m:t>λ</m:t>
          </m:r>
          <m:sSup>
            <m:e>
              <m:d>
                <m:dPr>
                  <m:begChr m:val="("/>
                  <m:sepChr m:val=""/>
                  <m:endChr m:val=")"/>
                  <m:grow/>
                </m:dPr>
                <m:e>
                  <m:r>
                    <m:rPr>
                      <m:sty m:val="p"/>
                    </m:rPr>
                    <m:t>−</m:t>
                  </m:r>
                  <m:r>
                    <m:t>x</m:t>
                  </m:r>
                </m:e>
              </m:d>
            </m:e>
            <m:sup>
              <m:r>
                <m:t>ρ</m:t>
              </m:r>
            </m:sup>
          </m:sSup>
          <m:r>
            <m:rPr>
              <m:sty m:val="b"/>
            </m:rPr>
            <m:t>1</m:t>
          </m:r>
          <m:d>
            <m:dPr>
              <m:begChr m:val="{"/>
              <m:sepChr m:val=""/>
              <m:endChr m:val="}"/>
              <m:grow/>
            </m:dPr>
            <m:e>
              <m:r>
                <m:t>x</m:t>
              </m:r>
              <m:r>
                <m:rPr>
                  <m:sty m:val="p"/>
                </m:rPr>
                <m:t>&lt;</m:t>
              </m:r>
              <m:r>
                <m:t>0</m:t>
              </m:r>
            </m:e>
          </m:d>
          <m:r>
            <m:rPr>
              <m:sty m:val="p"/>
            </m:rPr>
            <m:t>,</m:t>
          </m:r>
          <m:r>
            <m:t> </m:t>
          </m:r>
          <m:r>
            <m:rPr>
              <m:nor/>
            </m:rPr>
            <m:t>loss tolerant if </m:t>
          </m:r>
          <m:r>
            <m:t>λ</m:t>
          </m:r>
          <m:r>
            <m:rPr>
              <m:sty m:val="p"/>
            </m:rPr>
            <m:t>&lt;</m:t>
          </m:r>
          <m:r>
            <m:t>1</m:t>
          </m:r>
        </m:oMath>
      </m:oMathPara>
    </w:p>
    <w:p>
      <w:pPr>
        <w:spacing w:after="60"/>
        <w:jc w:val="both"/>
      </w:pPr>
      <m:oMath>
        <m:r>
          <m:t>x</m:t>
        </m:r>
      </m:oMath>
      <w:r>
        <w:rPr>
          <w:color w:val="3A4350"/>
          <w:sz w:val="15"/>
          <w:szCs w:val="15"/>
        </w:rPr>
        <w:t xml:space="preserve"> is a gain or loss relative to the reference point, </w:t>
      </w:r>
      <m:oMath>
        <m:r>
          <m:t>ρ</m:t>
        </m:r>
      </m:oMath>
      <w:r>
        <w:rPr>
          <w:color w:val="3A4350"/>
          <w:sz w:val="15"/>
          <w:szCs w:val="15"/>
        </w:rPr>
        <w:t xml:space="preserve"> the curvature and </w:t>
      </w:r>
      <m:oMath>
        <m:r>
          <m:t>λ</m:t>
        </m:r>
      </m:oMath>
      <w:r>
        <w:rPr>
          <w:color w:val="3A4350"/>
          <w:sz w:val="15"/>
          <w:szCs w:val="15"/>
        </w:rPr>
        <w:t xml:space="preserve"> the loss parameter; with </w:t>
      </w:r>
      <m:oMath>
        <m:r>
          <m:t>λ</m:t>
        </m:r>
        <m:r>
          <m:rPr>
            <m:sty m:val="p"/>
          </m:rPr>
          <m:t>&lt;</m:t>
        </m:r>
        <m:r>
          <m:t>1</m:t>
        </m:r>
      </m:oMath>
      <w:r>
        <w:rPr>
          <w:color w:val="3A4350"/>
          <w:sz w:val="15"/>
          <w:szCs w:val="15"/>
        </w:rPr>
        <w:t xml:space="preserve"> a person accepts a 50:50 gamble whose loss exceeds its gain, that is, a mixed gamble with negative expected value.</w:t>
      </w:r>
    </w:p>
    <w:p>
      <w:pPr>
        <w:spacing w:after="60"/>
        <w:jc w:val="both"/>
      </w:pPr>
      <w:r>
        <w:rPr>
          <w:b/>
          <w:bCs/>
          <w:color w:val="B4410C"/>
          <w:sz w:val="17"/>
          <w:szCs w:val="17"/>
        </w:rPr>
        <w:t xml:space="preserve">Link to the Fushë-Kuqe stakeholders. </w:t>
      </w:r>
      <w:r>
        <w:rPr>
          <w:sz w:val="17"/>
          <w:szCs w:val="17"/>
        </w:rPr>
        <w:t xml:space="preserve">Belongs to theme 3. A rule designed for uniformly loss-averse stakeholders can misjudge Fushë-Kuqe users: if about half of people are loss tolerant, some hoteliers or irrigators will keep pumping in a drought on a negative-expected-value bet that rain will come. Unanimity and radius-of-belief rules should use measured, not assumed, loss attitudes, and caps must bind for the loss tolerant.</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The largest representative, incentivised measurement of loss attitudes, overturning the presumption that most people are loss averse and linking loss attitudes to cognitive ability. Published in the Review of Economic Studies in 2025, after NBER and CESifo circulation.</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Loss attitudes were measured once, over money, in calm times. Whether water users' loss tolerance shifts during drought or after a salinisation shock, and whether it differs for stakes in water, is open; measuring it would show whose behaviour a crisis rule must constrain.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representative, incentivised evidence that loss tolerance is about as common as loss aversion and correlates with cognitive ability, against expert priors. Proposed extension: estimate </w:t>
      </w:r>
      <m:oMath>
        <m:r>
          <m:t>λ</m:t>
        </m:r>
      </m:oMath>
      <w:r>
        <w:rPr>
          <w:sz w:val="17"/>
          <w:szCs w:val="17"/>
        </w:rPr>
        <w:t xml:space="preserve"> for each Fushë-Kuqe stakeholder group with mixed gambles framed in usable water, before and after a simulated drought; on the 20 000 draws, compute how pumping chosen by loss-tolerant users would breach the 10% exceedance rule, and set a drought cap that holds for every measured </w:t>
      </w:r>
      <m:oMath>
        <m:r>
          <m:t>λ</m:t>
        </m:r>
      </m:oMath>
      <w:r>
        <w:rPr>
          <w:sz w:val="17"/>
          <w:szCs w:val="17"/>
        </w:rPr>
        <w:t xml:space="preserve">.</w:t>
      </w:r>
    </w:p>
    <w:p>
      <w:pPr>
        <w:keepNext/>
        <w:pBdr>
          <w:top w:val="single" w:color="B4410C" w:sz="6" w:space="4"/>
        </w:pBdr>
        <w:spacing w:after="60" w:before="220"/>
      </w:pPr>
      <w:r>
        <w:rPr>
          <w:b/>
          <w:bCs/>
          <w:color w:val="B4410C"/>
          <w:sz w:val="23"/>
          <w:szCs w:val="23"/>
        </w:rPr>
        <w:t xml:space="preserve">C4  </w:t>
      </w:r>
      <w:r>
        <w:rPr>
          <w:b/>
          <w:bCs/>
          <w:color w:val="1F3864"/>
          <w:sz w:val="23"/>
          <w:szCs w:val="23"/>
        </w:rPr>
        <w:t xml:space="preserve">Computationally-defined markers of uncertainty aversion predict emotional responses during a global pandemic</w:t>
      </w:r>
    </w:p>
    <w:p>
      <w:pPr>
        <w:keepNext/>
        <w:spacing w:after="60" w:line="240" w:lineRule="auto"/>
      </w:pPr>
      <w:r>
        <w:rPr>
          <w:b/>
          <w:bCs/>
          <w:color w:val="333B47"/>
          <w:sz w:val="15"/>
          <w:szCs w:val="15"/>
        </w:rPr>
        <w:t xml:space="preserve">Authors: </w:t>
      </w:r>
      <w:r>
        <w:rPr>
          <w:sz w:val="15"/>
          <w:szCs w:val="15"/>
        </w:rPr>
        <w:t xml:space="preserve">Toby Wise, Tomislav D. Zbozinek, Caroline J. Charpentier, Giorgia Michelini, Cindy C. Hagan, Dean Mobbs</w:t>
      </w:r>
      <w:r>
        <w:rPr>
          <w:sz w:val="15"/>
          <w:szCs w:val="15"/>
        </w:rPr>
        <w:t xml:space="preserve">   </w:t>
      </w:r>
      <w:r>
        <w:rPr>
          <w:b/>
          <w:bCs/>
          <w:color w:val="333B47"/>
          <w:sz w:val="15"/>
          <w:szCs w:val="15"/>
        </w:rPr>
        <w:t xml:space="preserve">Published in: </w:t>
      </w:r>
      <w:r>
        <w:rPr>
          <w:sz w:val="15"/>
          <w:szCs w:val="15"/>
        </w:rPr>
        <w:t xml:space="preserve">Emotion, 23(3), 722–736 (2023; online June 2022)</w:t>
      </w:r>
      <w:r>
        <w:rPr>
          <w:sz w:val="15"/>
          <w:szCs w:val="15"/>
        </w:rPr>
        <w:t xml:space="preserve">   </w:t>
      </w:r>
      <w:r>
        <w:rPr>
          <w:b/>
          <w:bCs/>
          <w:color w:val="333B47"/>
          <w:sz w:val="15"/>
          <w:szCs w:val="15"/>
        </w:rPr>
        <w:t xml:space="preserve">Link: </w:t>
      </w:r>
      <w:hyperlink w:history="1" r:id="rIdxarwbubkwmonugxlqq8jm">
        <w:r>
          <w:rPr>
            <w:color w:val="1D4ED8"/>
            <w:sz w:val="15"/>
            <w:szCs w:val="15"/>
            <w:u w:val="single"/>
          </w:rPr>
          <w:t xml:space="preserve">https://doi.org/10.1037/emo0001088</w:t>
        </w:r>
      </w:hyperlink>
    </w:p>
    <w:p>
      <w:pPr>
        <w:keepNext/>
        <w:spacing w:after="80" w:line="240" w:lineRule="auto"/>
      </w:pPr>
      <w:r>
        <w:rPr>
          <w:b/>
          <w:bCs/>
          <w:color w:val="333B47"/>
          <w:sz w:val="15"/>
          <w:szCs w:val="15"/>
        </w:rPr>
        <w:t xml:space="preserve">Affiliation: </w:t>
      </w:r>
      <w:r>
        <w:rPr>
          <w:color w:val="3A4350"/>
          <w:sz w:val="15"/>
          <w:szCs w:val="15"/>
        </w:rPr>
        <w:t xml:space="preserve">Caltech (Mobbs laboratory): the article is in CaltechAUTHORS (record gchpd-txj71, "Published April 2023"); Caltech news on the group's 2020 COVID-19 study describes Wise as a visiting postdoctoral scholar at Caltech and Mobbs as a Caltech faculty member affiliated with the Tianqiao and Chrissy Chen Institute for Neuroscience. Affiliations printed in the 2023 article not seen.</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(3/5)</w:t>
      </w:r>
    </w:p>
    <w:p>
      <w:pPr>
        <w:spacing w:after="60"/>
        <w:jc w:val="both"/>
      </w:pPr>
      <w:r>
        <w:rPr>
          <w:b/>
          <w:bCs/>
          <w:color w:val="B4410C"/>
          <w:sz w:val="17"/>
          <w:szCs w:val="17"/>
        </w:rPr>
        <w:t xml:space="preserve">Summary. </w:t>
      </w:r>
      <w:r>
        <w:rPr>
          <w:sz w:val="17"/>
          <w:szCs w:val="17"/>
        </w:rPr>
        <w:t xml:space="preserve">Do decision parameters measured in a simple task predict how people feel when a real crisis strikes? In March 2020, at the onset of the COVID-19 pandemic, 479 US participants completed a decision task with risky and ambiguous gambles, from which computational models estimated their risk and ambiguity attitudes, and reported perceived threat, anxiety and risk; they were surveyed again eight weeks later. Ambiguity aversion in the gain domain predicted perceived threat and pandemic-related anxiety, and larger later increases in the perceived likelihood of infection. The authors conclude that low-level uncertainty aversion is linked to stronger negative emotional responses to the onset and persistence of real-life stress.</w:t>
      </w:r>
    </w:p>
    <w:p>
      <w:pPr>
        <w:keepNext/>
        <w:spacing w:after="20" w:before="40"/>
      </w:pPr>
      <w:r>
        <w:rPr>
          <w:b/>
          <w:bCs/>
          <w:color w:val="B4410C"/>
          <w:sz w:val="17"/>
          <w:szCs w:val="17"/>
        </w:rPr>
        <w:t xml:space="preserve">Key equation.</w:t>
      </w:r>
      <w:r>
        <w:rPr>
          <w:i/>
          <w:iCs/>
          <w:color w:val="5B6573"/>
          <w:sz w:val="15"/>
          <w:szCs w:val="15"/>
        </w:rPr>
        <w:t xml:space="preserve">  Subjective value of a risky and ambiguous gamble (representative formulation of risk-ambiguity models; not transcribed from the paper)</w:t>
      </w:r>
    </w:p>
    <w:p>
      <w:pPr>
        <w:pStyle w:val="Equation"/>
      </w:pPr>
      <m:oMathPara>
        <m:oMathParaPr>
          <m:jc m:val="center"/>
        </m:oMathParaPr>
        <m:oMath>
          <m:r>
            <m:t>S</m:t>
          </m:r>
          <m:r>
            <m:t>V</m:t>
          </m:r>
          <m:r>
            <m:rPr>
              <m:sty m:val="p"/>
            </m:rPr>
            <m:t>=</m:t>
          </m:r>
          <m:d>
            <m:dPr>
              <m:begChr m:val="("/>
              <m:sepChr m:val=""/>
              <m:endChr m:val=")"/>
              <m:grow/>
            </m:dPr>
            <m:e>
              <m:r>
                <m:t>p</m:t>
              </m:r>
              <m:r>
                <m:rPr>
                  <m:sty m:val="p"/>
                </m:rPr>
                <m:t>−</m:t>
              </m:r>
              <m:r>
                <m:t>β</m:t>
              </m:r>
              <m:f>
                <m:fPr>
                  <m:type m:val="bar"/>
                </m:fPr>
                <m:num>
                  <m:r>
                    <m:t>A</m:t>
                  </m:r>
                </m:num>
                <m:den>
                  <m:r>
                    <m:t>2</m:t>
                  </m:r>
                </m:den>
              </m:f>
            </m:e>
          </m:d>
          <m:sSup>
            <m:e>
              <m:r>
                <m:t>v</m:t>
              </m:r>
            </m:e>
            <m:sup>
              <m:r>
                <m:t>α</m:t>
              </m:r>
            </m:sup>
          </m:sSup>
        </m:oMath>
      </m:oMathPara>
    </w:p>
    <w:p>
      <w:pPr>
        <w:spacing w:after="60"/>
        <w:jc w:val="both"/>
      </w:pPr>
      <m:oMath>
        <m:r>
          <m:t>p</m:t>
        </m:r>
      </m:oMath>
      <w:r>
        <w:rPr>
          <w:color w:val="3A4350"/>
          <w:sz w:val="15"/>
          <w:szCs w:val="15"/>
        </w:rPr>
        <w:t xml:space="preserve"> is the stated probability of winning, </w:t>
      </w:r>
      <m:oMath>
        <m:r>
          <m:t>A</m:t>
        </m:r>
      </m:oMath>
      <w:r>
        <w:rPr>
          <w:color w:val="3A4350"/>
          <w:sz w:val="15"/>
          <w:szCs w:val="15"/>
        </w:rPr>
        <w:t xml:space="preserve"> the share of probability that is hidden (ambiguity), </w:t>
      </w:r>
      <m:oMath>
        <m:r>
          <m:t>v</m:t>
        </m:r>
      </m:oMath>
      <w:r>
        <w:rPr>
          <w:color w:val="3A4350"/>
          <w:sz w:val="15"/>
          <w:szCs w:val="15"/>
        </w:rPr>
        <w:t xml:space="preserve"> the amount, </w:t>
      </w:r>
      <m:oMath>
        <m:r>
          <m:t>α</m:t>
        </m:r>
      </m:oMath>
      <w:r>
        <w:rPr>
          <w:color w:val="3A4350"/>
          <w:sz w:val="15"/>
          <w:szCs w:val="15"/>
        </w:rPr>
        <w:t xml:space="preserve"> the risk attitude and </w:t>
      </w:r>
      <m:oMath>
        <m:r>
          <m:t>β</m:t>
        </m:r>
      </m:oMath>
      <w:r>
        <w:rPr>
          <w:color w:val="3A4350"/>
          <w:sz w:val="15"/>
          <w:szCs w:val="15"/>
        </w:rPr>
        <w:t xml:space="preserve"> the ambiguity attitude, with </w:t>
      </w:r>
      <m:oMath>
        <m:r>
          <m:t>β</m:t>
        </m:r>
        <m:r>
          <m:rPr>
            <m:sty m:val="p"/>
          </m:rPr>
          <m:t>&gt;</m:t>
        </m:r>
        <m:r>
          <m:t>0</m:t>
        </m:r>
      </m:oMath>
      <w:r>
        <w:rPr>
          <w:color w:val="3A4350"/>
          <w:sz w:val="15"/>
          <w:szCs w:val="15"/>
        </w:rPr>
        <w:t xml:space="preserve"> meaning ambiguity aversion.</w:t>
      </w:r>
    </w:p>
    <w:p>
      <w:pPr>
        <w:spacing w:after="60"/>
        <w:jc w:val="both"/>
      </w:pPr>
      <w:r>
        <w:rPr>
          <w:b/>
          <w:bCs/>
          <w:color w:val="B4410C"/>
          <w:sz w:val="17"/>
          <w:szCs w:val="17"/>
        </w:rPr>
        <w:t xml:space="preserve">Link to the Fushë-Kuqe stakeholders. </w:t>
      </w:r>
      <w:r>
        <w:rPr>
          <w:sz w:val="17"/>
          <w:szCs w:val="17"/>
        </w:rPr>
        <w:t xml:space="preserve">Belongs to theme 3. Stakeholders most averse to ambiguity in calm times are likely to react most strongly when a drought or intrusion alarm comes. Measuring the ambiguity attitudes of utility managers, hoteliers, irrigators and environmental groups before the dry season shows who may push for drastic or panicked changes, so the contingency plan can pre-empt them.</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Rare evidence linking model-based decision parameters, measured at the start of a real crisis, to emotional and risk-perception trajectories over the following weeks. From the Caltech Mobbs laboratory, which also tracked changing COVID-19 risk perception in the pandemic's first week (Royal Society Open Science, 2020).</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study links attitudes to emotions, not to consequential decisions, and the stressor was a pandemic. Whether pre-measured ambiguity aversion predicts water use or votes on pumping during a drought, and whether a pre-agreed plan weakens that link, is untested for water users.</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uncertainty-aversion parameters estimated from choices at the onset of a crisis predict emotional responses to its onset and persistence. Proposed extension: estimate risk and ambiguity parameters of Fushë-Kuqe stakeholders in a calm season with gambles framed as chloride outcomes, survey them again in the next dry summer, and test whether those bound by a signed contingency plan show a weaker link between ambiguity aversion and drought anxiety or demands for ad hoc changes.</w:t>
      </w:r>
    </w:p>
    <w:p>
      <w:pPr>
        <w:keepNext/>
        <w:pBdr>
          <w:top w:val="single" w:color="B4410C" w:sz="6" w:space="4"/>
        </w:pBdr>
        <w:spacing w:after="60" w:before="220"/>
      </w:pPr>
      <w:r>
        <w:rPr>
          <w:b/>
          <w:bCs/>
          <w:color w:val="B4410C"/>
          <w:sz w:val="23"/>
          <w:szCs w:val="23"/>
        </w:rPr>
        <w:t xml:space="preserve">C5  </w:t>
      </w:r>
      <w:r>
        <w:rPr>
          <w:b/>
          <w:bCs/>
          <w:color w:val="1F3864"/>
          <w:sz w:val="23"/>
          <w:szCs w:val="23"/>
        </w:rPr>
        <w:t xml:space="preserve">Groundwater depletion in California's Central Valley accelerates during megadrought</w:t>
      </w:r>
    </w:p>
    <w:p>
      <w:pPr>
        <w:keepNext/>
        <w:spacing w:after="60" w:line="240" w:lineRule="auto"/>
      </w:pPr>
      <w:r>
        <w:rPr>
          <w:b/>
          <w:bCs/>
          <w:color w:val="333B47"/>
          <w:sz w:val="15"/>
          <w:szCs w:val="15"/>
        </w:rPr>
        <w:t xml:space="preserve">Authors: </w:t>
      </w:r>
      <w:r>
        <w:rPr>
          <w:sz w:val="15"/>
          <w:szCs w:val="15"/>
        </w:rPr>
        <w:t xml:space="preserve">Pang-Wei Liu, James S. Famiglietti, Adam J. Purdy, Kyra H. Adams, Avery L. McEvoy, John T. Reager, Rajat Bindlish, David N. Wiese, Cédric H. David, Matthew Rodell</w:t>
      </w:r>
      <w:r>
        <w:rPr>
          <w:sz w:val="15"/>
          <w:szCs w:val="15"/>
        </w:rPr>
        <w:t xml:space="preserve">   </w:t>
      </w:r>
      <w:r>
        <w:rPr>
          <w:b/>
          <w:bCs/>
          <w:color w:val="333B47"/>
          <w:sz w:val="15"/>
          <w:szCs w:val="15"/>
        </w:rPr>
        <w:t xml:space="preserve">Published in: </w:t>
      </w:r>
      <w:r>
        <w:rPr>
          <w:sz w:val="15"/>
          <w:szCs w:val="15"/>
        </w:rPr>
        <w:t xml:space="preserve">Nature Communications, 13, article 7825 (December 2022)</w:t>
      </w:r>
      <w:r>
        <w:rPr>
          <w:sz w:val="15"/>
          <w:szCs w:val="15"/>
        </w:rPr>
        <w:t xml:space="preserve">   </w:t>
      </w:r>
      <w:r>
        <w:rPr>
          <w:b/>
          <w:bCs/>
          <w:color w:val="333B47"/>
          <w:sz w:val="15"/>
          <w:szCs w:val="15"/>
        </w:rPr>
        <w:t xml:space="preserve">Link: </w:t>
      </w:r>
      <w:hyperlink w:history="1" r:id="rIdmezbwzusmq9kbobgw5jth">
        <w:r>
          <w:rPr>
            <w:color w:val="1D4ED8"/>
            <w:sz w:val="15"/>
            <w:szCs w:val="15"/>
            <w:u w:val="single"/>
          </w:rPr>
          <w:t xml:space="preserve">https://doi.org/10.1038/s41467-022-35582-x</w:t>
        </w:r>
      </w:hyperlink>
    </w:p>
    <w:p>
      <w:pPr>
        <w:keepNext/>
        <w:spacing w:after="80" w:line="240" w:lineRule="auto"/>
      </w:pPr>
      <w:r>
        <w:rPr>
          <w:b/>
          <w:bCs/>
          <w:color w:val="333B47"/>
          <w:sz w:val="15"/>
          <w:szCs w:val="15"/>
        </w:rPr>
        <w:t xml:space="preserve">Affiliation: </w:t>
      </w:r>
      <w:r>
        <w:rPr>
          <w:color w:val="3A4350"/>
          <w:sz w:val="15"/>
          <w:szCs w:val="15"/>
        </w:rPr>
        <w:t xml:space="preserve">Reager, McEvoy, Wiese and David: Jet Propulsion Laboratory, California Institute of Technology, Pasadena (affiliation list as reported from the PubMed Central and NASA NTRS records). JPL is the NASA centre managed by Caltech; no author is on the Caltech campus. Other affiliations not verified.</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(2/5)</w:t>
      </w:r>
    </w:p>
    <w:p>
      <w:pPr>
        <w:spacing w:after="60"/>
        <w:jc w:val="both"/>
      </w:pPr>
      <w:r>
        <w:rPr>
          <w:b/>
          <w:bCs/>
          <w:color w:val="B4410C"/>
          <w:sz w:val="17"/>
          <w:szCs w:val="17"/>
        </w:rPr>
        <w:t xml:space="preserve">Summary. </w:t>
      </w:r>
      <w:r>
        <w:rPr>
          <w:sz w:val="17"/>
          <w:szCs w:val="17"/>
        </w:rPr>
        <w:t xml:space="preserve">Using GRACE and GRACE-FO satellite gravimetry, the authors estimate groundwater storage change in California's Central Valley and set it against a longer record. Depletion averaged 1.86 km³/yr over 1961–2021, 2.41 km³/yr over 2003–2021 and 8.58 km³/yr over 2019–2021, during the megadrought in southwestern North America. The megadrought rate was 31% greater than in the two preceding droughts (2006–2011 and 2011–2017) and nearly five times the long-term average since the 1960s. The authors conclude that groundwater management must be implemented faster to keep supplies available through future droughts.</w:t>
      </w:r>
    </w:p>
    <w:p>
      <w:pPr>
        <w:keepNext/>
        <w:spacing w:after="20" w:before="40"/>
      </w:pPr>
      <w:r>
        <w:rPr>
          <w:b/>
          <w:bCs/>
          <w:color w:val="B4410C"/>
          <w:sz w:val="17"/>
          <w:szCs w:val="17"/>
        </w:rPr>
        <w:t xml:space="preserve">Key equation.</w:t>
      </w:r>
      <w:r>
        <w:rPr>
          <w:i/>
          <w:iCs/>
          <w:color w:val="5B6573"/>
          <w:sz w:val="15"/>
          <w:szCs w:val="15"/>
        </w:rPr>
        <w:t xml:space="preserve">  Groundwater storage change isolated from satellite total water storage (standard water-budget formulation, not transcribed from the paper)</w:t>
      </w:r>
    </w:p>
    <w:p>
      <w:pPr>
        <w:pStyle w:val="Equation"/>
      </w:pPr>
      <m:oMathPara>
        <m:oMathParaPr>
          <m:jc m:val="center"/>
        </m:oMathParaPr>
        <m:oMath>
          <m:r>
            <m:t>Δ</m:t>
          </m:r>
          <m:r>
            <m:rPr>
              <m:nor/>
            </m:rPr>
            <m:t>GWS</m:t>
          </m:r>
          <m:r>
            <m:rPr>
              <m:sty m:val="p"/>
            </m:rPr>
            <m:t>=</m:t>
          </m:r>
          <m:r>
            <m:t>Δ</m:t>
          </m:r>
          <m:r>
            <m:rPr>
              <m:nor/>
            </m:rPr>
            <m:t>TWS</m:t>
          </m:r>
          <m:r>
            <m:rPr>
              <m:sty m:val="p"/>
            </m:rPr>
            <m:t>−</m:t>
          </m:r>
          <m:r>
            <m:t>Δ</m:t>
          </m:r>
          <m:r>
            <m:rPr>
              <m:nor/>
            </m:rPr>
            <m:t>SM</m:t>
          </m:r>
          <m:r>
            <m:rPr>
              <m:sty m:val="p"/>
            </m:rPr>
            <m:t>−</m:t>
          </m:r>
          <m:r>
            <m:t>Δ</m:t>
          </m:r>
          <m:r>
            <m:rPr>
              <m:nor/>
            </m:rPr>
            <m:t>SWE</m:t>
          </m:r>
          <m:r>
            <m:rPr>
              <m:sty m:val="p"/>
            </m:rPr>
            <m:t>−</m:t>
          </m:r>
          <m:r>
            <m:t>Δ</m:t>
          </m:r>
          <m:r>
            <m:rPr>
              <m:nor/>
            </m:rPr>
            <m:t>SW</m:t>
          </m:r>
        </m:oMath>
      </m:oMathPara>
    </w:p>
    <w:p>
      <w:pPr>
        <w:spacing w:after="60"/>
        <w:jc w:val="both"/>
      </w:pPr>
      <m:oMath>
        <m:r>
          <m:t>Δ</m:t>
        </m:r>
        <m:r>
          <m:rPr>
            <m:nor/>
          </m:rPr>
          <m:t>TWS</m:t>
        </m:r>
      </m:oMath>
      <w:r>
        <w:rPr>
          <w:color w:val="3A4350"/>
          <w:sz w:val="15"/>
          <w:szCs w:val="15"/>
        </w:rPr>
        <w:t xml:space="preserve"> is the GRACE/GRACE-FO total water storage anomaly, from which changes in soil moisture (SM), snow water equivalent (SWE) and surface-water and reservoir storage (SW) are subtracted to give the groundwater storage change </w:t>
      </w:r>
      <m:oMath>
        <m:r>
          <m:t>Δ</m:t>
        </m:r>
        <m:r>
          <m:rPr>
            <m:nor/>
          </m:rPr>
          <m:t>GWS</m:t>
        </m:r>
      </m:oMath>
      <w:r>
        <w:rPr>
          <w:color w:val="3A4350"/>
          <w:sz w:val="15"/>
          <w:szCs w:val="15"/>
        </w:rPr>
        <w:t xml:space="preserve">.</w:t>
      </w:r>
    </w:p>
    <w:p>
      <w:pPr>
        <w:spacing w:after="60"/>
        <w:jc w:val="both"/>
      </w:pPr>
      <w:r>
        <w:rPr>
          <w:b/>
          <w:bCs/>
          <w:color w:val="B4410C"/>
          <w:sz w:val="17"/>
          <w:szCs w:val="17"/>
        </w:rPr>
        <w:t xml:space="preserve">Link to the Fushë-Kuqe stakeholders. </w:t>
      </w:r>
      <w:r>
        <w:rPr>
          <w:sz w:val="17"/>
          <w:szCs w:val="17"/>
        </w:rPr>
        <w:t xml:space="preserve">Belongs to theme 1. It quantifies the extreme regime a Fushë-Kuqe plan must survive: in a megadrought, aquifer depletion runs at several times its normal rate, which in a coastal aquifer moves the mixing zone landward towards A1 and P10. Triggers on objective storage or head indicators, agreed in advance, can switch the wells to drought caps without fresh deliberation.</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A Nature Communications study with NASA JPL (Caltech) co-authors showing that groundwater depletion accelerates from one drought to the next, with the 2019–2021 rate more than three times the 2003–2021 mean: an objective, observation-based measure of the drought regime that groundwater rules must withstand.</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study measures valley-wide storage at satellite resolution and does not link depletion to individual pumpers' decisions or to salinity. How drought-time depletion translates into chloride exceedance at particular wells of a 221.6 km² coastal sector, and which indicator should trigger action,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satellite gravimetry shows that groundwater losses accelerate across successive droughts, with a megadrought rate nearly five times the long-term mean. Proposed extension: drive the Fushë-Kuqe chloride ensemble with recharge and pumping scenarios scaled to the observed drought-to-normal depletion ratio (about 3.6 for 2019–2021 against 2003–2021), find the head or storage level at which the A1 or P10 exceedance probability first passes 10%, and adopt it as the objective drought trigger.</w:t>
      </w:r>
    </w:p>
    <w:p>
      <w:pPr>
        <w:pStyle w:val="Heading1"/>
      </w:pPr>
      <w:r>
        <w:rPr>
          <w:color w:val="4D4D4F"/>
        </w:rPr>
        <w:t xml:space="preserve">6. Massachusetts Institute of Technology (MIT)</w:t>
      </w:r>
    </w:p>
    <w:p>
      <w:pPr>
        <w:spacing w:after="120"/>
        <w:jc w:val="both"/>
      </w:pPr>
      <w:r>
        <w:t xml:space="preserve">Five MIT papers. Stephen Morris and Ming Yang show that coordination with costly information selects one threshold [M1]; Supreet Kaur, Sendhil Mullainathan, Suanna Oh and Frank Schilbach show that financial concerns cause mistakes at work [M2]; Thomas Costello, Gordon Pennycook and David Rand durably reduce conspiracy beliefs with personalised evidence [M3]; Daron Acemoglu, Victor Chernozhukov, Iván Werning and Michael Whinston compute optimal targeted lockdowns [M4]; and Jianghao Wang, Siqi Zheng and co-authors measure how heat lowers expressed sentiment worldwide [M5].</w:t>
      </w:r>
    </w:p>
    <w:p>
      <w:pPr>
        <w:keepNext/>
        <w:pBdr>
          <w:top w:val="single" w:color="4D4D4F" w:sz="6" w:space="4"/>
        </w:pBdr>
        <w:spacing w:after="60" w:before="220"/>
      </w:pPr>
      <w:r>
        <w:rPr>
          <w:b/>
          <w:bCs/>
          <w:color w:val="4D4D4F"/>
          <w:sz w:val="23"/>
          <w:szCs w:val="23"/>
        </w:rPr>
        <w:t xml:space="preserve">M1  </w:t>
      </w:r>
      <w:r>
        <w:rPr>
          <w:b/>
          <w:bCs/>
          <w:color w:val="1F3864"/>
          <w:sz w:val="23"/>
          <w:szCs w:val="23"/>
        </w:rPr>
        <w:t xml:space="preserve">Coordination and Continuous Stochastic Choice</w:t>
      </w:r>
    </w:p>
    <w:p>
      <w:pPr>
        <w:keepNext/>
        <w:spacing w:after="60" w:line="240" w:lineRule="auto"/>
      </w:pPr>
      <w:r>
        <w:rPr>
          <w:b/>
          <w:bCs/>
          <w:color w:val="333B47"/>
          <w:sz w:val="15"/>
          <w:szCs w:val="15"/>
        </w:rPr>
        <w:t xml:space="preserve">Authors: </w:t>
      </w:r>
      <w:r>
        <w:rPr>
          <w:sz w:val="15"/>
          <w:szCs w:val="15"/>
        </w:rPr>
        <w:t xml:space="preserve">Stephen Morris, Ming Yang</w:t>
      </w:r>
      <w:r>
        <w:rPr>
          <w:sz w:val="15"/>
          <w:szCs w:val="15"/>
        </w:rPr>
        <w:t xml:space="preserve">   </w:t>
      </w:r>
      <w:r>
        <w:rPr>
          <w:b/>
          <w:bCs/>
          <w:color w:val="333B47"/>
          <w:sz w:val="15"/>
          <w:szCs w:val="15"/>
        </w:rPr>
        <w:t xml:space="preserve">Published in: </w:t>
      </w:r>
      <w:r>
        <w:rPr>
          <w:sz w:val="15"/>
          <w:szCs w:val="15"/>
        </w:rPr>
        <w:t xml:space="preserve">Review of Economic Studies, 89(5), 2687–2722 (2022); earlier CEPR Discussion Paper DP16495 (August 2021)</w:t>
      </w:r>
      <w:r>
        <w:rPr>
          <w:sz w:val="15"/>
          <w:szCs w:val="15"/>
        </w:rPr>
        <w:t xml:space="preserve">   </w:t>
      </w:r>
      <w:r>
        <w:rPr>
          <w:b/>
          <w:bCs/>
          <w:color w:val="333B47"/>
          <w:sz w:val="15"/>
          <w:szCs w:val="15"/>
        </w:rPr>
        <w:t xml:space="preserve">Link: </w:t>
      </w:r>
      <w:hyperlink w:history="1" r:id="rId-kzlns0ynyzvw5dcxn2am">
        <w:r>
          <w:rPr>
            <w:color w:val="1D4ED8"/>
            <w:sz w:val="15"/>
            <w:szCs w:val="15"/>
            <w:u w:val="single"/>
          </w:rPr>
          <w:t xml:space="preserve">https://doi.org/10.1093/restud/rdab082</w:t>
        </w:r>
      </w:hyperlink>
    </w:p>
    <w:p>
      <w:pPr>
        <w:keepNext/>
        <w:spacing w:after="80" w:line="240" w:lineRule="auto"/>
      </w:pPr>
      <w:r>
        <w:rPr>
          <w:b/>
          <w:bCs/>
          <w:color w:val="333B47"/>
          <w:sz w:val="15"/>
          <w:szCs w:val="15"/>
        </w:rPr>
        <w:t xml:space="preserve">Affiliation: </w:t>
      </w:r>
      <w:r>
        <w:rPr>
          <w:color w:val="3A4350"/>
          <w:sz w:val="15"/>
          <w:szCs w:val="15"/>
        </w:rPr>
        <w:t xml:space="preserve">A bibliographic listing found by search gives Morris as Massachusetts Institute of Technology and Yang as University College London (UCL Discovery also holds the accepted manuscript); a version is hosted on economics.mit.edu. Departments not verified.</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(5/5)</w:t>
      </w:r>
    </w:p>
    <w:p>
      <w:pPr>
        <w:spacing w:after="60"/>
        <w:jc w:val="both"/>
      </w:pPr>
      <w:r>
        <w:rPr>
          <w:b/>
          <w:bCs/>
          <w:color w:val="4D4D4F"/>
          <w:sz w:val="17"/>
          <w:szCs w:val="17"/>
        </w:rPr>
        <w:t xml:space="preserve">Summary. </w:t>
      </w:r>
      <w:r>
        <w:rPr>
          <w:sz w:val="17"/>
          <w:szCs w:val="17"/>
        </w:rPr>
        <w:t xml:space="preserve">Players choose whether to invest; investing pays more when more others invest and when an unobserved state is favourable. Before acting, each player acquires information about the state at a small cost, so behaviour is a stochastic choice rule giving the probability of investing in each state. The paper proves that if discontinuous choice rules are infinitely costly (states arbitrarily close together cannot be told apart perfectly), the equilibrium becomes unique as information costs vanish, and each player acts as if holding a uniform (Laplacian) belief about the proportion of others investing. This generalises global-game selection beyond the additive-noise information structure.</w:t>
      </w:r>
    </w:p>
    <w:p>
      <w:pPr>
        <w:keepNext/>
        <w:spacing w:after="20" w:before="40"/>
      </w:pPr>
      <w:r>
        <w:rPr>
          <w:b/>
          <w:bCs/>
          <w:color w:val="4D4D4F"/>
          <w:sz w:val="17"/>
          <w:szCs w:val="17"/>
        </w:rPr>
        <w:t xml:space="preserve">Key equation.</w:t>
      </w:r>
      <w:r>
        <w:rPr>
          <w:i/>
          <w:iCs/>
          <w:color w:val="5B6573"/>
          <w:sz w:val="15"/>
          <w:szCs w:val="15"/>
        </w:rPr>
        <w:t xml:space="preserve">  Laplacian selection: invest exactly when investing is a best response to a uniform belief over the proportion of others investing (representative formulation)</w:t>
      </w:r>
    </w:p>
    <w:p>
      <w:pPr>
        <w:pStyle w:val="Equation"/>
      </w:pPr>
      <m:oMathPara>
        <m:oMathParaPr>
          <m:jc m:val="center"/>
        </m:oMathParaPr>
        <m:oMath>
          <m:nary>
            <m:naryPr>
              <m:chr m:val="∫"/>
              <m:limLoc m:val="subSup"/>
              <m:subHide m:val="off"/>
              <m:supHide m:val="off"/>
            </m:naryPr>
            <m:sub>
              <m:r>
                <m:t>0</m:t>
              </m:r>
            </m:sub>
            <m:sup>
              <m:r>
                <m:t>1</m:t>
              </m:r>
            </m:sup>
            <m:e>
              <m:r>
                <m:t>u</m:t>
              </m:r>
            </m:e>
          </m:nary>
          <m:d>
            <m:dPr>
              <m:begChr m:val="("/>
              <m:sepChr m:val=""/>
              <m:endChr m:val=")"/>
              <m:grow/>
            </m:dPr>
            <m:e>
              <m:r>
                <m:rPr>
                  <m:sty m:val="p"/>
                </m:rPr>
                <m:t>ℓ</m:t>
              </m:r>
              <m:r>
                <m:rPr>
                  <m:sty m:val="p"/>
                </m:rPr>
                <m:t>,</m:t>
              </m:r>
              <m:sSup>
                <m:e>
                  <m:r>
                    <m:t>θ</m:t>
                  </m:r>
                </m:e>
                <m:sup>
                  <m:r>
                    <m:rPr>
                      <m:sty m:val="p"/>
                    </m:rPr>
                    <m:t>⋆</m:t>
                  </m:r>
                </m:sup>
              </m:sSup>
            </m:e>
          </m:d>
          <m:r>
            <m:t> </m:t>
          </m:r>
          <m:r>
            <m:t>d</m:t>
          </m:r>
          <m:r>
            <m:rPr>
              <m:sty m:val="p"/>
            </m:rPr>
            <m:t>ℓ</m:t>
          </m:r>
          <m:r>
            <m:rPr>
              <m:sty m:val="p"/>
            </m:rPr>
            <m:t>=</m:t>
          </m:r>
          <m:r>
            <m:t>0</m:t>
          </m:r>
          <m:r>
            <m:rPr>
              <m:sty m:val="p"/>
            </m:rPr>
            <m:t>,</m:t>
          </m:r>
          <m:r>
            <m:t>  </m:t>
          </m:r>
          <m:r>
            <m:t>a</m:t>
          </m:r>
          <m:d>
            <m:dPr>
              <m:begChr m:val="("/>
              <m:sepChr m:val=""/>
              <m:endChr m:val=")"/>
              <m:grow/>
            </m:dPr>
            <m:e>
              <m:r>
                <m:t>θ</m:t>
              </m:r>
            </m:e>
          </m:d>
          <m:r>
            <m:rPr>
              <m:sty m:val="p"/>
            </m:rPr>
            <m:t>=</m:t>
          </m:r>
          <m:r>
            <m:rPr>
              <m:sty m:val="b"/>
            </m:rPr>
            <m:t>1</m:t>
          </m:r>
          <m:d>
            <m:dPr>
              <m:begChr m:val="{"/>
              <m:sepChr m:val=""/>
              <m:endChr m:val="}"/>
              <m:grow/>
            </m:dPr>
            <m:e>
              <m:r>
                <m:t>θ</m:t>
              </m:r>
              <m:r>
                <m:rPr>
                  <m:sty m:val="p"/>
                </m:rPr>
                <m:t>≥</m:t>
              </m:r>
              <m:sSup>
                <m:e>
                  <m:r>
                    <m:t>θ</m:t>
                  </m:r>
                </m:e>
                <m:sup>
                  <m:r>
                    <m:rPr>
                      <m:sty m:val="p"/>
                    </m:rPr>
                    <m:t>⋆</m:t>
                  </m:r>
                </m:sup>
              </m:sSup>
            </m:e>
          </m:d>
        </m:oMath>
      </m:oMathPara>
    </w:p>
    <w:p>
      <w:pPr>
        <w:spacing w:after="60"/>
        <w:jc w:val="both"/>
      </w:pPr>
      <m:oMath>
        <m:r>
          <m:t>u</m:t>
        </m:r>
        <m:d>
          <m:dPr>
            <m:begChr m:val="("/>
            <m:sepChr m:val=""/>
            <m:endChr m:val=")"/>
            <m:grow/>
          </m:dPr>
          <m:e>
            <m:r>
              <m:rPr>
                <m:sty m:val="p"/>
              </m:rPr>
              <m:t>ℓ</m:t>
            </m:r>
            <m:r>
              <m:rPr>
                <m:sty m:val="p"/>
              </m:rPr>
              <m:t>,</m:t>
            </m:r>
            <m:r>
              <m:t>θ</m:t>
            </m:r>
          </m:e>
        </m:d>
      </m:oMath>
      <w:r>
        <w:rPr>
          <w:color w:val="3A4350"/>
          <w:sz w:val="15"/>
          <w:szCs w:val="15"/>
        </w:rPr>
        <w:t xml:space="preserve"> is the gain from investing rather than not when a proportion </w:t>
      </w:r>
      <m:oMath>
        <m:r>
          <m:rPr>
            <m:sty m:val="p"/>
          </m:rPr>
          <m:t>ℓ</m:t>
        </m:r>
      </m:oMath>
      <w:r>
        <w:rPr>
          <w:color w:val="3A4350"/>
          <w:sz w:val="15"/>
          <w:szCs w:val="15"/>
        </w:rPr>
        <w:t xml:space="preserve"> of others invest in state </w:t>
      </w:r>
      <m:oMath>
        <m:r>
          <m:t>θ</m:t>
        </m:r>
      </m:oMath>
      <w:r>
        <w:rPr>
          <w:color w:val="3A4350"/>
          <w:sz w:val="15"/>
          <w:szCs w:val="15"/>
        </w:rPr>
        <w:t xml:space="preserve">, and </w:t>
      </w:r>
      <m:oMath>
        <m:sSup>
          <m:e>
            <m:r>
              <m:t>θ</m:t>
            </m:r>
          </m:e>
          <m:sup>
            <m:r>
              <m:rPr>
                <m:sty m:val="p"/>
              </m:rPr>
              <m:t>⋆</m:t>
            </m:r>
          </m:sup>
        </m:sSup>
      </m:oMath>
      <w:r>
        <w:rPr>
          <w:color w:val="3A4350"/>
          <w:sz w:val="15"/>
          <w:szCs w:val="15"/>
        </w:rPr>
        <w:t xml:space="preserve"> is the limiting threshold state above which every player invests, </w:t>
      </w:r>
      <m:oMath>
        <m:r>
          <m:t>a</m:t>
        </m:r>
        <m:d>
          <m:dPr>
            <m:begChr m:val="("/>
            <m:sepChr m:val=""/>
            <m:endChr m:val=")"/>
            <m:grow/>
          </m:dPr>
          <m:e>
            <m:r>
              <m:t>θ</m:t>
            </m:r>
          </m:e>
        </m:d>
        <m:r>
          <m:rPr>
            <m:sty m:val="p"/>
          </m:rPr>
          <m:t>=</m:t>
        </m:r>
        <m:r>
          <m:t>1</m:t>
        </m:r>
      </m:oMath>
      <w:r>
        <w:rPr>
          <w:color w:val="3A4350"/>
          <w:sz w:val="15"/>
          <w:szCs w:val="15"/>
        </w:rPr>
        <w:t xml:space="preserve">, as information costs tend to zero.</w:t>
      </w:r>
    </w:p>
    <w:p>
      <w:pPr>
        <w:spacing w:after="60"/>
        <w:jc w:val="both"/>
      </w:pPr>
      <w:r>
        <w:rPr>
          <w:b/>
          <w:bCs/>
          <w:color w:val="4D4D4F"/>
          <w:sz w:val="17"/>
          <w:szCs w:val="17"/>
        </w:rPr>
        <w:t xml:space="preserve">Link to the Fushë-Kuqe stakeholders. </w:t>
      </w:r>
      <w:r>
        <w:rPr>
          <w:sz w:val="17"/>
          <w:szCs w:val="17"/>
        </w:rPr>
        <w:t xml:space="preserve">Belongs to theme 4. Curtailing pumping in a drought is a coordination problem: a hotel or irrigator gains from cutting back only if enough others do and if the aquifer state is bad. The theorem says that when stakeholders cannot perfectly tell nearby chloride states apart, they converge on one threshold, set by averaging their gain over all participation levels.</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shows that the sharp equilibrium selection of global games (Carlsson and van Damme; Morris and Shin) survives when players choose what to learn, provided fine discrimination between nearby states is infeasible, giving a micro-founded reason why coordination games have one predictable outcome. Published in the Review of Economic Studies.</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Selection is proved for symmetric players with one binary action. Whether six asymmetric stakeholders with different stakes and observation costs (the utility monitors, hotels do not) select a common chloride threshold, and which one,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uniqueness and Laplacian selection derived from the cost of information rather than from an assumed noise structure. Proposed extension: for each stakeholder, compute from the 20 000-draw model the gain from curtailing when a proportion </w:t>
      </w:r>
      <m:oMath>
        <m:r>
          <m:rPr>
            <m:sty m:val="p"/>
          </m:rPr>
          <m:t>ℓ</m:t>
        </m:r>
      </m:oMath>
      <w:r>
        <w:rPr>
          <w:sz w:val="17"/>
          <w:szCs w:val="17"/>
        </w:rPr>
        <w:t xml:space="preserve"> of the others curtail, average it over </w:t>
      </w:r>
      <m:oMath>
        <m:r>
          <m:rPr>
            <m:sty m:val="p"/>
          </m:rPr>
          <m:t>ℓ</m:t>
        </m:r>
      </m:oMath>
      <w:r>
        <w:rPr>
          <w:sz w:val="17"/>
          <w:szCs w:val="17"/>
        </w:rPr>
        <w:t xml:space="preserve">, and take as that stakeholder's drought trigger the A30 chloride level where the average turns positive; test whether the six Laplacian thresholds coincide.</w:t>
      </w:r>
    </w:p>
    <w:p>
      <w:pPr>
        <w:keepNext/>
        <w:pBdr>
          <w:top w:val="single" w:color="4D4D4F" w:sz="6" w:space="4"/>
        </w:pBdr>
        <w:spacing w:after="60" w:before="220"/>
      </w:pPr>
      <w:r>
        <w:rPr>
          <w:b/>
          <w:bCs/>
          <w:color w:val="4D4D4F"/>
          <w:sz w:val="23"/>
          <w:szCs w:val="23"/>
        </w:rPr>
        <w:t xml:space="preserve">M2  </w:t>
      </w:r>
      <w:r>
        <w:rPr>
          <w:b/>
          <w:bCs/>
          <w:color w:val="1F3864"/>
          <w:sz w:val="23"/>
          <w:szCs w:val="23"/>
        </w:rPr>
        <w:t xml:space="preserve">Do Financial Concerns Make Workers Less Productive?</w:t>
      </w:r>
    </w:p>
    <w:p>
      <w:pPr>
        <w:keepNext/>
        <w:spacing w:after="60" w:line="240" w:lineRule="auto"/>
      </w:pPr>
      <w:r>
        <w:rPr>
          <w:b/>
          <w:bCs/>
          <w:color w:val="333B47"/>
          <w:sz w:val="15"/>
          <w:szCs w:val="15"/>
        </w:rPr>
        <w:t xml:space="preserve">Authors: </w:t>
      </w:r>
      <w:r>
        <w:rPr>
          <w:sz w:val="15"/>
          <w:szCs w:val="15"/>
        </w:rPr>
        <w:t xml:space="preserve">Supreet Kaur, Sendhil Mullainathan, Suanna Oh, Frank Schilbach</w:t>
      </w:r>
      <w:r>
        <w:rPr>
          <w:sz w:val="15"/>
          <w:szCs w:val="15"/>
        </w:rPr>
        <w:t xml:space="preserve">   </w:t>
      </w:r>
      <w:r>
        <w:rPr>
          <w:b/>
          <w:bCs/>
          <w:color w:val="333B47"/>
          <w:sz w:val="15"/>
          <w:szCs w:val="15"/>
        </w:rPr>
        <w:t xml:space="preserve">Published in: </w:t>
      </w:r>
      <w:r>
        <w:rPr>
          <w:sz w:val="15"/>
          <w:szCs w:val="15"/>
        </w:rPr>
        <w:t xml:space="preserve">Quarterly Journal of Economics, 140(1), 635–689 (2025; online 2024); NBER Working Paper 28338</w:t>
      </w:r>
      <w:r>
        <w:rPr>
          <w:sz w:val="15"/>
          <w:szCs w:val="15"/>
        </w:rPr>
        <w:t xml:space="preserve">   </w:t>
      </w:r>
      <w:r>
        <w:rPr>
          <w:b/>
          <w:bCs/>
          <w:color w:val="333B47"/>
          <w:sz w:val="15"/>
          <w:szCs w:val="15"/>
        </w:rPr>
        <w:t xml:space="preserve">Link: </w:t>
      </w:r>
      <w:hyperlink w:history="1" r:id="rIdzhcw9fg6qdmzuba11tfxl">
        <w:r>
          <w:rPr>
            <w:color w:val="1D4ED8"/>
            <w:sz w:val="15"/>
            <w:szCs w:val="15"/>
            <w:u w:val="single"/>
          </w:rPr>
          <w:t xml:space="preserve">https://doi.org/10.1093/qje/qjae038</w:t>
        </w:r>
      </w:hyperlink>
    </w:p>
    <w:p>
      <w:pPr>
        <w:keepNext/>
        <w:spacing w:after="80" w:line="240" w:lineRule="auto"/>
      </w:pPr>
      <w:r>
        <w:rPr>
          <w:b/>
          <w:bCs/>
          <w:color w:val="333B47"/>
          <w:sz w:val="15"/>
          <w:szCs w:val="15"/>
        </w:rPr>
        <w:t xml:space="preserve">Affiliation: </w:t>
      </w:r>
      <w:r>
        <w:rPr>
          <w:color w:val="3A4350"/>
          <w:sz w:val="15"/>
          <w:szCs w:val="15"/>
        </w:rPr>
        <w:t xml:space="preserve">The paper is listed on the MIT Department of Economics research publications page and the published version is hosted on economics.mit.edu (search results), consistent with Schilbach at MIT Economics; the Paris School of Economics HAL page lists it (Oh). Other affiliations not verified.</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(4/5)</w:t>
      </w:r>
    </w:p>
    <w:p>
      <w:pPr>
        <w:spacing w:after="60"/>
        <w:jc w:val="both"/>
      </w:pPr>
      <w:r>
        <w:rPr>
          <w:b/>
          <w:bCs/>
          <w:color w:val="4D4D4F"/>
          <w:sz w:val="17"/>
          <w:szCs w:val="17"/>
        </w:rPr>
        <w:t xml:space="preserve">Summary. </w:t>
      </w:r>
      <w:r>
        <w:rPr>
          <w:sz w:val="17"/>
          <w:szCs w:val="17"/>
        </w:rPr>
        <w:t xml:space="preserve">Does worrying about money make people worse at their jobs? In a field experiment with 408 low-income piece-rate manufacturing workers in rural Odisha, India, during the lean season, the authors randomised the timing of wage payments, so some workers received a cash infusion mid-contract while others stayed liquidity constrained; 86% reported being worried about their finances at baseline. Treated workers repaid debts and bought household essentials. Output rose by about 7% (0.11 standard deviations), and costly unintentional mistakes and attentional lapses fell, mainly among the most financially strained. The authors argue that gift exchange and nutrition cannot explain the results.</w:t>
      </w:r>
    </w:p>
    <w:p>
      <w:pPr>
        <w:keepNext/>
        <w:spacing w:after="20" w:before="40"/>
      </w:pPr>
      <w:r>
        <w:rPr>
          <w:b/>
          <w:bCs/>
          <w:color w:val="4D4D4F"/>
          <w:sz w:val="17"/>
          <w:szCs w:val="17"/>
        </w:rPr>
        <w:t xml:space="preserve">Key equation.</w:t>
      </w:r>
      <w:r>
        <w:rPr>
          <w:i/>
          <w:iCs/>
          <w:color w:val="5B6573"/>
          <w:sz w:val="15"/>
          <w:szCs w:val="15"/>
        </w:rPr>
        <w:t xml:space="preserve">  Effect of early payment on output or errors after the cash infusion (representative formulation)</w:t>
      </w:r>
    </w:p>
    <w:p>
      <w:pPr>
        <w:pStyle w:val="Equation"/>
      </w:pPr>
      <m:oMathPara>
        <m:oMathParaPr>
          <m:jc m:val="center"/>
        </m:oMathParaPr>
        <m:oMath>
          <m:sSub>
            <m:e>
              <m:r>
                <m:t>y</m:t>
              </m:r>
            </m:e>
            <m:sub>
              <m:r>
                <m:t>i</m:t>
              </m:r>
              <m:r>
                <m:t>t</m:t>
              </m:r>
            </m:sub>
          </m:sSub>
          <m:r>
            <m:rPr>
              <m:sty m:val="p"/>
            </m:rPr>
            <m:t>=</m:t>
          </m:r>
          <m:sSub>
            <m:e>
              <m:r>
                <m:t>α</m:t>
              </m:r>
            </m:e>
            <m:sub>
              <m:r>
                <m:t>i</m:t>
              </m:r>
            </m:sub>
          </m:sSub>
          <m:r>
            <m:rPr>
              <m:sty m:val="p"/>
            </m:rPr>
            <m:t>+</m:t>
          </m:r>
          <m:sSub>
            <m:e>
              <m:r>
                <m:t>δ</m:t>
              </m:r>
            </m:e>
            <m:sub>
              <m:r>
                <m:t>t</m:t>
              </m:r>
            </m:sub>
          </m:sSub>
          <m:r>
            <m:rPr>
              <m:sty m:val="p"/>
            </m:rPr>
            <m:t>+</m:t>
          </m:r>
          <m:r>
            <m:t>β</m:t>
          </m:r>
          <m:d>
            <m:dPr>
              <m:begChr m:val="("/>
              <m:sepChr m:val=""/>
              <m:endChr m:val=")"/>
              <m:grow/>
            </m:dPr>
            <m:e>
              <m:sSub>
                <m:e>
                  <m:r>
                    <m:t>E</m:t>
                  </m:r>
                </m:e>
                <m:sub>
                  <m:r>
                    <m:t>i</m:t>
                  </m:r>
                </m:sub>
              </m:sSub>
              <m:r>
                <m:rPr>
                  <m:sty m:val="p"/>
                </m:rPr>
                <m:t>×</m:t>
              </m:r>
              <m:sSub>
                <m:e>
                  <m:r>
                    <m:t>P</m:t>
                  </m:r>
                </m:e>
                <m:sub>
                  <m:r>
                    <m:t>t</m:t>
                  </m:r>
                </m:sub>
              </m:sSub>
            </m:e>
          </m:d>
          <m:r>
            <m:rPr>
              <m:sty m:val="p"/>
            </m:rPr>
            <m:t>+</m:t>
          </m:r>
          <m:sSub>
            <m:e>
              <m:r>
                <m:t>ε</m:t>
              </m:r>
            </m:e>
            <m:sub>
              <m:r>
                <m:t>i</m:t>
              </m:r>
              <m:r>
                <m:t>t</m:t>
              </m:r>
            </m:sub>
          </m:sSub>
        </m:oMath>
      </m:oMathPara>
    </w:p>
    <w:p>
      <w:pPr>
        <w:spacing w:after="60"/>
        <w:jc w:val="both"/>
      </w:pPr>
      <m:oMath>
        <m:sSub>
          <m:e>
            <m:r>
              <m:t>y</m:t>
            </m:r>
          </m:e>
          <m:sub>
            <m:r>
              <m:t>i</m:t>
            </m:r>
            <m:r>
              <m:t>t</m:t>
            </m:r>
          </m:sub>
        </m:sSub>
      </m:oMath>
      <w:r>
        <w:rPr>
          <w:color w:val="3A4350"/>
          <w:sz w:val="15"/>
          <w:szCs w:val="15"/>
        </w:rPr>
        <w:t xml:space="preserve"> is output or the error rate of worker </w:t>
      </w:r>
      <m:oMath>
        <m:r>
          <m:t>i</m:t>
        </m:r>
      </m:oMath>
      <w:r>
        <w:rPr>
          <w:color w:val="3A4350"/>
          <w:sz w:val="15"/>
          <w:szCs w:val="15"/>
        </w:rPr>
        <w:t xml:space="preserve"> on day </w:t>
      </w:r>
      <m:oMath>
        <m:r>
          <m:t>t</m:t>
        </m:r>
      </m:oMath>
      <w:r>
        <w:rPr>
          <w:color w:val="3A4350"/>
          <w:sz w:val="15"/>
          <w:szCs w:val="15"/>
        </w:rPr>
        <w:t xml:space="preserve">, </w:t>
      </w:r>
      <m:oMath>
        <m:sSub>
          <m:e>
            <m:r>
              <m:t>E</m:t>
            </m:r>
          </m:e>
          <m:sub>
            <m:r>
              <m:t>i</m:t>
            </m:r>
          </m:sub>
        </m:sSub>
      </m:oMath>
      <w:r>
        <w:rPr>
          <w:color w:val="3A4350"/>
          <w:sz w:val="15"/>
          <w:szCs w:val="15"/>
        </w:rPr>
        <w:t xml:space="preserve"> indicates assignment to early payment, </w:t>
      </w:r>
      <m:oMath>
        <m:sSub>
          <m:e>
            <m:r>
              <m:t>P</m:t>
            </m:r>
          </m:e>
          <m:sub>
            <m:r>
              <m:t>t</m:t>
            </m:r>
          </m:sub>
        </m:sSub>
      </m:oMath>
      <w:r>
        <w:rPr>
          <w:color w:val="3A4350"/>
          <w:sz w:val="15"/>
          <w:szCs w:val="15"/>
        </w:rPr>
        <w:t xml:space="preserve"> marks days after the payment, </w:t>
      </w:r>
      <m:oMath>
        <m:sSub>
          <m:e>
            <m:r>
              <m:t>α</m:t>
            </m:r>
          </m:e>
          <m:sub>
            <m:r>
              <m:t>i</m:t>
            </m:r>
          </m:sub>
        </m:sSub>
      </m:oMath>
      <w:r>
        <w:rPr>
          <w:color w:val="3A4350"/>
          <w:sz w:val="15"/>
          <w:szCs w:val="15"/>
        </w:rPr>
        <w:t xml:space="preserve"> and </w:t>
      </w:r>
      <m:oMath>
        <m:sSub>
          <m:e>
            <m:r>
              <m:t>δ</m:t>
            </m:r>
          </m:e>
          <m:sub>
            <m:r>
              <m:t>t</m:t>
            </m:r>
          </m:sub>
        </m:sSub>
      </m:oMath>
      <w:r>
        <w:rPr>
          <w:color w:val="3A4350"/>
          <w:sz w:val="15"/>
          <w:szCs w:val="15"/>
        </w:rPr>
        <w:t xml:space="preserve"> are worker and day effects, and </w:t>
      </w:r>
      <m:oMath>
        <m:r>
          <m:t>β</m:t>
        </m:r>
      </m:oMath>
      <w:r>
        <w:rPr>
          <w:color w:val="3A4350"/>
          <w:sz w:val="15"/>
          <w:szCs w:val="15"/>
        </w:rPr>
        <w:t xml:space="preserve"> is the effect of relieving financial strain.</w:t>
      </w:r>
    </w:p>
    <w:p>
      <w:pPr>
        <w:spacing w:after="60"/>
        <w:jc w:val="both"/>
      </w:pPr>
      <w:r>
        <w:rPr>
          <w:b/>
          <w:bCs/>
          <w:color w:val="4D4D4F"/>
          <w:sz w:val="17"/>
          <w:szCs w:val="17"/>
        </w:rPr>
        <w:t xml:space="preserve">Link to the Fushë-Kuqe stakeholders. </w:t>
      </w:r>
      <w:r>
        <w:rPr>
          <w:sz w:val="17"/>
          <w:szCs w:val="17"/>
        </w:rPr>
        <w:t xml:space="preserve">Belongs to theme 2. A drought squeezes the cash of irrigators and hotels exactly when pumping must be precise. The paper shows that financial strain itself produces attentional lapses and mistakes, so licence overshoots in dry years are partly a predictable, objective error that the rule should budget for and that timely compensation could reduce.</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A randomised field test of the hypothesis that financial strain taxes attention, measured on real output and real mistakes rather than laboratory tasks, with the mechanism traced to attentional lapses. Published in the Quarterly Journal of Economics; the published version is hosted by MIT Economics.</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Errors were measured in a factory task, not in pumping or metering. Whether drought-induced financial strain raises overshoot of abstraction licences, and by how much, has not been quantified for water users of a coastal aquifer.</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causal evidence that financial concern lowers productivity and raises mistakes through attention, not effort or nutrition. Proposed extension: in a drought year, randomise the timing of compensation payments to Fushë-Kuqe irrigators under a curtailment agreement and measure metered overshoot of licensed volumes; use the estimated overshoot as the human-error margin in the contingency rule protecting A1 and P10.</w:t>
      </w:r>
    </w:p>
    <w:p>
      <w:pPr>
        <w:keepNext/>
        <w:pBdr>
          <w:top w:val="single" w:color="4D4D4F" w:sz="6" w:space="4"/>
        </w:pBdr>
        <w:spacing w:after="60" w:before="220"/>
      </w:pPr>
      <w:r>
        <w:rPr>
          <w:b/>
          <w:bCs/>
          <w:color w:val="4D4D4F"/>
          <w:sz w:val="23"/>
          <w:szCs w:val="23"/>
        </w:rPr>
        <w:t xml:space="preserve">M3  </w:t>
      </w:r>
      <w:r>
        <w:rPr>
          <w:b/>
          <w:bCs/>
          <w:color w:val="1F3864"/>
          <w:sz w:val="23"/>
          <w:szCs w:val="23"/>
        </w:rPr>
        <w:t xml:space="preserve">Durably reducing conspiracy beliefs through dialogues with AI</w:t>
      </w:r>
    </w:p>
    <w:p>
      <w:pPr>
        <w:keepNext/>
        <w:spacing w:after="60" w:line="240" w:lineRule="auto"/>
      </w:pPr>
      <w:r>
        <w:rPr>
          <w:b/>
          <w:bCs/>
          <w:color w:val="333B47"/>
          <w:sz w:val="15"/>
          <w:szCs w:val="15"/>
        </w:rPr>
        <w:t xml:space="preserve">Authors: </w:t>
      </w:r>
      <w:r>
        <w:rPr>
          <w:sz w:val="15"/>
          <w:szCs w:val="15"/>
        </w:rPr>
        <w:t xml:space="preserve">Thomas Costello, Gordon Pennycook, David Rand</w:t>
      </w:r>
      <w:r>
        <w:rPr>
          <w:sz w:val="15"/>
          <w:szCs w:val="15"/>
        </w:rPr>
        <w:t xml:space="preserve">   </w:t>
      </w:r>
      <w:r>
        <w:rPr>
          <w:b/>
          <w:bCs/>
          <w:color w:val="333B47"/>
          <w:sz w:val="15"/>
          <w:szCs w:val="15"/>
        </w:rPr>
        <w:t xml:space="preserve">Published in: </w:t>
      </w:r>
      <w:r>
        <w:rPr>
          <w:sz w:val="15"/>
          <w:szCs w:val="15"/>
        </w:rPr>
        <w:t xml:space="preserve">Science, article eadq1814 (13 September 2024); volume and issue not verified</w:t>
      </w:r>
      <w:r>
        <w:rPr>
          <w:sz w:val="15"/>
          <w:szCs w:val="15"/>
        </w:rPr>
        <w:t xml:space="preserve">   </w:t>
      </w:r>
      <w:r>
        <w:rPr>
          <w:b/>
          <w:bCs/>
          <w:color w:val="333B47"/>
          <w:sz w:val="15"/>
          <w:szCs w:val="15"/>
        </w:rPr>
        <w:t xml:space="preserve">Link: </w:t>
      </w:r>
      <w:hyperlink w:history="1" r:id="rIdssakva-ugzi7q9dhk4ait">
        <w:r>
          <w:rPr>
            <w:color w:val="1D4ED8"/>
            <w:sz w:val="15"/>
            <w:szCs w:val="15"/>
            <w:u w:val="single"/>
          </w:rPr>
          <w:t xml:space="preserve">https://doi.org/10.1126/science.adq1814</w:t>
        </w:r>
      </w:hyperlink>
    </w:p>
    <w:p>
      <w:pPr>
        <w:keepNext/>
        <w:spacing w:after="80" w:line="240" w:lineRule="auto"/>
      </w:pPr>
      <w:r>
        <w:rPr>
          <w:b/>
          <w:bCs/>
          <w:color w:val="333B47"/>
          <w:sz w:val="15"/>
          <w:szCs w:val="15"/>
        </w:rPr>
        <w:t xml:space="preserve">Affiliation: </w:t>
      </w:r>
      <w:r>
        <w:rPr>
          <w:color w:val="3A4350"/>
          <w:sz w:val="15"/>
          <w:szCs w:val="15"/>
        </w:rPr>
        <w:t xml:space="preserve">Search summaries of the MIT Sloan write-up and the Cornell release give Costello at American University, Pennycook at Cornell and Rand at MIT Sloan School of Management.</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(4/5)</w:t>
      </w:r>
    </w:p>
    <w:p>
      <w:pPr>
        <w:spacing w:after="60"/>
        <w:jc w:val="both"/>
      </w:pPr>
      <w:r>
        <w:rPr>
          <w:b/>
          <w:bCs/>
          <w:color w:val="4D4D4F"/>
          <w:sz w:val="17"/>
          <w:szCs w:val="17"/>
        </w:rPr>
        <w:t xml:space="preserve">Summary. </w:t>
      </w:r>
      <w:r>
        <w:rPr>
          <w:sz w:val="17"/>
          <w:szCs w:val="17"/>
        </w:rPr>
        <w:t xml:space="preserve">Conspiracy beliefs are often held to resist evidence because they serve psychological needs. The authors test whether evidence tailored to each believer can change them. In total 2,190 conspiracy believers described, in their own words, a theory they held and the evidence behind it; GPT-4 Turbo then held a personalised, evidence-based dialogue (8.4 minutes on average) addressing that specific evidence. Belief in the chosen theory fell by about 20% on average, the effect persisted undiminished for at least two months, held across many theories and among deeply entrenched believers, and spilled over to unrelated conspiracies and to conspiracy-related behavioural intentions.</w:t>
      </w:r>
    </w:p>
    <w:p>
      <w:pPr>
        <w:keepNext/>
        <w:spacing w:after="20" w:before="40"/>
      </w:pPr>
      <w:r>
        <w:rPr>
          <w:b/>
          <w:bCs/>
          <w:color w:val="4D4D4F"/>
          <w:sz w:val="17"/>
          <w:szCs w:val="17"/>
        </w:rPr>
        <w:t xml:space="preserve">Key equation.</w:t>
      </w:r>
      <w:r>
        <w:rPr>
          <w:i/>
          <w:iCs/>
          <w:color w:val="5B6573"/>
          <w:sz w:val="15"/>
          <w:szCs w:val="15"/>
        </w:rPr>
        <w:t xml:space="preserve">  Treatment effect on post-dialogue belief, controlling for the pre-treatment belief (representative formulation)</w:t>
      </w:r>
    </w:p>
    <w:p>
      <w:pPr>
        <w:pStyle w:val="Equation"/>
      </w:pPr>
      <m:oMathPara>
        <m:oMathParaPr>
          <m:jc m:val="center"/>
        </m:oMathParaPr>
        <m:oMath>
          <m:sSubSup>
            <m:e>
              <m:r>
                <m:t>B</m:t>
              </m:r>
            </m:e>
            <m:sub>
              <m:r>
                <m:t>i</m:t>
              </m:r>
            </m:sub>
            <m:sup>
              <m:r>
                <m:rPr>
                  <m:nor/>
                </m:rPr>
                <m:t>post</m:t>
              </m:r>
            </m:sup>
          </m:sSubSup>
          <m:r>
            <m:rPr>
              <m:sty m:val="p"/>
            </m:rPr>
            <m:t>=</m:t>
          </m:r>
          <m:r>
            <m:t>α</m:t>
          </m:r>
          <m:r>
            <m:rPr>
              <m:sty m:val="p"/>
            </m:rPr>
            <m:t>+</m:t>
          </m:r>
          <m:r>
            <m:t>τ</m:t>
          </m:r>
          <m:r>
            <m:t> </m:t>
          </m:r>
          <m:sSub>
            <m:e>
              <m:r>
                <m:t>T</m:t>
              </m:r>
            </m:e>
            <m:sub>
              <m:r>
                <m:t>i</m:t>
              </m:r>
            </m:sub>
          </m:sSub>
          <m:r>
            <m:rPr>
              <m:sty m:val="p"/>
            </m:rPr>
            <m:t>+</m:t>
          </m:r>
          <m:r>
            <m:t>γ</m:t>
          </m:r>
          <m:r>
            <m:t> </m:t>
          </m:r>
          <m:sSubSup>
            <m:e>
              <m:r>
                <m:t>B</m:t>
              </m:r>
            </m:e>
            <m:sub>
              <m:r>
                <m:t>i</m:t>
              </m:r>
            </m:sub>
            <m:sup>
              <m:r>
                <m:rPr>
                  <m:nor/>
                </m:rPr>
                <m:t>pre</m:t>
              </m:r>
            </m:sup>
          </m:sSubSup>
          <m:r>
            <m:rPr>
              <m:sty m:val="p"/>
            </m:rPr>
            <m:t>+</m:t>
          </m:r>
          <m:sSub>
            <m:e>
              <m:r>
                <m:t>ε</m:t>
              </m:r>
            </m:e>
            <m:sub>
              <m:r>
                <m:t>i</m:t>
              </m:r>
            </m:sub>
          </m:sSub>
        </m:oMath>
      </m:oMathPara>
    </w:p>
    <w:p>
      <w:pPr>
        <w:spacing w:after="60"/>
        <w:jc w:val="both"/>
      </w:pPr>
      <m:oMath>
        <m:sSubSup>
          <m:e>
            <m:r>
              <m:t>B</m:t>
            </m:r>
          </m:e>
          <m:sub>
            <m:r>
              <m:t>i</m:t>
            </m:r>
          </m:sub>
          <m:sup>
            <m:r>
              <m:rPr>
                <m:nor/>
              </m:rPr>
              <m:t>pre</m:t>
            </m:r>
          </m:sup>
        </m:sSubSup>
      </m:oMath>
      <w:r>
        <w:rPr>
          <w:color w:val="3A4350"/>
          <w:sz w:val="15"/>
          <w:szCs w:val="15"/>
        </w:rPr>
        <w:t xml:space="preserve"> and </w:t>
      </w:r>
      <m:oMath>
        <m:sSubSup>
          <m:e>
            <m:r>
              <m:t>B</m:t>
            </m:r>
          </m:e>
          <m:sub>
            <m:r>
              <m:t>i</m:t>
            </m:r>
          </m:sub>
          <m:sup>
            <m:r>
              <m:rPr>
                <m:nor/>
              </m:rPr>
              <m:t>post</m:t>
            </m:r>
          </m:sup>
        </m:sSubSup>
      </m:oMath>
      <w:r>
        <w:rPr>
          <w:color w:val="3A4350"/>
          <w:sz w:val="15"/>
          <w:szCs w:val="15"/>
        </w:rPr>
        <w:t xml:space="preserve"> are participant </w:t>
      </w:r>
      <m:oMath>
        <m:r>
          <m:t>i</m:t>
        </m:r>
      </m:oMath>
      <w:r>
        <w:rPr>
          <w:color w:val="3A4350"/>
          <w:sz w:val="15"/>
          <w:szCs w:val="15"/>
        </w:rPr>
        <w:t xml:space="preserve">'s belief in the chosen theory before and after the conversation, </w:t>
      </w:r>
      <m:oMath>
        <m:sSub>
          <m:e>
            <m:r>
              <m:t>T</m:t>
            </m:r>
          </m:e>
          <m:sub>
            <m:r>
              <m:t>i</m:t>
            </m:r>
          </m:sub>
        </m:sSub>
      </m:oMath>
      <w:r>
        <w:rPr>
          <w:color w:val="3A4350"/>
          <w:sz w:val="15"/>
          <w:szCs w:val="15"/>
        </w:rPr>
        <w:t xml:space="preserve"> indicates assignment to the evidence dialogue, and </w:t>
      </w:r>
      <m:oMath>
        <m:r>
          <m:t>τ</m:t>
        </m:r>
      </m:oMath>
      <w:r>
        <w:rPr>
          <w:color w:val="3A4350"/>
          <w:sz w:val="15"/>
          <w:szCs w:val="15"/>
        </w:rPr>
        <w:t xml:space="preserve"> is the reduction in belief it causes.</w:t>
      </w:r>
    </w:p>
    <w:p>
      <w:pPr>
        <w:spacing w:after="60"/>
        <w:jc w:val="both"/>
      </w:pPr>
      <w:r>
        <w:rPr>
          <w:b/>
          <w:bCs/>
          <w:color w:val="4D4D4F"/>
          <w:sz w:val="17"/>
          <w:szCs w:val="17"/>
        </w:rPr>
        <w:t xml:space="preserve">Link to the Fushë-Kuqe stakeholders. </w:t>
      </w:r>
      <w:r>
        <w:rPr>
          <w:sz w:val="17"/>
          <w:szCs w:val="17"/>
        </w:rPr>
        <w:t xml:space="preserve">Belongs to theme 3. In a drought, rumours spread: that hotels or the utility, not the sea, cause the salinity, or that sampling at A30 is a pretext. The paper suggests that answering each stakeholder's own stated evidence with the model's results can durably move entrenched beliefs, shrinking the spread of beliefs the unanimous rule must accommodate.</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challenges the view that motivated, identity-laden beliefs are immune to facts, using a large experiment with a two-month follow-up and spillovers to unrelated beliefs. Published in Science and widely reported (MIT Sloan, Cornell, Nieman Lab).</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beliefs moved were conspiracy theories with no personal stakes. Whether personalised evidence dialogues narrow disagreement about chloride risk among stakeholders with money at stake, before and during a drought, is untested.</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scalable, personalised counter-evidence intervention with a large, durable and generalising effect on entrenched beliefs. Proposed extension: before the contingency plan is signed, let each stakeholder state why they doubt the intrusion risk, answer with the 20 000-draw model's own evidence in a structured dialogue, and test whether the dispersion of stated exceedance probabilities at A1 and P10, and hence the radius of belief needed, falls.</w:t>
      </w:r>
    </w:p>
    <w:p>
      <w:pPr>
        <w:keepNext/>
        <w:pBdr>
          <w:top w:val="single" w:color="4D4D4F" w:sz="6" w:space="4"/>
        </w:pBdr>
        <w:spacing w:after="60" w:before="220"/>
      </w:pPr>
      <w:r>
        <w:rPr>
          <w:b/>
          <w:bCs/>
          <w:color w:val="4D4D4F"/>
          <w:sz w:val="23"/>
          <w:szCs w:val="23"/>
        </w:rPr>
        <w:t xml:space="preserve">M4  </w:t>
      </w:r>
      <w:r>
        <w:rPr>
          <w:b/>
          <w:bCs/>
          <w:color w:val="1F3864"/>
          <w:sz w:val="23"/>
          <w:szCs w:val="23"/>
        </w:rPr>
        <w:t xml:space="preserve">Optimal Targeted Lockdowns in a Multigroup SIR Model</w:t>
      </w:r>
    </w:p>
    <w:p>
      <w:pPr>
        <w:keepNext/>
        <w:spacing w:after="60" w:line="240" w:lineRule="auto"/>
      </w:pPr>
      <w:r>
        <w:rPr>
          <w:b/>
          <w:bCs/>
          <w:color w:val="333B47"/>
          <w:sz w:val="15"/>
          <w:szCs w:val="15"/>
        </w:rPr>
        <w:t xml:space="preserve">Authors: </w:t>
      </w:r>
      <w:r>
        <w:rPr>
          <w:sz w:val="15"/>
          <w:szCs w:val="15"/>
        </w:rPr>
        <w:t xml:space="preserve">Daron Acemoglu, Victor Chernozhukov, Iván Werning, Michael Whinston</w:t>
      </w:r>
      <w:r>
        <w:rPr>
          <w:sz w:val="15"/>
          <w:szCs w:val="15"/>
        </w:rPr>
        <w:t xml:space="preserve">   </w:t>
      </w:r>
      <w:r>
        <w:rPr>
          <w:b/>
          <w:bCs/>
          <w:color w:val="333B47"/>
          <w:sz w:val="15"/>
          <w:szCs w:val="15"/>
        </w:rPr>
        <w:t xml:space="preserve">Published in: </w:t>
      </w:r>
      <w:r>
        <w:rPr>
          <w:sz w:val="15"/>
          <w:szCs w:val="15"/>
        </w:rPr>
        <w:t xml:space="preserve">American Economic Review: Insights, 3(4), 487–502 (December 2021); NBER Working Paper 27102 (May 2020)</w:t>
      </w:r>
      <w:r>
        <w:rPr>
          <w:sz w:val="15"/>
          <w:szCs w:val="15"/>
        </w:rPr>
        <w:t xml:space="preserve">   </w:t>
      </w:r>
      <w:r>
        <w:rPr>
          <w:b/>
          <w:bCs/>
          <w:color w:val="333B47"/>
          <w:sz w:val="15"/>
          <w:szCs w:val="15"/>
        </w:rPr>
        <w:t xml:space="preserve">Link: </w:t>
      </w:r>
      <w:hyperlink w:history="1" r:id="rIddgkbd73wter8d6ju2mpnq">
        <w:r>
          <w:rPr>
            <w:color w:val="1D4ED8"/>
            <w:sz w:val="15"/>
            <w:szCs w:val="15"/>
            <w:u w:val="single"/>
          </w:rPr>
          <w:t xml:space="preserve">https://doi.org/10.1257/aeri.20200590</w:t>
        </w:r>
      </w:hyperlink>
    </w:p>
    <w:p>
      <w:pPr>
        <w:keepNext/>
        <w:spacing w:after="80" w:line="240" w:lineRule="auto"/>
      </w:pPr>
      <w:r>
        <w:rPr>
          <w:b/>
          <w:bCs/>
          <w:color w:val="333B47"/>
          <w:sz w:val="15"/>
          <w:szCs w:val="15"/>
        </w:rPr>
        <w:t xml:space="preserve">Affiliation: </w:t>
      </w:r>
      <w:r>
        <w:rPr>
          <w:color w:val="3A4350"/>
          <w:sz w:val="15"/>
          <w:szCs w:val="15"/>
        </w:rPr>
        <w:t xml:space="preserve">The paper is listed on the MIT Department of Economics research publications page (search result); the MIT affiliation of each of the four authors is not separately verified.</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(3/5)</w:t>
      </w:r>
    </w:p>
    <w:p>
      <w:pPr>
        <w:spacing w:after="60"/>
        <w:jc w:val="both"/>
      </w:pPr>
      <w:r>
        <w:rPr>
          <w:b/>
          <w:bCs/>
          <w:color w:val="4D4D4F"/>
          <w:sz w:val="17"/>
          <w:szCs w:val="17"/>
        </w:rPr>
        <w:t xml:space="preserve">Summary. </w:t>
      </w:r>
      <w:r>
        <w:rPr>
          <w:sz w:val="17"/>
          <w:szCs w:val="17"/>
        </w:rPr>
        <w:t xml:space="preserve">The authors extend the SIR epidemic model to several groups (young, middle-aged, old) whose infection, hospitalisation and fatality rates differ, and compute optimal lockdown policies trading lost output against deaths, comparing uniform with semi-targeted and fully targeted policies. For baseline US COVID-19 parameters, targeted policies outperform optimal uniform ones and most of the gain comes from a stricter, longer lockdown of the oldest group, which lowers infections overall and so allows lighter restrictions on lower-risk groups. In the NBER version, at the same 24.3% decline in GDP, mortality falls from 1.83% to 0.71%.</w:t>
      </w:r>
    </w:p>
    <w:p>
      <w:pPr>
        <w:keepNext/>
        <w:spacing w:after="20" w:before="40"/>
      </w:pPr>
      <w:r>
        <w:rPr>
          <w:b/>
          <w:bCs/>
          <w:color w:val="4D4D4F"/>
          <w:sz w:val="17"/>
          <w:szCs w:val="17"/>
        </w:rPr>
        <w:t xml:space="preserve">Key equation.</w:t>
      </w:r>
      <w:r>
        <w:rPr>
          <w:i/>
          <w:iCs/>
          <w:color w:val="5B6573"/>
          <w:sz w:val="15"/>
          <w:szCs w:val="15"/>
        </w:rPr>
        <w:t xml:space="preserve">  Infection dynamics with group-specific lockdown intensities (representative formulation)</w:t>
      </w:r>
    </w:p>
    <w:p>
      <w:pPr>
        <w:pStyle w:val="Equation"/>
      </w:pPr>
      <m:oMathPara>
        <m:oMathParaPr>
          <m:jc m:val="center"/>
        </m:oMathParaPr>
        <m:oMath>
          <m:sSub>
            <m:e>
              <m:acc>
                <m:accPr>
                  <m:chr m:val="̇"/>
                </m:accPr>
                <m:e>
                  <m:r>
                    <m:t>S</m:t>
                  </m:r>
                </m:e>
              </m:acc>
            </m:e>
            <m:sub>
              <m:r>
                <m:t>j</m:t>
              </m:r>
            </m:sub>
          </m:sSub>
          <m:r>
            <m:rPr>
              <m:sty m:val="p"/>
            </m:rPr>
            <m:t>=</m:t>
          </m:r>
          <m:r>
            <m:rPr>
              <m:sty m:val="p"/>
            </m:rPr>
            <m:t>−</m:t>
          </m:r>
          <m:r>
            <m:t>β</m:t>
          </m:r>
          <m:d>
            <m:dPr>
              <m:begChr m:val="("/>
              <m:sepChr m:val=""/>
              <m:endChr m:val=")"/>
              <m:grow/>
            </m:dPr>
            <m:e>
              <m:r>
                <m:t>1</m:t>
              </m:r>
              <m:r>
                <m:rPr>
                  <m:sty m:val="p"/>
                </m:rPr>
                <m:t>−</m:t>
              </m:r>
              <m:r>
                <m:t>θ</m:t>
              </m:r>
              <m:sSub>
                <m:e>
                  <m:r>
                    <m:t>L</m:t>
                  </m:r>
                </m:e>
                <m:sub>
                  <m:r>
                    <m:t>j</m:t>
                  </m:r>
                </m:sub>
              </m:sSub>
            </m:e>
          </m:d>
          <m:sSub>
            <m:e>
              <m:r>
                <m:t>S</m:t>
              </m:r>
            </m:e>
            <m:sub>
              <m:r>
                <m:t>j</m:t>
              </m:r>
            </m:sub>
          </m:sSub>
          <m:nary>
            <m:naryPr>
              <m:chr m:val="∑"/>
              <m:limLoc m:val="undOvr"/>
              <m:subHide m:val="off"/>
              <m:supHide m:val="on"/>
            </m:naryPr>
            <m:sub>
              <m:r>
                <m:t>k</m:t>
              </m:r>
            </m:sub>
            <m:sup>
              <m:r>
                <m:t>​</m:t>
              </m:r>
            </m:sup>
            <m:e>
              <m:sSub>
                <m:e>
                  <m:r>
                    <m:t>ρ</m:t>
                  </m:r>
                </m:e>
                <m:sub>
                  <m:r>
                    <m:t>j</m:t>
                  </m:r>
                  <m:r>
                    <m:t>k</m:t>
                  </m:r>
                </m:sub>
              </m:sSub>
            </m:e>
          </m:nary>
          <m:d>
            <m:dPr>
              <m:begChr m:val="("/>
              <m:sepChr m:val=""/>
              <m:endChr m:val=")"/>
              <m:grow/>
            </m:dPr>
            <m:e>
              <m:r>
                <m:t>1</m:t>
              </m:r>
              <m:r>
                <m:rPr>
                  <m:sty m:val="p"/>
                </m:rPr>
                <m:t>−</m:t>
              </m:r>
              <m:r>
                <m:t>θ</m:t>
              </m:r>
              <m:sSub>
                <m:e>
                  <m:r>
                    <m:t>L</m:t>
                  </m:r>
                </m:e>
                <m:sub>
                  <m:r>
                    <m:t>k</m:t>
                  </m:r>
                </m:sub>
              </m:sSub>
            </m:e>
          </m:d>
          <m:sSub>
            <m:e>
              <m:r>
                <m:t>I</m:t>
              </m:r>
            </m:e>
            <m:sub>
              <m:r>
                <m:t>k</m:t>
              </m:r>
            </m:sub>
          </m:sSub>
        </m:oMath>
      </m:oMathPara>
    </w:p>
    <w:p>
      <w:pPr>
        <w:spacing w:after="60"/>
        <w:jc w:val="both"/>
      </w:pPr>
      <m:oMath>
        <m:sSub>
          <m:e>
            <m:r>
              <m:t>S</m:t>
            </m:r>
          </m:e>
          <m:sub>
            <m:r>
              <m:t>j</m:t>
            </m:r>
          </m:sub>
        </m:sSub>
      </m:oMath>
      <w:r>
        <w:rPr>
          <w:color w:val="3A4350"/>
          <w:sz w:val="15"/>
          <w:szCs w:val="15"/>
        </w:rPr>
        <w:t xml:space="preserve"> and </w:t>
      </w:r>
      <m:oMath>
        <m:sSub>
          <m:e>
            <m:r>
              <m:t>I</m:t>
            </m:r>
          </m:e>
          <m:sub>
            <m:r>
              <m:t>k</m:t>
            </m:r>
          </m:sub>
        </m:sSub>
      </m:oMath>
      <w:r>
        <w:rPr>
          <w:color w:val="3A4350"/>
          <w:sz w:val="15"/>
          <w:szCs w:val="15"/>
        </w:rPr>
        <w:t xml:space="preserve"> are the susceptible and infected shares of groups </w:t>
      </w:r>
      <m:oMath>
        <m:r>
          <m:t>j</m:t>
        </m:r>
      </m:oMath>
      <w:r>
        <w:rPr>
          <w:color w:val="3A4350"/>
          <w:sz w:val="15"/>
          <w:szCs w:val="15"/>
        </w:rPr>
        <w:t xml:space="preserve"> and </w:t>
      </w:r>
      <m:oMath>
        <m:r>
          <m:t>k</m:t>
        </m:r>
      </m:oMath>
      <w:r>
        <w:rPr>
          <w:color w:val="3A4350"/>
          <w:sz w:val="15"/>
          <w:szCs w:val="15"/>
        </w:rPr>
        <w:t xml:space="preserve">, </w:t>
      </w:r>
      <m:oMath>
        <m:sSub>
          <m:e>
            <m:r>
              <m:t>L</m:t>
            </m:r>
          </m:e>
          <m:sub>
            <m:r>
              <m:t>j</m:t>
            </m:r>
          </m:sub>
        </m:sSub>
        <m:r>
          <m:rPr>
            <m:sty m:val="p"/>
          </m:rPr>
          <m:t>∈</m:t>
        </m:r>
        <m:d>
          <m:dPr>
            <m:begChr m:val="["/>
            <m:sepChr m:val=""/>
            <m:endChr m:val="]"/>
            <m:grow/>
          </m:dPr>
          <m:e>
            <m:r>
              <m:t>0</m:t>
            </m:r>
            <m:r>
              <m:rPr>
                <m:sty m:val="p"/>
              </m:rPr>
              <m:t>,</m:t>
            </m:r>
            <m:r>
              <m:t>1</m:t>
            </m:r>
          </m:e>
        </m:d>
      </m:oMath>
      <w:r>
        <w:rPr>
          <w:color w:val="3A4350"/>
          <w:sz w:val="15"/>
          <w:szCs w:val="15"/>
        </w:rPr>
        <w:t xml:space="preserve"> the lockdown intensity of group </w:t>
      </w:r>
      <m:oMath>
        <m:r>
          <m:t>j</m:t>
        </m:r>
      </m:oMath>
      <w:r>
        <w:rPr>
          <w:color w:val="3A4350"/>
          <w:sz w:val="15"/>
          <w:szCs w:val="15"/>
        </w:rPr>
        <w:t xml:space="preserve">, </w:t>
      </w:r>
      <m:oMath>
        <m:r>
          <m:t>θ</m:t>
        </m:r>
      </m:oMath>
      <w:r>
        <w:rPr>
          <w:color w:val="3A4350"/>
          <w:sz w:val="15"/>
          <w:szCs w:val="15"/>
        </w:rPr>
        <w:t xml:space="preserve"> its effectiveness, </w:t>
      </w:r>
      <m:oMath>
        <m:sSub>
          <m:e>
            <m:r>
              <m:t>ρ</m:t>
            </m:r>
          </m:e>
          <m:sub>
            <m:r>
              <m:t>j</m:t>
            </m:r>
            <m:r>
              <m:t>k</m:t>
            </m:r>
          </m:sub>
        </m:sSub>
      </m:oMath>
      <w:r>
        <w:rPr>
          <w:color w:val="3A4350"/>
          <w:sz w:val="15"/>
          <w:szCs w:val="15"/>
        </w:rPr>
        <w:t xml:space="preserve"> contact weights and </w:t>
      </w:r>
      <m:oMath>
        <m:r>
          <m:t>β</m:t>
        </m:r>
      </m:oMath>
      <w:r>
        <w:rPr>
          <w:color w:val="3A4350"/>
          <w:sz w:val="15"/>
          <w:szCs w:val="15"/>
        </w:rPr>
        <w:t xml:space="preserve"> the transmission rate; the planner chooses each </w:t>
      </w:r>
      <m:oMath>
        <m:sSub>
          <m:e>
            <m:r>
              <m:t>L</m:t>
            </m:r>
          </m:e>
          <m:sub>
            <m:r>
              <m:t>j</m:t>
            </m:r>
          </m:sub>
        </m:sSub>
        <m:d>
          <m:dPr>
            <m:begChr m:val="("/>
            <m:sepChr m:val=""/>
            <m:endChr m:val=")"/>
            <m:grow/>
          </m:dPr>
          <m:e>
            <m:r>
              <m:t>t</m:t>
            </m:r>
          </m:e>
        </m:d>
      </m:oMath>
      <w:r>
        <w:rPr>
          <w:color w:val="3A4350"/>
          <w:sz w:val="15"/>
          <w:szCs w:val="15"/>
        </w:rPr>
        <w:t xml:space="preserve"> to minimise output loss plus the cost of deaths.</w:t>
      </w:r>
    </w:p>
    <w:p>
      <w:pPr>
        <w:spacing w:after="60"/>
        <w:jc w:val="both"/>
      </w:pPr>
      <w:r>
        <w:rPr>
          <w:b/>
          <w:bCs/>
          <w:color w:val="4D4D4F"/>
          <w:sz w:val="17"/>
          <w:szCs w:val="17"/>
        </w:rPr>
        <w:t xml:space="preserve">Link to the Fushë-Kuqe stakeholders. </w:t>
      </w:r>
      <w:r>
        <w:rPr>
          <w:sz w:val="17"/>
          <w:szCs w:val="17"/>
        </w:rPr>
        <w:t xml:space="preserve">Belongs to theme 4. A drought plan need not curtail everyone equally. By analogy, a strict, long, pre-agreed restriction on the users whose pumping most raises chloride at A1 and P10 (coastal hotel and irrigation wells) could protect the supply wells while lighter limits apply inland, and the rule is simple enough to trigger without deliberation.</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An early formal analysis of targeted emergency rules in the COVID-19 crisis by four MIT economists, showing that a simple rule (restrict the most vulnerable group hardest and longest) captures most of the value of full targeting. Published in AER: Insights.</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model is calibrated to one epidemic with known groups and full compliance with planner controls. How to target restrictions when compliance is imperfect, groups dispute their own impact and the hazard is a slow salt front is open for aquifers.</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tractable multi-risk SIR model in which optimal group-targeted control can be computed and compared with uniform control. Proposed extension: replace age groups by Fushë-Kuqe user classes and the epidemic by the 20 000-draw chloride response to each class's pumping, and compare optimal uniform with semi-targeted drought curtailment paths that keep every stakeholder's exceedance probability at A1 and P10 at or below 10%, with a compliance-error margin.</w:t>
      </w:r>
    </w:p>
    <w:p>
      <w:pPr>
        <w:keepNext/>
        <w:pBdr>
          <w:top w:val="single" w:color="4D4D4F" w:sz="6" w:space="4"/>
        </w:pBdr>
        <w:spacing w:after="60" w:before="220"/>
      </w:pPr>
      <w:r>
        <w:rPr>
          <w:b/>
          <w:bCs/>
          <w:color w:val="4D4D4F"/>
          <w:sz w:val="23"/>
          <w:szCs w:val="23"/>
        </w:rPr>
        <w:t xml:space="preserve">M5  </w:t>
      </w:r>
      <w:r>
        <w:rPr>
          <w:b/>
          <w:bCs/>
          <w:color w:val="1F3864"/>
          <w:sz w:val="23"/>
          <w:szCs w:val="23"/>
        </w:rPr>
        <w:t xml:space="preserve">Unequal impacts of rising temperatures on global human sentiment</w:t>
      </w:r>
    </w:p>
    <w:p>
      <w:pPr>
        <w:keepNext/>
        <w:spacing w:after="60" w:line="240" w:lineRule="auto"/>
      </w:pPr>
      <w:r>
        <w:rPr>
          <w:b/>
          <w:bCs/>
          <w:color w:val="333B47"/>
          <w:sz w:val="15"/>
          <w:szCs w:val="15"/>
        </w:rPr>
        <w:t xml:space="preserve">Authors: </w:t>
      </w:r>
      <w:r>
        <w:rPr>
          <w:sz w:val="15"/>
          <w:szCs w:val="15"/>
        </w:rPr>
        <w:t xml:space="preserve">Jianghao Wang, Nicolas Guetta-Jeanrenaud, Juan Palacios, Yichun Fan, Devika Kakkar, Nick Obradovich, Siqi Zheng</w:t>
      </w:r>
      <w:r>
        <w:rPr>
          <w:sz w:val="15"/>
          <w:szCs w:val="15"/>
        </w:rPr>
        <w:t xml:space="preserve">   </w:t>
      </w:r>
      <w:r>
        <w:rPr>
          <w:b/>
          <w:bCs/>
          <w:color w:val="333B47"/>
          <w:sz w:val="15"/>
          <w:szCs w:val="15"/>
        </w:rPr>
        <w:t xml:space="preserve">Published in: </w:t>
      </w:r>
      <w:r>
        <w:rPr>
          <w:sz w:val="15"/>
          <w:szCs w:val="15"/>
        </w:rPr>
        <w:t xml:space="preserve">One Earth, 8(10), 101422 (2025)</w:t>
      </w:r>
      <w:r>
        <w:rPr>
          <w:sz w:val="15"/>
          <w:szCs w:val="15"/>
        </w:rPr>
        <w:t xml:space="preserve">   </w:t>
      </w:r>
      <w:r>
        <w:rPr>
          <w:b/>
          <w:bCs/>
          <w:color w:val="333B47"/>
          <w:sz w:val="15"/>
          <w:szCs w:val="15"/>
        </w:rPr>
        <w:t xml:space="preserve">Link: </w:t>
      </w:r>
      <w:hyperlink w:history="1" r:id="rIdsmzkutvsvzx86djdjwdqy">
        <w:r>
          <w:rPr>
            <w:color w:val="1D4ED8"/>
            <w:sz w:val="15"/>
            <w:szCs w:val="15"/>
            <w:u w:val="single"/>
          </w:rPr>
          <w:t xml:space="preserve">https://doi.org/10.1016/j.oneear.2025.101422</w:t>
        </w:r>
      </w:hyperlink>
    </w:p>
    <w:p>
      <w:pPr>
        <w:keepNext/>
        <w:spacing w:after="80" w:line="240" w:lineRule="auto"/>
      </w:pPr>
      <w:r>
        <w:rPr>
          <w:b/>
          <w:bCs/>
          <w:color w:val="333B47"/>
          <w:sz w:val="15"/>
          <w:szCs w:val="15"/>
        </w:rPr>
        <w:t xml:space="preserve">Affiliation: </w:t>
      </w:r>
      <w:r>
        <w:rPr>
          <w:color w:val="3A4350"/>
          <w:sz w:val="15"/>
          <w:szCs w:val="15"/>
        </w:rPr>
        <w:t xml:space="preserve">MIT News, the MIT Climate Portal, MIT DUSP and the MIT Center for Real Estate report the study as work of MIT's Sustainable Urbanization Lab led by Siqi Zheng; Duke Scholars and Harvard CGA also list it. Other authors' affiliations not verified.</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(3/5)</w:t>
      </w:r>
    </w:p>
    <w:p>
      <w:pPr>
        <w:spacing w:after="60"/>
        <w:jc w:val="both"/>
      </w:pPr>
      <w:r>
        <w:rPr>
          <w:b/>
          <w:bCs/>
          <w:color w:val="4D4D4F"/>
          <w:sz w:val="17"/>
          <w:szCs w:val="17"/>
        </w:rPr>
        <w:t xml:space="preserve">Summary. </w:t>
      </w:r>
      <w:r>
        <w:rPr>
          <w:sz w:val="17"/>
          <w:szCs w:val="17"/>
        </w:rPr>
        <w:t xml:space="preserve">How does heat change how people feel? The authors measure expressed sentiment in more than 1.2 billion posts on Twitter and Weibo from 157 countries during 2019 and relate it to local temperature. The response is non-linear: moderate warming improves sentiment in cooler regions, but above 35°C sentiment declines, by 25.0% in low- and middle-income countries against 8.1% in high-income countries, about three times more. Projections to 2100 under climate scenarios put global average sentiment 2.3% below 2019 levels even after allowing for adaptation through income growth.</w:t>
      </w:r>
    </w:p>
    <w:p>
      <w:pPr>
        <w:keepNext/>
        <w:spacing w:after="20" w:before="40"/>
      </w:pPr>
      <w:r>
        <w:rPr>
          <w:b/>
          <w:bCs/>
          <w:color w:val="4D4D4F"/>
          <w:sz w:val="17"/>
          <w:szCs w:val="17"/>
        </w:rPr>
        <w:t xml:space="preserve">Key equation.</w:t>
      </w:r>
      <w:r>
        <w:rPr>
          <w:i/>
          <w:iCs/>
          <w:color w:val="5B6573"/>
          <w:sz w:val="15"/>
          <w:szCs w:val="15"/>
        </w:rPr>
        <w:t xml:space="preserve">  Non-linear temperature response of expressed sentiment with an income gradient (representative formulation)</w:t>
      </w:r>
    </w:p>
    <w:p>
      <w:pPr>
        <w:pStyle w:val="Equation"/>
      </w:pPr>
      <m:oMathPara>
        <m:oMathParaPr>
          <m:jc m:val="center"/>
        </m:oMathParaPr>
        <m:oMath>
          <m:sSub>
            <m:e>
              <m:r>
                <m:t>s</m:t>
              </m:r>
            </m:e>
            <m:sub>
              <m:r>
                <m:t>c</m:t>
              </m:r>
              <m:r>
                <m:t>t</m:t>
              </m:r>
            </m:sub>
          </m:sSub>
          <m:r>
            <m:rPr>
              <m:sty m:val="p"/>
            </m:rPr>
            <m:t>=</m:t>
          </m:r>
          <m:nary>
            <m:naryPr>
              <m:chr m:val="∑"/>
              <m:limLoc m:val="undOvr"/>
              <m:subHide m:val="off"/>
              <m:supHide m:val="on"/>
            </m:naryPr>
            <m:sub>
              <m:r>
                <m:t>b</m:t>
              </m:r>
            </m:sub>
            <m:sup>
              <m:r>
                <m:t>​</m:t>
              </m:r>
            </m:sup>
            <m:e>
              <m:sSub>
                <m:e>
                  <m:r>
                    <m:t>β</m:t>
                  </m:r>
                </m:e>
                <m:sub>
                  <m:r>
                    <m:t>b</m:t>
                  </m:r>
                </m:sub>
              </m:sSub>
            </m:e>
          </m:nary>
          <m:r>
            <m:t> </m:t>
          </m:r>
          <m:r>
            <m:rPr>
              <m:sty m:val="b"/>
            </m:rPr>
            <m:t>1</m:t>
          </m:r>
          <m:d>
            <m:dPr>
              <m:begChr m:val="{"/>
              <m:sepChr m:val=""/>
              <m:endChr m:val="}"/>
              <m:grow/>
            </m:dPr>
            <m:e>
              <m:sSub>
                <m:e>
                  <m:r>
                    <m:t>T</m:t>
                  </m:r>
                </m:e>
                <m:sub>
                  <m:r>
                    <m:t>c</m:t>
                  </m:r>
                  <m:r>
                    <m:t>t</m:t>
                  </m:r>
                </m:sub>
              </m:sSub>
              <m:r>
                <m:rPr>
                  <m:sty m:val="p"/>
                </m:rPr>
                <m:t>∈</m:t>
              </m:r>
              <m:r>
                <m:t>b</m:t>
              </m:r>
            </m:e>
          </m:d>
          <m:r>
            <m:rPr>
              <m:sty m:val="p"/>
            </m:rPr>
            <m:t>+</m:t>
          </m:r>
          <m:nary>
            <m:naryPr>
              <m:chr m:val="∑"/>
              <m:limLoc m:val="undOvr"/>
              <m:subHide m:val="off"/>
              <m:supHide m:val="on"/>
            </m:naryPr>
            <m:sub>
              <m:r>
                <m:t>b</m:t>
              </m:r>
            </m:sub>
            <m:sup>
              <m:r>
                <m:t>​</m:t>
              </m:r>
            </m:sup>
            <m:e>
              <m:sSub>
                <m:e>
                  <m:r>
                    <m:t>γ</m:t>
                  </m:r>
                </m:e>
                <m:sub>
                  <m:r>
                    <m:t>b</m:t>
                  </m:r>
                </m:sub>
              </m:sSub>
            </m:e>
          </m:nary>
          <m:r>
            <m:t> </m:t>
          </m:r>
          <m:r>
            <m:rPr>
              <m:sty m:val="b"/>
            </m:rPr>
            <m:t>1</m:t>
          </m:r>
          <m:d>
            <m:dPr>
              <m:begChr m:val="{"/>
              <m:sepChr m:val=""/>
              <m:endChr m:val="}"/>
              <m:grow/>
            </m:dPr>
            <m:e>
              <m:sSub>
                <m:e>
                  <m:r>
                    <m:t>T</m:t>
                  </m:r>
                </m:e>
                <m:sub>
                  <m:r>
                    <m:t>c</m:t>
                  </m:r>
                  <m:r>
                    <m:t>t</m:t>
                  </m:r>
                </m:sub>
              </m:sSub>
              <m:r>
                <m:rPr>
                  <m:sty m:val="p"/>
                </m:rPr>
                <m:t>∈</m:t>
              </m:r>
              <m:r>
                <m:t>b</m:t>
              </m:r>
            </m:e>
          </m:d>
          <m:sSub>
            <m:e>
              <m:r>
                <m:t>Y</m:t>
              </m:r>
            </m:e>
            <m:sub>
              <m:r>
                <m:t>c</m:t>
              </m:r>
            </m:sub>
          </m:sSub>
          <m:r>
            <m:rPr>
              <m:sty m:val="p"/>
            </m:rPr>
            <m:t>+</m:t>
          </m:r>
          <m:sSub>
            <m:e>
              <m:r>
                <m:t>μ</m:t>
              </m:r>
            </m:e>
            <m:sub>
              <m:r>
                <m:t>c</m:t>
              </m:r>
            </m:sub>
          </m:sSub>
          <m:r>
            <m:rPr>
              <m:sty m:val="p"/>
            </m:rPr>
            <m:t>+</m:t>
          </m:r>
          <m:sSub>
            <m:e>
              <m:r>
                <m:t>λ</m:t>
              </m:r>
            </m:e>
            <m:sub>
              <m:r>
                <m:t>t</m:t>
              </m:r>
            </m:sub>
          </m:sSub>
          <m:r>
            <m:rPr>
              <m:sty m:val="p"/>
            </m:rPr>
            <m:t>+</m:t>
          </m:r>
          <m:sSub>
            <m:e>
              <m:r>
                <m:t>ε</m:t>
              </m:r>
            </m:e>
            <m:sub>
              <m:r>
                <m:t>c</m:t>
              </m:r>
              <m:r>
                <m:t>t</m:t>
              </m:r>
            </m:sub>
          </m:sSub>
        </m:oMath>
      </m:oMathPara>
    </w:p>
    <w:p>
      <w:pPr>
        <w:spacing w:after="60"/>
        <w:jc w:val="both"/>
      </w:pPr>
      <m:oMath>
        <m:sSub>
          <m:e>
            <m:r>
              <m:t>s</m:t>
            </m:r>
          </m:e>
          <m:sub>
            <m:r>
              <m:t>c</m:t>
            </m:r>
            <m:r>
              <m:t>t</m:t>
            </m:r>
          </m:sub>
        </m:sSub>
      </m:oMath>
      <w:r>
        <w:rPr>
          <w:color w:val="3A4350"/>
          <w:sz w:val="15"/>
          <w:szCs w:val="15"/>
        </w:rPr>
        <w:t xml:space="preserve"> is the expressed-sentiment index of location </w:t>
      </w:r>
      <m:oMath>
        <m:r>
          <m:t>c</m:t>
        </m:r>
      </m:oMath>
      <w:r>
        <w:rPr>
          <w:color w:val="3A4350"/>
          <w:sz w:val="15"/>
          <w:szCs w:val="15"/>
        </w:rPr>
        <w:t xml:space="preserve"> on day </w:t>
      </w:r>
      <m:oMath>
        <m:r>
          <m:t>t</m:t>
        </m:r>
      </m:oMath>
      <w:r>
        <w:rPr>
          <w:color w:val="3A4350"/>
          <w:sz w:val="15"/>
          <w:szCs w:val="15"/>
        </w:rPr>
        <w:t xml:space="preserve">, </w:t>
      </w:r>
      <m:oMath>
        <m:sSub>
          <m:e>
            <m:r>
              <m:t>T</m:t>
            </m:r>
          </m:e>
          <m:sub>
            <m:r>
              <m:t>c</m:t>
            </m:r>
            <m:r>
              <m:t>t</m:t>
            </m:r>
          </m:sub>
        </m:sSub>
      </m:oMath>
      <w:r>
        <w:rPr>
          <w:color w:val="3A4350"/>
          <w:sz w:val="15"/>
          <w:szCs w:val="15"/>
        </w:rPr>
        <w:t xml:space="preserve"> its temperature in bin </w:t>
      </w:r>
      <m:oMath>
        <m:r>
          <m:t>b</m:t>
        </m:r>
      </m:oMath>
      <w:r>
        <w:rPr>
          <w:color w:val="3A4350"/>
          <w:sz w:val="15"/>
          <w:szCs w:val="15"/>
        </w:rPr>
        <w:t xml:space="preserve">, </w:t>
      </w:r>
      <m:oMath>
        <m:sSub>
          <m:e>
            <m:r>
              <m:t>Y</m:t>
            </m:r>
          </m:e>
          <m:sub>
            <m:r>
              <m:t>c</m:t>
            </m:r>
          </m:sub>
        </m:sSub>
      </m:oMath>
      <w:r>
        <w:rPr>
          <w:color w:val="3A4350"/>
          <w:sz w:val="15"/>
          <w:szCs w:val="15"/>
        </w:rPr>
        <w:t xml:space="preserve"> an income indicator, </w:t>
      </w:r>
      <m:oMath>
        <m:sSub>
          <m:e>
            <m:r>
              <m:t>μ</m:t>
            </m:r>
          </m:e>
          <m:sub>
            <m:r>
              <m:t>c</m:t>
            </m:r>
          </m:sub>
        </m:sSub>
      </m:oMath>
      <w:r>
        <w:rPr>
          <w:color w:val="3A4350"/>
          <w:sz w:val="15"/>
          <w:szCs w:val="15"/>
        </w:rPr>
        <w:t xml:space="preserve"> and </w:t>
      </w:r>
      <m:oMath>
        <m:sSub>
          <m:e>
            <m:r>
              <m:t>λ</m:t>
            </m:r>
          </m:e>
          <m:sub>
            <m:r>
              <m:t>t</m:t>
            </m:r>
          </m:sub>
        </m:sSub>
      </m:oMath>
      <w:r>
        <w:rPr>
          <w:color w:val="3A4350"/>
          <w:sz w:val="15"/>
          <w:szCs w:val="15"/>
        </w:rPr>
        <w:t xml:space="preserve"> location and date effects, and </w:t>
      </w:r>
      <m:oMath>
        <m:sSub>
          <m:e>
            <m:r>
              <m:t>β</m:t>
            </m:r>
          </m:e>
          <m:sub>
            <m:r>
              <m:t>b</m:t>
            </m:r>
          </m:sub>
        </m:sSub>
      </m:oMath>
      <w:r>
        <w:rPr>
          <w:color w:val="3A4350"/>
          <w:sz w:val="15"/>
          <w:szCs w:val="15"/>
        </w:rPr>
        <w:t xml:space="preserve"> and </w:t>
      </w:r>
      <m:oMath>
        <m:sSub>
          <m:e>
            <m:r>
              <m:t>γ</m:t>
            </m:r>
          </m:e>
          <m:sub>
            <m:r>
              <m:t>b</m:t>
            </m:r>
          </m:sub>
        </m:sSub>
      </m:oMath>
      <w:r>
        <w:rPr>
          <w:color w:val="3A4350"/>
          <w:sz w:val="15"/>
          <w:szCs w:val="15"/>
        </w:rPr>
        <w:t xml:space="preserve"> trace the heat response and its income gradient.</w:t>
      </w:r>
    </w:p>
    <w:p>
      <w:pPr>
        <w:spacing w:after="60"/>
        <w:jc w:val="both"/>
      </w:pPr>
      <w:r>
        <w:rPr>
          <w:b/>
          <w:bCs/>
          <w:color w:val="4D4D4F"/>
          <w:sz w:val="17"/>
          <w:szCs w:val="17"/>
        </w:rPr>
        <w:t xml:space="preserve">Link to the Fushë-Kuqe stakeholders. </w:t>
      </w:r>
      <w:r>
        <w:rPr>
          <w:sz w:val="17"/>
          <w:szCs w:val="17"/>
        </w:rPr>
        <w:t xml:space="preserve">Belongs to theme 3. Heatwaves on the Fushë-Kuqe coast coincide with peak tourist demand and low recharge. The threshold implies that stakeholders' mood, and plausibly their willingness to compromise, deteriorates sharply on exactly the extreme days when curtailment is needed: an argument for agreeing the rule in calm times and triggering it from objective indicators.</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A global study of heat and expressed emotion at the scale of 1.2 billion posts, with a clear 35°C threshold, a strong income gradient and projections under climate scenarios. Published in One Earth (Cell Press); the data are public through MIT's Global Sentiment project.</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Sentiment is measured, not decisions. Whether heat-driven negative sentiment changes stakeholders' acceptance of curtailment, risk tolerance or trust in the utility, and above which temperature, is unmeasured in water governance.</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global, non-linear estimate of the emotional cost of heat, with an income gradient and future projections. Proposed extension: survey Fushë-Kuqe stakeholders' stated tolerance of chloride risk and support for curtailment on matched cool and hot days (</w:t>
      </w:r>
      <m:oMath>
        <m:sSub>
          <m:e>
            <m:r>
              <m:t>T</m:t>
            </m:r>
          </m:e>
          <m:sub>
            <m:r>
              <m:rPr>
                <m:sty m:val="p"/>
              </m:rPr>
              <m:t>max</m:t>
            </m:r>
          </m:sub>
        </m:sSub>
      </m:oMath>
      <w:r>
        <w:rPr>
          <w:sz w:val="17"/>
          <w:szCs w:val="17"/>
        </w:rPr>
        <w:t xml:space="preserve"> below and above 35°C); if tolerance shifts, set the contingency trigger and its human-factor margin by temperature as well as by chloride at A30.</w:t>
      </w:r>
    </w:p>
    <w:p>
      <w:pPr>
        <w:pStyle w:val="Heading1"/>
      </w:pPr>
      <w:r>
        <w:rPr>
          <w:color w:val="215CAF"/>
        </w:rPr>
        <w:t xml:space="preserve">7. ETH Zürich</w:t>
      </w:r>
    </w:p>
    <w:p>
      <w:pPr>
        <w:spacing w:after="120"/>
        <w:jc w:val="both"/>
      </w:pPr>
      <w:r>
        <w:t xml:space="preserve">Five ETH Zürich papers. Erich Fischer, Sebastian Sippel and Reto Knutti show that record-shattering extremes become likely [E1]; Kim Wabersich and Melanie Zeilinger prove predictive control barrier functions for safety filters [E2]; Miguel Barretto-García, Rafael Polanía, Christian Ruff and co-authors trace risk attitudes to neural noise [E3]; Viktoria Cologna, Simona Meiler and the TISP consortium relate extreme-weather attribution to climate-policy support in 68 countries [E4]; and Alessio Ciullo, David Bresch and co-authors design global catastrophe risk pools [E5].</w:t>
      </w:r>
    </w:p>
    <w:p>
      <w:pPr>
        <w:keepNext/>
        <w:pBdr>
          <w:top w:val="single" w:color="215CAF" w:sz="6" w:space="4"/>
        </w:pBdr>
        <w:spacing w:after="60" w:before="220"/>
      </w:pPr>
      <w:r>
        <w:rPr>
          <w:b/>
          <w:bCs/>
          <w:color w:val="215CAF"/>
          <w:sz w:val="23"/>
          <w:szCs w:val="23"/>
        </w:rPr>
        <w:t xml:space="preserve">E1  </w:t>
      </w:r>
      <w:r>
        <w:rPr>
          <w:b/>
          <w:bCs/>
          <w:color w:val="1F3864"/>
          <w:sz w:val="23"/>
          <w:szCs w:val="23"/>
        </w:rPr>
        <w:t xml:space="preserve">Increasing probability of record-shattering climate extremes</w:t>
      </w:r>
    </w:p>
    <w:p>
      <w:pPr>
        <w:keepNext/>
        <w:spacing w:after="60" w:line="240" w:lineRule="auto"/>
      </w:pPr>
      <w:r>
        <w:rPr>
          <w:b/>
          <w:bCs/>
          <w:color w:val="333B47"/>
          <w:sz w:val="15"/>
          <w:szCs w:val="15"/>
        </w:rPr>
        <w:t xml:space="preserve">Authors: </w:t>
      </w:r>
      <w:r>
        <w:rPr>
          <w:sz w:val="15"/>
          <w:szCs w:val="15"/>
        </w:rPr>
        <w:t xml:space="preserve">Erich Fischer, Sebastian Sippel, Reto Knutti</w:t>
      </w:r>
      <w:r>
        <w:rPr>
          <w:sz w:val="15"/>
          <w:szCs w:val="15"/>
        </w:rPr>
        <w:t xml:space="preserve">   </w:t>
      </w:r>
      <w:r>
        <w:rPr>
          <w:b/>
          <w:bCs/>
          <w:color w:val="333B47"/>
          <w:sz w:val="15"/>
          <w:szCs w:val="15"/>
        </w:rPr>
        <w:t xml:space="preserve">Published in: </w:t>
      </w:r>
      <w:r>
        <w:rPr>
          <w:sz w:val="15"/>
          <w:szCs w:val="15"/>
        </w:rPr>
        <w:t xml:space="preserve">Nature Climate Change, 11(8), 689–695 (July 2021)</w:t>
      </w:r>
      <w:r>
        <w:rPr>
          <w:sz w:val="15"/>
          <w:szCs w:val="15"/>
        </w:rPr>
        <w:t xml:space="preserve">   </w:t>
      </w:r>
      <w:r>
        <w:rPr>
          <w:b/>
          <w:bCs/>
          <w:color w:val="333B47"/>
          <w:sz w:val="15"/>
          <w:szCs w:val="15"/>
        </w:rPr>
        <w:t xml:space="preserve">Link: </w:t>
      </w:r>
      <w:hyperlink w:history="1" r:id="rIduq5vsr22ewqhbd8qb1fdz">
        <w:r>
          <w:rPr>
            <w:color w:val="1D4ED8"/>
            <w:sz w:val="15"/>
            <w:szCs w:val="15"/>
            <w:u w:val="single"/>
          </w:rPr>
          <w:t xml:space="preserve">https://doi.org/10.1038/s41558-021-01092-9</w:t>
        </w:r>
      </w:hyperlink>
    </w:p>
    <w:p>
      <w:pPr>
        <w:keepNext/>
        <w:spacing w:after="80" w:line="240" w:lineRule="auto"/>
      </w:pPr>
      <w:r>
        <w:rPr>
          <w:b/>
          <w:bCs/>
          <w:color w:val="333B47"/>
          <w:sz w:val="15"/>
          <w:szCs w:val="15"/>
        </w:rPr>
        <w:t xml:space="preserve">Affiliation: </w:t>
      </w:r>
      <w:r>
        <w:rPr>
          <w:color w:val="3A4350"/>
          <w:sz w:val="15"/>
          <w:szCs w:val="15"/>
        </w:rPr>
        <w:t xml:space="preserve">ETH Zürich: the article is recorded in the ETH Research Collection (handle 20.500.11850/498820), the repository of ETH Zürich publications; bibliographic data also from PMC (PMC7617090) and RePEc/IDEAS. The institute-level affiliation was not shown in the snippets seen.</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(4/5)</w:t>
      </w:r>
    </w:p>
    <w:p>
      <w:pPr>
        <w:spacing w:after="60"/>
        <w:jc w:val="both"/>
      </w:pPr>
      <w:r>
        <w:rPr>
          <w:b/>
          <w:bCs/>
          <w:color w:val="215CAF"/>
          <w:sz w:val="17"/>
          <w:szCs w:val="17"/>
        </w:rPr>
        <w:t xml:space="preserve">Summary. </w:t>
      </w:r>
      <w:r>
        <w:rPr>
          <w:sz w:val="17"/>
          <w:szCs w:val="17"/>
        </w:rPr>
        <w:t xml:space="preserve">Planners anchor on the observed record, yet records can be broken by wide margins. Using climate model simulations, the authors show that extremes shattering previous records by several standard deviations are nearly impossible without warming but likely in the coming decades, and that their probability depends on the rate of warming rather than on the warming level, so it depends on the emissions pathway. Under high emissions, week-long heat extremes beating records by three or more standard deviations are 2–7 times more probable in 2021–2050 and 3–21 times more probable in 2051–2080 than in the last three decades, recurring about every 6–37 years somewhere in the northern mid-latitudes in 2051–2080.</w:t>
      </w:r>
    </w:p>
    <w:p>
      <w:pPr>
        <w:keepNext/>
        <w:spacing w:after="20" w:before="40"/>
      </w:pPr>
      <w:r>
        <w:rPr>
          <w:b/>
          <w:bCs/>
          <w:color w:val="215CAF"/>
          <w:sz w:val="17"/>
          <w:szCs w:val="17"/>
        </w:rPr>
        <w:t xml:space="preserve">Key equation.</w:t>
      </w:r>
      <w:r>
        <w:rPr>
          <w:i/>
          <w:iCs/>
          <w:color w:val="5B6573"/>
          <w:sz w:val="15"/>
          <w:szCs w:val="15"/>
        </w:rPr>
        <w:t xml:space="preserve">  Probability of breaking the previous record by at least k standard deviations (representative formulation)</w:t>
      </w:r>
    </w:p>
    <w:p>
      <w:pPr>
        <w:pStyle w:val="Equation"/>
      </w:pPr>
      <m:oMathPara>
        <m:oMathParaPr>
          <m:jc m:val="center"/>
        </m:oMathParaPr>
        <m:oMath>
          <m:sSub>
            <m:e>
              <m:r>
                <m:t>p</m:t>
              </m:r>
            </m:e>
            <m:sub>
              <m:r>
                <m:t>k</m:t>
              </m:r>
            </m:sub>
          </m:sSub>
          <m:d>
            <m:dPr>
              <m:begChr m:val="("/>
              <m:sepChr m:val=""/>
              <m:endChr m:val=")"/>
              <m:grow/>
            </m:dPr>
            <m:e>
              <m:r>
                <m:t>t</m:t>
              </m:r>
            </m:e>
          </m:d>
          <m:r>
            <m:rPr>
              <m:sty m:val="p"/>
            </m:rPr>
            <m:t>=</m:t>
          </m:r>
          <m:r>
            <m:rPr>
              <m:nor/>
            </m:rPr>
            <m:t>Pr</m:t>
          </m:r>
          <m:d>
            <m:dPr>
              <m:begChr m:val="("/>
              <m:sepChr m:val=""/>
              <m:endChr m:val=")"/>
              <m:grow/>
            </m:dPr>
            <m:e>
              <m:sSub>
                <m:e>
                  <m:r>
                    <m:t>X</m:t>
                  </m:r>
                </m:e>
                <m:sub>
                  <m:r>
                    <m:t>t</m:t>
                  </m:r>
                </m:sub>
              </m:sSub>
              <m:r>
                <m:rPr>
                  <m:sty m:val="p"/>
                </m:rPr>
                <m:t>−</m:t>
              </m:r>
              <m:limLow>
                <m:e>
                  <m:r>
                    <m:rPr>
                      <m:sty m:val="p"/>
                    </m:rPr>
                    <m:t>max</m:t>
                  </m:r>
                </m:e>
                <m:lim>
                  <m:r>
                    <m:t>s</m:t>
                  </m:r>
                  <m:r>
                    <m:rPr>
                      <m:sty m:val="p"/>
                    </m:rPr>
                    <m:t>&lt;</m:t>
                  </m:r>
                  <m:r>
                    <m:t>t</m:t>
                  </m:r>
                </m:lim>
              </m:limLow>
              <m:sSub>
                <m:e>
                  <m:r>
                    <m:t>X</m:t>
                  </m:r>
                </m:e>
                <m:sub>
                  <m:r>
                    <m:t>s</m:t>
                  </m:r>
                </m:sub>
              </m:sSub>
              <m:r>
                <m:rPr>
                  <m:sty m:val="p"/>
                </m:rPr>
                <m:t>≥</m:t>
              </m:r>
              <m:r>
                <m:t>k</m:t>
              </m:r>
              <m:r>
                <m:t> </m:t>
              </m:r>
              <m:r>
                <m:t>σ</m:t>
              </m:r>
            </m:e>
          </m:d>
          <m:r>
            <m:rPr>
              <m:sty m:val="p"/>
            </m:rPr>
            <m:t>,</m:t>
          </m:r>
          <m:r>
            <m:t> </m:t>
          </m:r>
          <m:r>
            <m:t>k</m:t>
          </m:r>
          <m:r>
            <m:rPr>
              <m:sty m:val="p"/>
            </m:rPr>
            <m:t>=</m:t>
          </m:r>
          <m:r>
            <m:t>3</m:t>
          </m:r>
        </m:oMath>
      </m:oMathPara>
    </w:p>
    <w:p>
      <w:pPr>
        <w:spacing w:after="60"/>
        <w:jc w:val="both"/>
      </w:pPr>
      <w:r>
        <w:rPr>
          <w:color w:val="3A4350"/>
          <w:sz w:val="15"/>
          <w:szCs w:val="15"/>
        </w:rPr>
        <w:t xml:space="preserve">Here </w:t>
      </w:r>
      <m:oMath>
        <m:sSub>
          <m:e>
            <m:r>
              <m:t>X</m:t>
            </m:r>
          </m:e>
          <m:sub>
            <m:r>
              <m:t>t</m:t>
            </m:r>
          </m:sub>
        </m:sSub>
      </m:oMath>
      <w:r>
        <w:rPr>
          <w:color w:val="3A4350"/>
          <w:sz w:val="15"/>
          <w:szCs w:val="15"/>
        </w:rPr>
        <w:t xml:space="preserve"> is the hottest week-long mean temperature in year </w:t>
      </w:r>
      <m:oMath>
        <m:r>
          <m:t>t</m:t>
        </m:r>
      </m:oMath>
      <w:r>
        <w:rPr>
          <w:color w:val="3A4350"/>
          <w:sz w:val="15"/>
          <w:szCs w:val="15"/>
        </w:rPr>
        <w:t xml:space="preserve"> at a location, </w:t>
      </w:r>
      <m:oMath>
        <m:sSub>
          <m:e>
            <m:r>
              <m:rPr>
                <m:sty m:val="p"/>
              </m:rPr>
              <m:t>max</m:t>
            </m:r>
          </m:e>
          <m:sub>
            <m:r>
              <m:t>s</m:t>
            </m:r>
            <m:r>
              <m:rPr>
                <m:sty m:val="p"/>
              </m:rPr>
              <m:t>&lt;</m:t>
            </m:r>
            <m:r>
              <m:t>t</m:t>
            </m:r>
          </m:sub>
        </m:sSub>
        <m:sSub>
          <m:e>
            <m:r>
              <m:t>X</m:t>
            </m:r>
          </m:e>
          <m:sub>
            <m:r>
              <m:t>s</m:t>
            </m:r>
          </m:sub>
        </m:sSub>
      </m:oMath>
      <w:r>
        <w:rPr>
          <w:color w:val="3A4350"/>
          <w:sz w:val="15"/>
          <w:szCs w:val="15"/>
        </w:rPr>
        <w:t xml:space="preserve"> the record before year </w:t>
      </w:r>
      <m:oMath>
        <m:r>
          <m:t>t</m:t>
        </m:r>
      </m:oMath>
      <w:r>
        <w:rPr>
          <w:color w:val="3A4350"/>
          <w:sz w:val="15"/>
          <w:szCs w:val="15"/>
        </w:rPr>
        <w:t xml:space="preserve">, </w:t>
      </w:r>
      <m:oMath>
        <m:r>
          <m:t>σ</m:t>
        </m:r>
      </m:oMath>
      <w:r>
        <w:rPr>
          <w:color w:val="3A4350"/>
          <w:sz w:val="15"/>
          <w:szCs w:val="15"/>
        </w:rPr>
        <w:t xml:space="preserve"> the interannual standard deviation and </w:t>
      </w:r>
      <m:oMath>
        <m:sSub>
          <m:e>
            <m:r>
              <m:t>p</m:t>
            </m:r>
          </m:e>
          <m:sub>
            <m:r>
              <m:t>k</m:t>
            </m:r>
          </m:sub>
        </m:sSub>
        <m:d>
          <m:dPr>
            <m:begChr m:val="("/>
            <m:sepChr m:val=""/>
            <m:endChr m:val=")"/>
            <m:grow/>
          </m:dPr>
          <m:e>
            <m:r>
              <m:t>t</m:t>
            </m:r>
          </m:e>
        </m:d>
      </m:oMath>
      <w:r>
        <w:rPr>
          <w:color w:val="3A4350"/>
          <w:sz w:val="15"/>
          <w:szCs w:val="15"/>
        </w:rPr>
        <w:t xml:space="preserve"> the chance of beating the record by </w:t>
      </w:r>
      <m:oMath>
        <m:r>
          <m:t>k</m:t>
        </m:r>
      </m:oMath>
      <w:r>
        <w:rPr>
          <w:color w:val="3A4350"/>
          <w:sz w:val="15"/>
          <w:szCs w:val="15"/>
        </w:rPr>
        <w:t xml:space="preserve"> standard deviations; the paper finds that </w:t>
      </w:r>
      <m:oMath>
        <m:sSub>
          <m:e>
            <m:r>
              <m:t>p</m:t>
            </m:r>
          </m:e>
          <m:sub>
            <m:r>
              <m:t>3</m:t>
            </m:r>
          </m:sub>
        </m:sSub>
      </m:oMath>
      <w:r>
        <w:rPr>
          <w:color w:val="3A4350"/>
          <w:sz w:val="15"/>
          <w:szCs w:val="15"/>
        </w:rPr>
        <w:t xml:space="preserve"> grows with the rate, not the level, of warming.</w:t>
      </w:r>
    </w:p>
    <w:p>
      <w:pPr>
        <w:spacing w:after="60"/>
        <w:jc w:val="both"/>
      </w:pPr>
      <w:r>
        <w:rPr>
          <w:b/>
          <w:bCs/>
          <w:color w:val="215CAF"/>
          <w:sz w:val="17"/>
          <w:szCs w:val="17"/>
        </w:rPr>
        <w:t xml:space="preserve">Link to the Fushë-Kuqe stakeholders. </w:t>
      </w:r>
      <w:r>
        <w:rPr>
          <w:sz w:val="17"/>
          <w:szCs w:val="17"/>
        </w:rPr>
        <w:t xml:space="preserve">Belongs to theme 1. A contingency plan for wells A1 and P10 tuned to the observed drought record would be surprised by a year that beats it by a wide margin. Triggers, pumping limits and recharge rules should stay valid in a heat-and-drought year no Fushë-Kuqe stakeholder has lived through, with the margin tied to the warming rate.</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Turns the comfortable intuition that records fall by small margins into a quantified warning: record-shattering heat is pathway dependent and likely within decades, which moves planning from the worst observed to the worst plausible event. Published in Nature Climate Change, a top venue on the review's list.</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paper quantifies record-shattering heat, not its passage into recharge, irrigation and tourist demand and chloride. How a record-shattering recharge deficit maps into exceedance of 250 mg/L at A1 and P10 is open, and would be new for coastal aquifers.</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margin-based notion of record breaking whose probability, across simulations, scales with the warming rate rather than the warming level. Proposed extension: drive the 20 000 weighted Fushë-Kuqe draws with recharge series that undercut the observed minimum by 1, 2 and 3 standard deviations, and test whether the unanimous 10% rule at A1 and P10 survives each margin; the smallest margin that breaks it fixes the drought trigger of the plan.</w:t>
      </w:r>
    </w:p>
    <w:p>
      <w:pPr>
        <w:keepNext/>
        <w:pBdr>
          <w:top w:val="single" w:color="215CAF" w:sz="6" w:space="4"/>
        </w:pBdr>
        <w:spacing w:after="60" w:before="220"/>
      </w:pPr>
      <w:r>
        <w:rPr>
          <w:b/>
          <w:bCs/>
          <w:color w:val="215CAF"/>
          <w:sz w:val="23"/>
          <w:szCs w:val="23"/>
        </w:rPr>
        <w:t xml:space="preserve">E2  </w:t>
      </w:r>
      <w:r>
        <w:rPr>
          <w:b/>
          <w:bCs/>
          <w:color w:val="1F3864"/>
          <w:sz w:val="23"/>
          <w:szCs w:val="23"/>
        </w:rPr>
        <w:t xml:space="preserve">Predictive control barrier functions: Enhanced safety mechanisms for learning-based control</w:t>
      </w:r>
    </w:p>
    <w:p>
      <w:pPr>
        <w:keepNext/>
        <w:spacing w:after="60" w:line="240" w:lineRule="auto"/>
      </w:pPr>
      <w:r>
        <w:rPr>
          <w:b/>
          <w:bCs/>
          <w:color w:val="333B47"/>
          <w:sz w:val="15"/>
          <w:szCs w:val="15"/>
        </w:rPr>
        <w:t xml:space="preserve">Authors: </w:t>
      </w:r>
      <w:r>
        <w:rPr>
          <w:sz w:val="15"/>
          <w:szCs w:val="15"/>
        </w:rPr>
        <w:t xml:space="preserve">Kim P. Wabersich, Melanie N. Zeilinger</w:t>
      </w:r>
      <w:r>
        <w:rPr>
          <w:sz w:val="15"/>
          <w:szCs w:val="15"/>
        </w:rPr>
        <w:t xml:space="preserve">   </w:t>
      </w:r>
      <w:r>
        <w:rPr>
          <w:b/>
          <w:bCs/>
          <w:color w:val="333B47"/>
          <w:sz w:val="15"/>
          <w:szCs w:val="15"/>
        </w:rPr>
        <w:t xml:space="preserve">Published in: </w:t>
      </w:r>
      <w:r>
        <w:rPr>
          <w:sz w:val="15"/>
          <w:szCs w:val="15"/>
        </w:rPr>
        <w:t xml:space="preserve">IEEE Transactions on Automatic Control, pp. 2638–2651 (May 2023; volume and issue not verified)</w:t>
      </w:r>
      <w:r>
        <w:rPr>
          <w:sz w:val="15"/>
          <w:szCs w:val="15"/>
        </w:rPr>
        <w:t xml:space="preserve">   </w:t>
      </w:r>
      <w:r>
        <w:rPr>
          <w:b/>
          <w:bCs/>
          <w:color w:val="333B47"/>
          <w:sz w:val="15"/>
          <w:szCs w:val="15"/>
        </w:rPr>
        <w:t xml:space="preserve">Link: </w:t>
      </w:r>
      <w:hyperlink w:history="1" r:id="rIdmvoat0xu36wmwdmsd_5_m">
        <w:r>
          <w:rPr>
            <w:color w:val="1D4ED8"/>
            <w:sz w:val="15"/>
            <w:szCs w:val="15"/>
            <w:u w:val="single"/>
          </w:rPr>
          <w:t xml:space="preserve">https://doi.org/10.1109/TAC.2022.3175628</w:t>
        </w:r>
      </w:hyperlink>
    </w:p>
    <w:p>
      <w:pPr>
        <w:keepNext/>
        <w:spacing w:after="80" w:line="240" w:lineRule="auto"/>
      </w:pPr>
      <w:r>
        <w:rPr>
          <w:b/>
          <w:bCs/>
          <w:color w:val="333B47"/>
          <w:sz w:val="15"/>
          <w:szCs w:val="15"/>
        </w:rPr>
        <w:t xml:space="preserve">Affiliation: </w:t>
      </w:r>
      <w:r>
        <w:rPr>
          <w:color w:val="3A4350"/>
          <w:sz w:val="15"/>
          <w:szCs w:val="15"/>
        </w:rPr>
        <w:t xml:space="preserve">ETH Zürich: the article is recorded in the ETH Research Collection (handle 20.500.11850/595016, dated May 2023); preprint arXiv 2105.10241 (v3, May 2022). The institute-level affiliation was not read in a search result.</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(5/5)</w:t>
      </w:r>
    </w:p>
    <w:p>
      <w:pPr>
        <w:spacing w:after="60"/>
        <w:jc w:val="both"/>
      </w:pPr>
      <w:r>
        <w:rPr>
          <w:b/>
          <w:bCs/>
          <w:color w:val="215CAF"/>
          <w:sz w:val="17"/>
          <w:szCs w:val="17"/>
        </w:rPr>
        <w:t xml:space="preserve">Summary. </w:t>
      </w:r>
      <w:r>
        <w:rPr>
          <w:sz w:val="17"/>
          <w:szCs w:val="17"/>
        </w:rPr>
        <w:t xml:space="preserve">Predictive safety filters let any proposed input, from a learning controller or an operator, pass unless it could lead to a constraint violation, in which case it is minimally modified using a model-based prediction over a horizon. Their guarantees fail when model errors push the system outside the filter's feasible set. The authors add an auxiliary soft-constrained predictive problem that is always feasible and asymptotically stabilises the feasible set of the original filter, using constraint tightening and a terminal control barrier function. Extending discrete-time control barrier function theory, they prove that this auxiliary problem yields a predictive control barrier function, a recovery mechanism in safety-critical situations; numerical examples illustrate it.</w:t>
      </w:r>
    </w:p>
    <w:p>
      <w:pPr>
        <w:keepNext/>
        <w:spacing w:after="20" w:before="40"/>
      </w:pPr>
      <w:r>
        <w:rPr>
          <w:b/>
          <w:bCs/>
          <w:color w:val="215CAF"/>
          <w:sz w:val="17"/>
          <w:szCs w:val="17"/>
        </w:rPr>
        <w:t xml:space="preserve">Key equation.</w:t>
      </w:r>
      <w:r>
        <w:rPr>
          <w:i/>
          <w:iCs/>
          <w:color w:val="5B6573"/>
          <w:sz w:val="15"/>
          <w:szCs w:val="15"/>
        </w:rPr>
        <w:t xml:space="preserve">  Decrease condition of the predictive control barrier function outside the safe set (representative formulation)</w:t>
      </w:r>
    </w:p>
    <w:p>
      <w:pPr>
        <w:pStyle w:val="Equation"/>
      </w:pPr>
      <m:oMathPara>
        <m:oMathParaPr>
          <m:jc m:val="center"/>
        </m:oMathParaPr>
        <m:oMath>
          <m:sSub>
            <m:e>
              <m:r>
                <m:t>h</m:t>
              </m:r>
            </m:e>
            <m:sub>
              <m:r>
                <m:rPr>
                  <m:nor/>
                </m:rPr>
                <m:t>PB</m:t>
              </m:r>
            </m:sub>
          </m:sSub>
          <m:d>
            <m:dPr>
              <m:begChr m:val="("/>
              <m:sepChr m:val=""/>
              <m:endChr m:val=")"/>
              <m:grow/>
            </m:dPr>
            <m:e>
              <m:r>
                <m:t>f</m:t>
              </m:r>
              <m:d>
                <m:dPr>
                  <m:begChr m:val="("/>
                  <m:sepChr m:val=""/>
                  <m:endChr m:val=")"/>
                  <m:grow/>
                </m:dPr>
                <m:e>
                  <m:r>
                    <m:t>x</m:t>
                  </m:r>
                  <m:r>
                    <m:rPr>
                      <m:sty m:val="p"/>
                    </m:rPr>
                    <m:t>,</m:t>
                  </m:r>
                  <m:r>
                    <m:t>u</m:t>
                  </m:r>
                </m:e>
              </m:d>
            </m:e>
          </m:d>
          <m:r>
            <m:rPr>
              <m:sty m:val="p"/>
            </m:rPr>
            <m:t>−</m:t>
          </m:r>
          <m:sSub>
            <m:e>
              <m:r>
                <m:t>h</m:t>
              </m:r>
            </m:e>
            <m:sub>
              <m:r>
                <m:rPr>
                  <m:nor/>
                </m:rPr>
                <m:t>PB</m:t>
              </m:r>
            </m:sub>
          </m:sSub>
          <m:d>
            <m:dPr>
              <m:begChr m:val="("/>
              <m:sepChr m:val=""/>
              <m:endChr m:val=")"/>
              <m:grow/>
            </m:dPr>
            <m:e>
              <m:r>
                <m:t>x</m:t>
              </m:r>
            </m:e>
          </m:d>
          <m:r>
            <m:rPr>
              <m:sty m:val="p"/>
            </m:rPr>
            <m:t>≤</m:t>
          </m:r>
          <m:r>
            <m:rPr>
              <m:sty m:val="p"/>
            </m:rPr>
            <m:t>−</m:t>
          </m:r>
          <m:r>
            <m:t>Δ</m:t>
          </m:r>
          <m:d>
            <m:dPr>
              <m:begChr m:val="("/>
              <m:sepChr m:val=""/>
              <m:endChr m:val=")"/>
              <m:grow/>
            </m:dPr>
            <m:e>
              <m:r>
                <m:t>x</m:t>
              </m:r>
            </m:e>
          </m:d>
          <m:r>
            <m:rPr>
              <m:sty m:val="p"/>
            </m:rPr>
            <m:t>&lt;</m:t>
          </m:r>
          <m:r>
            <m:t>0</m:t>
          </m:r>
          <m:r>
            <m:t> </m:t>
          </m:r>
          <m:r>
            <m:rPr>
              <m:nor/>
            </m:rPr>
            <m:t>for</m:t>
          </m:r>
          <m:r>
            <m:t> </m:t>
          </m:r>
          <m:r>
            <m:t>x</m:t>
          </m:r>
          <m:r>
            <m:rPr>
              <m:sty m:val="p"/>
            </m:rPr>
            <m:t>∈</m:t>
          </m:r>
          <m:r>
            <m:rPr>
              <m:scr m:val="script"/>
              <m:sty m:val="p"/>
            </m:rPr>
            <m:t>D</m:t>
          </m:r>
          <m:r>
            <m:rPr>
              <m:sty m:val="p"/>
            </m:rPr>
            <m:t>,</m:t>
          </m:r>
          <m:r>
            <m:t> </m:t>
          </m:r>
          <m:r>
            <m:t>x</m:t>
          </m:r>
          <m:r>
            <m:rPr>
              <m:sty m:val="p"/>
            </m:rPr>
            <m:t>∉</m:t>
          </m:r>
          <m:r>
            <m:rPr>
              <m:scr m:val="script"/>
              <m:sty m:val="p"/>
            </m:rPr>
            <m:t>S</m:t>
          </m:r>
        </m:oMath>
      </m:oMathPara>
    </w:p>
    <w:p>
      <w:pPr>
        <w:spacing w:after="60"/>
        <w:jc w:val="both"/>
      </w:pPr>
      <w:r>
        <w:rPr>
          <w:color w:val="3A4350"/>
          <w:sz w:val="15"/>
          <w:szCs w:val="15"/>
        </w:rPr>
        <w:t xml:space="preserve">Here </w:t>
      </w:r>
      <m:oMath>
        <m:r>
          <m:t>x</m:t>
        </m:r>
      </m:oMath>
      <w:r>
        <w:rPr>
          <w:color w:val="3A4350"/>
          <w:sz w:val="15"/>
          <w:szCs w:val="15"/>
        </w:rPr>
        <w:t xml:space="preserve"> is the state, </w:t>
      </w:r>
      <m:oMath>
        <m:r>
          <m:t>u</m:t>
        </m:r>
      </m:oMath>
      <w:r>
        <w:rPr>
          <w:color w:val="3A4350"/>
          <w:sz w:val="15"/>
          <w:szCs w:val="15"/>
        </w:rPr>
        <w:t xml:space="preserve"> the input chosen by the filter, </w:t>
      </w:r>
      <m:oMath>
        <m:r>
          <m:t>f</m:t>
        </m:r>
      </m:oMath>
      <w:r>
        <w:rPr>
          <w:color w:val="3A4350"/>
          <w:sz w:val="15"/>
          <w:szCs w:val="15"/>
        </w:rPr>
        <w:t xml:space="preserve"> the model, </w:t>
      </w:r>
      <m:oMath>
        <m:sSub>
          <m:e>
            <m:r>
              <m:t>h</m:t>
            </m:r>
          </m:e>
          <m:sub>
            <m:r>
              <m:rPr>
                <m:nor/>
              </m:rPr>
              <m:t>PB</m:t>
            </m:r>
          </m:sub>
        </m:sSub>
      </m:oMath>
      <w:r>
        <w:rPr>
          <w:color w:val="3A4350"/>
          <w:sz w:val="15"/>
          <w:szCs w:val="15"/>
        </w:rPr>
        <w:t xml:space="preserve"> the optimal value (total slack) of the soft-constrained auxiliary problem, </w:t>
      </w:r>
      <m:oMath>
        <m:r>
          <m:rPr>
            <m:scr m:val="script"/>
            <m:sty m:val="p"/>
          </m:rPr>
          <m:t>S</m:t>
        </m:r>
      </m:oMath>
      <w:r>
        <w:rPr>
          <w:color w:val="3A4350"/>
          <w:sz w:val="15"/>
          <w:szCs w:val="15"/>
        </w:rPr>
        <w:t xml:space="preserve"> the set where it is zero and the original filter is feasible, </w:t>
      </w:r>
      <m:oMath>
        <m:r>
          <m:rPr>
            <m:scr m:val="script"/>
            <m:sty m:val="p"/>
          </m:rPr>
          <m:t>D</m:t>
        </m:r>
      </m:oMath>
      <w:r>
        <w:rPr>
          <w:color w:val="3A4350"/>
          <w:sz w:val="15"/>
          <w:szCs w:val="15"/>
        </w:rPr>
        <w:t xml:space="preserve"> its domain and </w:t>
      </w:r>
      <m:oMath>
        <m:r>
          <m:t>Δ</m:t>
        </m:r>
      </m:oMath>
      <w:r>
        <w:rPr>
          <w:color w:val="3A4350"/>
          <w:sz w:val="15"/>
          <w:szCs w:val="15"/>
        </w:rPr>
        <w:t xml:space="preserve"> a positive decrease, so slack shrinks until the system is back in </w:t>
      </w:r>
      <m:oMath>
        <m:r>
          <m:rPr>
            <m:scr m:val="script"/>
            <m:sty m:val="p"/>
          </m:rPr>
          <m:t>S</m:t>
        </m:r>
      </m:oMath>
      <w:r>
        <w:rPr>
          <w:color w:val="3A4350"/>
          <w:sz w:val="15"/>
          <w:szCs w:val="15"/>
        </w:rPr>
        <w:t xml:space="preserve">.</w:t>
      </w:r>
    </w:p>
    <w:p>
      <w:pPr>
        <w:spacing w:after="60"/>
        <w:jc w:val="both"/>
      </w:pPr>
      <w:r>
        <w:rPr>
          <w:b/>
          <w:bCs/>
          <w:color w:val="215CAF"/>
          <w:sz w:val="17"/>
          <w:szCs w:val="17"/>
        </w:rPr>
        <w:t xml:space="preserve">Link to the Fushë-Kuqe stakeholders. </w:t>
      </w:r>
      <w:r>
        <w:rPr>
          <w:sz w:val="17"/>
          <w:szCs w:val="17"/>
        </w:rPr>
        <w:t xml:space="preserve">Belongs to theme 2. In a drought, utility operators at A1 and P10 and coastal hotels and irrigators may pump above licence. A safety filter agreed in calm years would pass any proposal keeping predicted chloride below 250 mg/L and minimally trim the rest; after an overshoot, the barrier function guarantees return to the safe set without crisis deliberation.</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Closes a practical gap in safety filters: what to do once the model has been wrong and a constraint is already breached. The predictive control barrier function gives provable recovery while the filter still only modifies proposals that are unsafe. Published in IEEE Transactions on Automatic Control, a top venue on the review's list.</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theory assumes a known model with bounded errors and a single controller. How to filter several stakeholders' pumping proposals when the chloride model is uncertain and safety is a chance constraint over 20 000 draws is open, and new for aquifers.</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an always-feasible soft-constrained problem whose value function is proved to be a control barrier function, making the feasible set of the safety filter asymptotically stable. Proposed extension: a pumping safety filter for Fushë-Kuqe whose tightened constraint is the weighted share of draws with chloride above 250 mg/L at A1 or P10; test, in simulated licence overshoots of 10–30%, whether the slack returns to zero within one dry season.</w:t>
      </w:r>
    </w:p>
    <w:p>
      <w:pPr>
        <w:keepNext/>
        <w:pBdr>
          <w:top w:val="single" w:color="215CAF" w:sz="6" w:space="4"/>
        </w:pBdr>
        <w:spacing w:after="60" w:before="220"/>
      </w:pPr>
      <w:r>
        <w:rPr>
          <w:b/>
          <w:bCs/>
          <w:color w:val="215CAF"/>
          <w:sz w:val="23"/>
          <w:szCs w:val="23"/>
        </w:rPr>
        <w:t xml:space="preserve">E3  </w:t>
      </w:r>
      <w:r>
        <w:rPr>
          <w:b/>
          <w:bCs/>
          <w:color w:val="1F3864"/>
          <w:sz w:val="23"/>
          <w:szCs w:val="23"/>
        </w:rPr>
        <w:t xml:space="preserve">Individual risk attitudes arise from noise in neurocognitive magnitude representations</w:t>
      </w:r>
    </w:p>
    <w:p>
      <w:pPr>
        <w:keepNext/>
        <w:spacing w:after="60" w:line="240" w:lineRule="auto"/>
      </w:pPr>
      <w:r>
        <w:rPr>
          <w:b/>
          <w:bCs/>
          <w:color w:val="333B47"/>
          <w:sz w:val="15"/>
          <w:szCs w:val="15"/>
        </w:rPr>
        <w:t xml:space="preserve">Authors: </w:t>
      </w:r>
      <w:r>
        <w:rPr>
          <w:sz w:val="15"/>
          <w:szCs w:val="15"/>
        </w:rPr>
        <w:t xml:space="preserve">Miguel Barretto-García, Gilles de Hollander, Marcus Grueschow, Rafael Polanía, Michael Woodford, Christian Ruff</w:t>
      </w:r>
      <w:r>
        <w:rPr>
          <w:sz w:val="15"/>
          <w:szCs w:val="15"/>
        </w:rPr>
        <w:t xml:space="preserve">   </w:t>
      </w:r>
      <w:r>
        <w:rPr>
          <w:b/>
          <w:bCs/>
          <w:color w:val="333B47"/>
          <w:sz w:val="15"/>
          <w:szCs w:val="15"/>
        </w:rPr>
        <w:t xml:space="preserve">Published in: </w:t>
      </w:r>
      <w:r>
        <w:rPr>
          <w:sz w:val="15"/>
          <w:szCs w:val="15"/>
        </w:rPr>
        <w:t xml:space="preserve">Nature Human Behaviour, 7(9), 1551–1567 (2023)</w:t>
      </w:r>
      <w:r>
        <w:rPr>
          <w:sz w:val="15"/>
          <w:szCs w:val="15"/>
        </w:rPr>
        <w:t xml:space="preserve">   </w:t>
      </w:r>
      <w:r>
        <w:rPr>
          <w:b/>
          <w:bCs/>
          <w:color w:val="333B47"/>
          <w:sz w:val="15"/>
          <w:szCs w:val="15"/>
        </w:rPr>
        <w:t xml:space="preserve">Link: </w:t>
      </w:r>
      <w:hyperlink w:history="1" r:id="rIdotf02jzas-zi_0cglrbxo">
        <w:r>
          <w:rPr>
            <w:color w:val="1D4ED8"/>
            <w:sz w:val="15"/>
            <w:szCs w:val="15"/>
            <w:u w:val="single"/>
          </w:rPr>
          <w:t xml:space="preserve">https://doi.org/10.1038/s41562-023-01643-4</w:t>
        </w:r>
      </w:hyperlink>
    </w:p>
    <w:p>
      <w:pPr>
        <w:keepNext/>
        <w:spacing w:after="80" w:line="240" w:lineRule="auto"/>
      </w:pPr>
      <w:r>
        <w:rPr>
          <w:b/>
          <w:bCs/>
          <w:color w:val="333B47"/>
          <w:sz w:val="15"/>
          <w:szCs w:val="15"/>
        </w:rPr>
        <w:t xml:space="preserve">Affiliation: </w:t>
      </w:r>
      <w:r>
        <w:rPr>
          <w:color w:val="3A4350"/>
          <w:sz w:val="15"/>
          <w:szCs w:val="15"/>
        </w:rPr>
        <w:t xml:space="preserve">Polanía: ETH Zürich (author line of the bioRxiv version 10.1101/2022.08.22.504413, as returned by search); the study is also listed in the University of Zurich publication database (merlin.uzh.ch). Volume, issue and pages from RePEc/IDEAS.</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(4/5)</w:t>
      </w:r>
    </w:p>
    <w:p>
      <w:pPr>
        <w:spacing w:after="60"/>
        <w:jc w:val="both"/>
      </w:pPr>
      <w:r>
        <w:rPr>
          <w:b/>
          <w:bCs/>
          <w:color w:val="215CAF"/>
          <w:sz w:val="17"/>
          <w:szCs w:val="17"/>
        </w:rPr>
        <w:t xml:space="preserve">Summary. </w:t>
      </w:r>
      <w:r>
        <w:rPr>
          <w:sz w:val="17"/>
          <w:szCs w:val="17"/>
        </w:rPr>
        <w:t xml:space="preserve">Risk aversion is usually attributed to concave utility. The authors test an alternative: people relatively underestimate larger payoffs because numerical magnitudes are encoded with noise on a logarithmic scale, so noisier encoding produces more apparent risk aversion. With psychophysics and fMRI they measured behavioural and neural acuity in a magnitude perception task and related it to separate risky financial choices. Modelling indicated that the same magnitude representations serve both tasks; participants with more precise parietal representations, estimated with a numerical population receptive field model, chose less variably and were less risk averse, and adding noise to how payoffs were presented increased risk aversion, as predicted.</w:t>
      </w:r>
    </w:p>
    <w:p>
      <w:pPr>
        <w:keepNext/>
        <w:spacing w:after="20" w:before="40"/>
      </w:pPr>
      <w:r>
        <w:rPr>
          <w:b/>
          <w:bCs/>
          <w:color w:val="215CAF"/>
          <w:sz w:val="17"/>
          <w:szCs w:val="17"/>
        </w:rPr>
        <w:t xml:space="preserve">Key equation.</w:t>
      </w:r>
      <w:r>
        <w:rPr>
          <w:i/>
          <w:iCs/>
          <w:color w:val="5B6573"/>
          <w:sz w:val="15"/>
          <w:szCs w:val="15"/>
        </w:rPr>
        <w:t xml:space="preserve">  Choice probability under noisy logarithmic coding of payoffs (representative formulation, in the form of the Khaw–Li–Woodford model)</w:t>
      </w:r>
    </w:p>
    <w:p>
      <w:pPr>
        <w:pStyle w:val="Equation"/>
      </w:pPr>
      <m:oMathPara>
        <m:oMathParaPr>
          <m:jc m:val="center"/>
        </m:oMathParaPr>
        <m:oMath>
          <m:r>
            <m:rPr>
              <m:nor/>
            </m:rPr>
            <m:t>Pr</m:t>
          </m:r>
          <m:d>
            <m:dPr>
              <m:begChr m:val="("/>
              <m:sepChr m:val=""/>
              <m:endChr m:val=")"/>
              <m:grow/>
            </m:dPr>
            <m:e>
              <m:r>
                <m:rPr>
                  <m:nor/>
                </m:rPr>
                <m:t>risky</m:t>
              </m:r>
            </m:e>
          </m:d>
          <m:r>
            <m:rPr>
              <m:sty m:val="p"/>
            </m:rPr>
            <m:t>=</m:t>
          </m:r>
          <m:r>
            <m:t>Φ</m:t>
          </m:r>
          <m:d>
            <m:dPr>
              <m:begChr m:val="("/>
              <m:sepChr m:val=""/>
              <m:endChr m:val=")"/>
              <m:grow/>
            </m:dPr>
            <m:e>
              <m:f>
                <m:fPr>
                  <m:type m:val="bar"/>
                </m:fPr>
                <m:num>
                  <m:r>
                    <m:rPr>
                      <m:sty m:val="p"/>
                    </m:rPr>
                    <m:t>log</m:t>
                  </m:r>
                  <m:d>
                    <m:dPr>
                      <m:begChr m:val="("/>
                      <m:sepChr m:val=""/>
                      <m:endChr m:val=")"/>
                      <m:grow/>
                    </m:dPr>
                    <m:e>
                      <m:r>
                        <m:t>X</m:t>
                      </m:r>
                      <m:r>
                        <m:rPr>
                          <m:sty m:val="p"/>
                        </m:rPr>
                        <m:t>/</m:t>
                      </m:r>
                      <m:r>
                        <m:t>C</m:t>
                      </m:r>
                    </m:e>
                  </m:d>
                  <m:r>
                    <m:rPr>
                      <m:sty m:val="p"/>
                    </m:rPr>
                    <m:t>−</m:t>
                  </m:r>
                  <m:sSup>
                    <m:e>
                      <m:r>
                        <m:t>β</m:t>
                      </m:r>
                    </m:e>
                    <m:sup>
                      <m:r>
                        <m:rPr>
                          <m:sty m:val="p"/>
                        </m:rPr>
                        <m:t>−</m:t>
                      </m:r>
                      <m:r>
                        <m:t>1</m:t>
                      </m:r>
                    </m:sup>
                  </m:sSup>
                  <m:r>
                    <m:rPr>
                      <m:sty m:val="p"/>
                    </m:rPr>
                    <m:t>log</m:t>
                  </m:r>
                  <m:d>
                    <m:dPr>
                      <m:begChr m:val="("/>
                      <m:sepChr m:val=""/>
                      <m:endChr m:val=")"/>
                      <m:grow/>
                    </m:dPr>
                    <m:e>
                      <m:r>
                        <m:t>1</m:t>
                      </m:r>
                      <m:r>
                        <m:rPr>
                          <m:sty m:val="p"/>
                        </m:rPr>
                        <m:t>/</m:t>
                      </m:r>
                      <m:r>
                        <m:t>p</m:t>
                      </m:r>
                    </m:e>
                  </m:d>
                </m:num>
                <m:den>
                  <m:rad>
                    <m:radPr>
                      <m:degHide m:val="on"/>
                    </m:radPr>
                    <m:deg/>
                    <m:e>
                      <m:r>
                        <m:t>2</m:t>
                      </m:r>
                    </m:e>
                  </m:rad>
                  <m:r>
                    <m:t> </m:t>
                  </m:r>
                  <m:r>
                    <m:t>ν</m:t>
                  </m:r>
                </m:den>
              </m:f>
            </m:e>
          </m:d>
          <m:r>
            <m:rPr>
              <m:sty m:val="p"/>
            </m:rPr>
            <m:t>,</m:t>
          </m:r>
          <m:r>
            <m:t> </m:t>
          </m:r>
          <m:r>
            <m:t>β</m:t>
          </m:r>
          <m:r>
            <m:rPr>
              <m:sty m:val="p"/>
            </m:rPr>
            <m:t>=</m:t>
          </m:r>
          <m:f>
            <m:fPr>
              <m:type m:val="bar"/>
            </m:fPr>
            <m:num>
              <m:sSup>
                <m:e>
                  <m:r>
                    <m:t>σ</m:t>
                  </m:r>
                </m:e>
                <m:sup>
                  <m:r>
                    <m:t>2</m:t>
                  </m:r>
                </m:sup>
              </m:sSup>
            </m:num>
            <m:den>
              <m:sSup>
                <m:e>
                  <m:r>
                    <m:t>σ</m:t>
                  </m:r>
                </m:e>
                <m:sup>
                  <m:r>
                    <m:t>2</m:t>
                  </m:r>
                </m:sup>
              </m:sSup>
              <m:r>
                <m:rPr>
                  <m:sty m:val="p"/>
                </m:rPr>
                <m:t>+</m:t>
              </m:r>
              <m:sSup>
                <m:e>
                  <m:r>
                    <m:t>ν</m:t>
                  </m:r>
                </m:e>
                <m:sup>
                  <m:r>
                    <m:t>2</m:t>
                  </m:r>
                </m:sup>
              </m:sSup>
            </m:den>
          </m:f>
        </m:oMath>
      </m:oMathPara>
    </w:p>
    <w:p>
      <w:pPr>
        <w:spacing w:after="60"/>
        <w:jc w:val="both"/>
      </w:pPr>
      <w:r>
        <w:rPr>
          <w:color w:val="3A4350"/>
          <w:sz w:val="15"/>
          <w:szCs w:val="15"/>
        </w:rPr>
        <w:t xml:space="preserve">Here a gamble pays </w:t>
      </w:r>
      <m:oMath>
        <m:r>
          <m:t>X</m:t>
        </m:r>
      </m:oMath>
      <w:r>
        <w:rPr>
          <w:color w:val="3A4350"/>
          <w:sz w:val="15"/>
          <w:szCs w:val="15"/>
        </w:rPr>
        <w:t xml:space="preserve"> with probability </w:t>
      </w:r>
      <m:oMath>
        <m:r>
          <m:t>p</m:t>
        </m:r>
      </m:oMath>
      <w:r>
        <w:rPr>
          <w:color w:val="3A4350"/>
          <w:sz w:val="15"/>
          <w:szCs w:val="15"/>
        </w:rPr>
        <w:t xml:space="preserve"> against a sure amount </w:t>
      </w:r>
      <m:oMath>
        <m:r>
          <m:t>C</m:t>
        </m:r>
      </m:oMath>
      <w:r>
        <w:rPr>
          <w:color w:val="3A4350"/>
          <w:sz w:val="15"/>
          <w:szCs w:val="15"/>
        </w:rPr>
        <w:t xml:space="preserve">, </w:t>
      </w:r>
      <m:oMath>
        <m:r>
          <m:t>ν</m:t>
        </m:r>
      </m:oMath>
      <w:r>
        <w:rPr>
          <w:color w:val="3A4350"/>
          <w:sz w:val="15"/>
          <w:szCs w:val="15"/>
        </w:rPr>
        <w:t xml:space="preserve"> is the encoding noise of log magnitudes, </w:t>
      </w:r>
      <m:oMath>
        <m:r>
          <m:t>σ</m:t>
        </m:r>
      </m:oMath>
      <w:r>
        <w:rPr>
          <w:color w:val="3A4350"/>
          <w:sz w:val="15"/>
          <w:szCs w:val="15"/>
        </w:rPr>
        <w:t xml:space="preserve"> the spread of the prior over log payoffs and </w:t>
      </w:r>
      <m:oMath>
        <m:r>
          <m:t>Φ</m:t>
        </m:r>
      </m:oMath>
      <w:r>
        <w:rPr>
          <w:color w:val="3A4350"/>
          <w:sz w:val="15"/>
          <w:szCs w:val="15"/>
        </w:rPr>
        <w:t xml:space="preserve"> the standard normal distribution function; indifference requires </w:t>
      </w:r>
      <m:oMath>
        <m:r>
          <m:t>X</m:t>
        </m:r>
        <m:r>
          <m:rPr>
            <m:sty m:val="p"/>
          </m:rPr>
          <m:t>/</m:t>
        </m:r>
        <m:r>
          <m:t>C</m:t>
        </m:r>
        <m:r>
          <m:rPr>
            <m:sty m:val="p"/>
          </m:rPr>
          <m:t>=</m:t>
        </m:r>
        <m:sSup>
          <m:e>
            <m:r>
              <m:t>p</m:t>
            </m:r>
          </m:e>
          <m:sup>
            <m:r>
              <m:rPr>
                <m:sty m:val="p"/>
              </m:rPr>
              <m:t>−</m:t>
            </m:r>
            <m:r>
              <m:t>1</m:t>
            </m:r>
            <m:r>
              <m:rPr>
                <m:sty m:val="p"/>
              </m:rPr>
              <m:t>/</m:t>
            </m:r>
            <m:r>
              <m:t>β</m:t>
            </m:r>
          </m:sup>
        </m:sSup>
        <m:r>
          <m:rPr>
            <m:sty m:val="p"/>
          </m:rPr>
          <m:t>&gt;</m:t>
        </m:r>
        <m:r>
          <m:t>1</m:t>
        </m:r>
        <m:r>
          <m:rPr>
            <m:sty m:val="p"/>
          </m:rPr>
          <m:t>/</m:t>
        </m:r>
        <m:r>
          <m:t>p</m:t>
        </m:r>
      </m:oMath>
      <w:r>
        <w:rPr>
          <w:color w:val="3A4350"/>
          <w:sz w:val="15"/>
          <w:szCs w:val="15"/>
        </w:rPr>
        <w:t xml:space="preserve">, so apparent risk aversion grows with the noise </w:t>
      </w:r>
      <m:oMath>
        <m:r>
          <m:t>ν</m:t>
        </m:r>
      </m:oMath>
      <w:r>
        <w:rPr>
          <w:color w:val="3A4350"/>
          <w:sz w:val="15"/>
          <w:szCs w:val="15"/>
        </w:rPr>
        <w:t xml:space="preserve">.</w:t>
      </w:r>
    </w:p>
    <w:p>
      <w:pPr>
        <w:spacing w:after="60"/>
        <w:jc w:val="both"/>
      </w:pPr>
      <w:r>
        <w:rPr>
          <w:b/>
          <w:bCs/>
          <w:color w:val="215CAF"/>
          <w:sz w:val="17"/>
          <w:szCs w:val="17"/>
        </w:rPr>
        <w:t xml:space="preserve">Link to the Fushë-Kuqe stakeholders. </w:t>
      </w:r>
      <w:r>
        <w:rPr>
          <w:sz w:val="17"/>
          <w:szCs w:val="17"/>
        </w:rPr>
        <w:t xml:space="preserve">Belongs to theme 3. Irrigators, hoteliers and utility staff who read chloride figures and drought warnings under stress may act more risk averse, or more erratically, because their perception of magnitudes is noisier, not because their preferences changed. Presenting exceedance risks at A1 and P10 in a clear, low-noise format may curb panic-driven over-caution in an extreme year.</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Gives a mechanistic and measurable account of individual risk attitudes: noise in magnitude perception, read out in parietal cortex, predicts risk aversion, and a stimulus-noise manipulation shifts it. It ties an objective human factor (noise) to a subjective one (risk attitude). Published in Nature Human Behaviour, a top venue on the review's list.</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evidence comes from laboratory choices over money. Whether crisis conditions such as a drought raise magnitude noise, and hence apparent risk aversion, in stakeholders reading chloride and recharge figures is untested, and would be new evidence for water governance.</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individual risk attitudes are explained by a measured neural precision parameter rather than a fitted utility curvature, and an experimental noise manipulation moves them as predicted. Proposed extension: in a pre-registered workshop with Fushë-Kuqe stakeholders, show the same exceedance risks at A1 and P10 in low- and high-noise formats; the model predicts that noisy formats raise the safety margins demanded, which the contingency plan can then fix in advance.</w:t>
      </w:r>
    </w:p>
    <w:p>
      <w:pPr>
        <w:keepNext/>
        <w:pBdr>
          <w:top w:val="single" w:color="215CAF" w:sz="6" w:space="4"/>
        </w:pBdr>
        <w:spacing w:after="60" w:before="220"/>
      </w:pPr>
      <w:r>
        <w:rPr>
          <w:b/>
          <w:bCs/>
          <w:color w:val="215CAF"/>
          <w:sz w:val="23"/>
          <w:szCs w:val="23"/>
        </w:rPr>
        <w:t xml:space="preserve">E4  </w:t>
      </w:r>
      <w:r>
        <w:rPr>
          <w:b/>
          <w:bCs/>
          <w:color w:val="1F3864"/>
          <w:sz w:val="23"/>
          <w:szCs w:val="23"/>
        </w:rPr>
        <w:t xml:space="preserve">Extreme weather event attribution predicts climate policy support across the world</w:t>
      </w:r>
    </w:p>
    <w:p>
      <w:pPr>
        <w:keepNext/>
        <w:spacing w:after="60" w:line="240" w:lineRule="auto"/>
      </w:pPr>
      <w:r>
        <w:rPr>
          <w:b/>
          <w:bCs/>
          <w:color w:val="333B47"/>
          <w:sz w:val="15"/>
          <w:szCs w:val="15"/>
        </w:rPr>
        <w:t xml:space="preserve">Authors: </w:t>
      </w:r>
      <w:r>
        <w:rPr>
          <w:sz w:val="15"/>
          <w:szCs w:val="15"/>
        </w:rPr>
        <w:t xml:space="preserve">Viktoria Cologna, Simona Meiler, Kropf, Lüthi, Niels G. Mede, David N. Bresch, Lecuona, Berger, Besley, Brick, Joubert, Maibach, Mihelj, Oreskes, Schäfer, van der Linden and the TISP Consortium (order as listed by the Utrecht University repository; other records add names such as Olivier Klein; full list and remaining first names not verified)</w:t>
      </w:r>
      <w:r>
        <w:rPr>
          <w:sz w:val="15"/>
          <w:szCs w:val="15"/>
        </w:rPr>
        <w:t xml:space="preserve">   </w:t>
      </w:r>
      <w:r>
        <w:rPr>
          <w:b/>
          <w:bCs/>
          <w:color w:val="333B47"/>
          <w:sz w:val="15"/>
          <w:szCs w:val="15"/>
        </w:rPr>
        <w:t xml:space="preserve">Published in: </w:t>
      </w:r>
      <w:r>
        <w:rPr>
          <w:sz w:val="15"/>
          <w:szCs w:val="15"/>
        </w:rPr>
        <w:t xml:space="preserve">Nature Climate Change, 15(7), 725–735 (July 2025)</w:t>
      </w:r>
      <w:r>
        <w:rPr>
          <w:sz w:val="15"/>
          <w:szCs w:val="15"/>
        </w:rPr>
        <w:t xml:space="preserve">   </w:t>
      </w:r>
      <w:r>
        <w:rPr>
          <w:b/>
          <w:bCs/>
          <w:color w:val="333B47"/>
          <w:sz w:val="15"/>
          <w:szCs w:val="15"/>
        </w:rPr>
        <w:t xml:space="preserve">Link: </w:t>
      </w:r>
      <w:hyperlink w:history="1" r:id="rIdqezpyvyqjfn12deol_c8y">
        <w:r>
          <w:rPr>
            <w:color w:val="1D4ED8"/>
            <w:sz w:val="15"/>
            <w:szCs w:val="15"/>
            <w:u w:val="single"/>
          </w:rPr>
          <w:t xml:space="preserve">https://doi.org/10.1038/s41558-025-02372-4</w:t>
        </w:r>
      </w:hyperlink>
    </w:p>
    <w:p>
      <w:pPr>
        <w:keepNext/>
        <w:spacing w:after="80" w:line="240" w:lineRule="auto"/>
      </w:pPr>
      <w:r>
        <w:rPr>
          <w:b/>
          <w:bCs/>
          <w:color w:val="333B47"/>
          <w:sz w:val="15"/>
          <w:szCs w:val="15"/>
        </w:rPr>
        <w:t xml:space="preserve">Affiliation: </w:t>
      </w:r>
      <w:r>
        <w:rPr>
          <w:color w:val="3A4350"/>
          <w:sz w:val="15"/>
          <w:szCs w:val="15"/>
        </w:rPr>
        <w:t xml:space="preserve">Cologna: Harvard University and ETH Zürich, and Mede: University of Zurich, according to a news summary of the study returned by search; the same source states that the country-level exposure data were modelled by climate researchers at ETH Zürich. Volume and pages from the Utrecht University repository record.</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(3/5)</w:t>
      </w:r>
    </w:p>
    <w:p>
      <w:pPr>
        <w:spacing w:after="60"/>
        <w:jc w:val="both"/>
      </w:pPr>
      <w:r>
        <w:rPr>
          <w:b/>
          <w:bCs/>
          <w:color w:val="215CAF"/>
          <w:sz w:val="17"/>
          <w:szCs w:val="17"/>
        </w:rPr>
        <w:t xml:space="preserve">Summary. </w:t>
      </w:r>
      <w:r>
        <w:rPr>
          <w:sz w:val="17"/>
          <w:szCs w:val="17"/>
        </w:rPr>
        <w:t xml:space="preserve">Does living through extreme weather make people support climate policy? The authors combined a survey of 71,922 respondents in 68 countries with modelled country-level exposure of the population to river floods, heatwaves, European winter storms, tropical cyclones, wildfires, heavy precipitation and droughts. They tested whether objective exposure and the subjective attribution of extreme weather to climate change predict support for five widely discussed climate policies. Subjective attribution was positively associated with support for several policies, whereas exposure to most types of extreme weather did not predict support: perceived links, not experienced events, carried the policy signal.</w:t>
      </w:r>
    </w:p>
    <w:p>
      <w:pPr>
        <w:keepNext/>
        <w:spacing w:after="20" w:before="40"/>
      </w:pPr>
      <w:r>
        <w:rPr>
          <w:b/>
          <w:bCs/>
          <w:color w:val="215CAF"/>
          <w:sz w:val="17"/>
          <w:szCs w:val="17"/>
        </w:rPr>
        <w:t xml:space="preserve">Key equation.</w:t>
      </w:r>
      <w:r>
        <w:rPr>
          <w:i/>
          <w:iCs/>
          <w:color w:val="5B6573"/>
          <w:sz w:val="15"/>
          <w:szCs w:val="15"/>
        </w:rPr>
        <w:t xml:space="preserve">  Multilevel association of policy support with subjective attribution and modelled exposure (representative formulation)</w:t>
      </w:r>
    </w:p>
    <w:p>
      <w:pPr>
        <w:pStyle w:val="Equation"/>
      </w:pPr>
      <m:oMathPara>
        <m:oMathParaPr>
          <m:jc m:val="center"/>
        </m:oMathParaPr>
        <m:oMath>
          <m:sSub>
            <m:e>
              <m:r>
                <m:rPr>
                  <m:nor/>
                </m:rPr>
                <m:t>Support</m:t>
              </m:r>
            </m:e>
            <m:sub>
              <m:r>
                <m:t>i</m:t>
              </m:r>
              <m:r>
                <m:t>j</m:t>
              </m:r>
            </m:sub>
          </m:sSub>
          <m:r>
            <m:rPr>
              <m:sty m:val="p"/>
            </m:rPr>
            <m:t>=</m:t>
          </m:r>
          <m:sSub>
            <m:e>
              <m:r>
                <m:t>β</m:t>
              </m:r>
            </m:e>
            <m:sub>
              <m:r>
                <m:t>0</m:t>
              </m:r>
            </m:sub>
          </m:sSub>
          <m:r>
            <m:rPr>
              <m:sty m:val="p"/>
            </m:rPr>
            <m:t>+</m:t>
          </m:r>
          <m:sSub>
            <m:e>
              <m:r>
                <m:t>β</m:t>
              </m:r>
            </m:e>
            <m:sub>
              <m:r>
                <m:t>1</m:t>
              </m:r>
            </m:sub>
          </m:sSub>
          <m:sSub>
            <m:e>
              <m:r>
                <m:rPr>
                  <m:nor/>
                </m:rPr>
                <m:t>Attribution</m:t>
              </m:r>
            </m:e>
            <m:sub>
              <m:r>
                <m:t>i</m:t>
              </m:r>
              <m:r>
                <m:t>j</m:t>
              </m:r>
            </m:sub>
          </m:sSub>
          <m:r>
            <m:rPr>
              <m:sty m:val="p"/>
            </m:rPr>
            <m:t>+</m:t>
          </m:r>
          <m:sSub>
            <m:e>
              <m:r>
                <m:t>β</m:t>
              </m:r>
            </m:e>
            <m:sub>
              <m:r>
                <m:t>2</m:t>
              </m:r>
            </m:sub>
          </m:sSub>
          <m:sSub>
            <m:e>
              <m:r>
                <m:rPr>
                  <m:nor/>
                </m:rPr>
                <m:t>Exposure</m:t>
              </m:r>
            </m:e>
            <m:sub>
              <m:r>
                <m:t>j</m:t>
              </m:r>
            </m:sub>
          </m:sSub>
          <m:r>
            <m:rPr>
              <m:sty m:val="p"/>
            </m:rPr>
            <m:t>+</m:t>
          </m:r>
          <m:sSup>
            <m:e>
              <m:r>
                <m:t>γ</m:t>
              </m:r>
            </m:e>
            <m:sup>
              <m:r>
                <m:rPr>
                  <m:sty m:val="p"/>
                </m:rPr>
                <m:t>⊤</m:t>
              </m:r>
            </m:sup>
          </m:sSup>
          <m:sSub>
            <m:e>
              <m:r>
                <m:t>Z</m:t>
              </m:r>
            </m:e>
            <m:sub>
              <m:r>
                <m:t>i</m:t>
              </m:r>
              <m:r>
                <m:t>j</m:t>
              </m:r>
            </m:sub>
          </m:sSub>
          <m:r>
            <m:rPr>
              <m:sty m:val="p"/>
            </m:rPr>
            <m:t>+</m:t>
          </m:r>
          <m:sSub>
            <m:e>
              <m:r>
                <m:t>u</m:t>
              </m:r>
            </m:e>
            <m:sub>
              <m:r>
                <m:t>j</m:t>
              </m:r>
            </m:sub>
          </m:sSub>
          <m:r>
            <m:rPr>
              <m:sty m:val="p"/>
            </m:rPr>
            <m:t>+</m:t>
          </m:r>
          <m:sSub>
            <m:e>
              <m:r>
                <m:t>ε</m:t>
              </m:r>
            </m:e>
            <m:sub>
              <m:r>
                <m:t>i</m:t>
              </m:r>
              <m:r>
                <m:t>j</m:t>
              </m:r>
            </m:sub>
          </m:sSub>
        </m:oMath>
      </m:oMathPara>
    </w:p>
    <w:p>
      <w:pPr>
        <w:spacing w:after="60"/>
        <w:jc w:val="both"/>
      </w:pPr>
      <w:r>
        <w:rPr>
          <w:color w:val="3A4350"/>
          <w:sz w:val="15"/>
          <w:szCs w:val="15"/>
        </w:rPr>
        <w:t xml:space="preserve">Here </w:t>
      </w:r>
      <m:oMath>
        <m:r>
          <m:t>i</m:t>
        </m:r>
      </m:oMath>
      <w:r>
        <w:rPr>
          <w:color w:val="3A4350"/>
          <w:sz w:val="15"/>
          <w:szCs w:val="15"/>
        </w:rPr>
        <w:t xml:space="preserve"> indexes respondents and </w:t>
      </w:r>
      <m:oMath>
        <m:r>
          <m:t>j</m:t>
        </m:r>
      </m:oMath>
      <w:r>
        <w:rPr>
          <w:color w:val="3A4350"/>
          <w:sz w:val="15"/>
          <w:szCs w:val="15"/>
        </w:rPr>
        <w:t xml:space="preserve"> countries, </w:t>
      </w:r>
      <m:oMath>
        <m:sSub>
          <m:e>
            <m:r>
              <m:rPr>
                <m:nor/>
              </m:rPr>
              <m:t>Attribution</m:t>
            </m:r>
          </m:e>
          <m:sub>
            <m:r>
              <m:t>i</m:t>
            </m:r>
            <m:r>
              <m:t>j</m:t>
            </m:r>
          </m:sub>
        </m:sSub>
      </m:oMath>
      <w:r>
        <w:rPr>
          <w:color w:val="3A4350"/>
          <w:sz w:val="15"/>
          <w:szCs w:val="15"/>
        </w:rPr>
        <w:t xml:space="preserve"> is the perceived link between extreme weather and climate change, </w:t>
      </w:r>
      <m:oMath>
        <m:sSub>
          <m:e>
            <m:r>
              <m:rPr>
                <m:nor/>
              </m:rPr>
              <m:t>Exposure</m:t>
            </m:r>
          </m:e>
          <m:sub>
            <m:r>
              <m:t>j</m:t>
            </m:r>
          </m:sub>
        </m:sSub>
      </m:oMath>
      <w:r>
        <w:rPr>
          <w:color w:val="3A4350"/>
          <w:sz w:val="15"/>
          <w:szCs w:val="15"/>
        </w:rPr>
        <w:t xml:space="preserve"> the modelled exposure of the population, </w:t>
      </w:r>
      <m:oMath>
        <m:sSub>
          <m:e>
            <m:r>
              <m:t>Z</m:t>
            </m:r>
          </m:e>
          <m:sub>
            <m:r>
              <m:t>i</m:t>
            </m:r>
            <m:r>
              <m:t>j</m:t>
            </m:r>
          </m:sub>
        </m:sSub>
      </m:oMath>
      <w:r>
        <w:rPr>
          <w:color w:val="3A4350"/>
          <w:sz w:val="15"/>
          <w:szCs w:val="15"/>
        </w:rPr>
        <w:t xml:space="preserve"> controls and </w:t>
      </w:r>
      <m:oMath>
        <m:sSub>
          <m:e>
            <m:r>
              <m:t>u</m:t>
            </m:r>
          </m:e>
          <m:sub>
            <m:r>
              <m:t>j</m:t>
            </m:r>
          </m:sub>
        </m:sSub>
      </m:oMath>
      <w:r>
        <w:rPr>
          <w:color w:val="3A4350"/>
          <w:sz w:val="15"/>
          <w:szCs w:val="15"/>
        </w:rPr>
        <w:t xml:space="preserve"> a country effect; the finding is </w:t>
      </w:r>
      <m:oMath>
        <m:sSub>
          <m:e>
            <m:r>
              <m:t>β</m:t>
            </m:r>
          </m:e>
          <m:sub>
            <m:r>
              <m:t>1</m:t>
            </m:r>
          </m:sub>
        </m:sSub>
        <m:r>
          <m:rPr>
            <m:sty m:val="p"/>
          </m:rPr>
          <m:t>&gt;</m:t>
        </m:r>
        <m:r>
          <m:t>0</m:t>
        </m:r>
      </m:oMath>
      <w:r>
        <w:rPr>
          <w:color w:val="3A4350"/>
          <w:sz w:val="15"/>
          <w:szCs w:val="15"/>
        </w:rPr>
        <w:t xml:space="preserve">, while </w:t>
      </w:r>
      <m:oMath>
        <m:sSub>
          <m:e>
            <m:r>
              <m:t>β</m:t>
            </m:r>
          </m:e>
          <m:sub>
            <m:r>
              <m:t>2</m:t>
            </m:r>
          </m:sub>
        </m:sSub>
      </m:oMath>
      <w:r>
        <w:rPr>
          <w:color w:val="3A4350"/>
          <w:sz w:val="15"/>
          <w:szCs w:val="15"/>
        </w:rPr>
        <w:t xml:space="preserve"> is not distinguishable from zero for most hazard types.</w:t>
      </w:r>
    </w:p>
    <w:p>
      <w:pPr>
        <w:spacing w:after="60"/>
        <w:jc w:val="both"/>
      </w:pPr>
      <w:r>
        <w:rPr>
          <w:b/>
          <w:bCs/>
          <w:color w:val="215CAF"/>
          <w:sz w:val="17"/>
          <w:szCs w:val="17"/>
        </w:rPr>
        <w:t xml:space="preserve">Link to the Fushë-Kuqe stakeholders. </w:t>
      </w:r>
      <w:r>
        <w:rPr>
          <w:sz w:val="17"/>
          <w:szCs w:val="17"/>
        </w:rPr>
        <w:t xml:space="preserve">Belongs to theme 3. After a drought summer, Fushë-Kuqe irrigators and hoteliers will not back pumping cuts or managed recharge just because they lived through it; support follows whether they attribute the shortage to a changing climate rather than to bad luck or other users. A shared reading of extremes, agreed in calm years, may matter more than exposure.</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Joins survey data from 68 countries with natural-science exposure models, so objective exposure and subjective attribution are tested side by side rather than both taken from self-reports; the subjective channel dominates. Published in Nature Climate Change in 2025, a top venue on the review's list.</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evidence is cross-sectional, with exposure measured per country. Whether local experience of salinisation at named wells, and its attribution to drought or to over-pumping, shifts support for a groundwater contingency plan is open and testable at Fushë-Kuqe.</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global exposure index from hazard models merged with a 68-country survey, so that objective and subjective channels are estimated jointly. Proposed extension: survey Fushë-Kuqe stakeholders before and after a dry season, pairing each respondent's modelled chloride exposure at the nearest well with their attribution of salinity (drought, hotels, utility); test whether attribution, not exposure, predicts acceptance of the plan's triggers.</w:t>
      </w:r>
    </w:p>
    <w:p>
      <w:pPr>
        <w:keepNext/>
        <w:pBdr>
          <w:top w:val="single" w:color="215CAF" w:sz="6" w:space="4"/>
        </w:pBdr>
        <w:spacing w:after="60" w:before="220"/>
      </w:pPr>
      <w:r>
        <w:rPr>
          <w:b/>
          <w:bCs/>
          <w:color w:val="215CAF"/>
          <w:sz w:val="23"/>
          <w:szCs w:val="23"/>
        </w:rPr>
        <w:t xml:space="preserve">E5  </w:t>
      </w:r>
      <w:r>
        <w:rPr>
          <w:b/>
          <w:bCs/>
          <w:color w:val="1F3864"/>
          <w:sz w:val="23"/>
          <w:szCs w:val="23"/>
        </w:rPr>
        <w:t xml:space="preserve">Increasing countries' financial resilience through global catastrophe risk pooling</w:t>
      </w:r>
    </w:p>
    <w:p>
      <w:pPr>
        <w:keepNext/>
        <w:spacing w:after="60" w:line="240" w:lineRule="auto"/>
      </w:pPr>
      <w:r>
        <w:rPr>
          <w:b/>
          <w:bCs/>
          <w:color w:val="333B47"/>
          <w:sz w:val="15"/>
          <w:szCs w:val="15"/>
        </w:rPr>
        <w:t xml:space="preserve">Authors: </w:t>
      </w:r>
      <w:r>
        <w:rPr>
          <w:sz w:val="15"/>
          <w:szCs w:val="15"/>
        </w:rPr>
        <w:t xml:space="preserve">Alessio Ciullo, Eric Strobl, Simona Meiler, Olivia Martius, David N. Bresch</w:t>
      </w:r>
      <w:r>
        <w:rPr>
          <w:sz w:val="15"/>
          <w:szCs w:val="15"/>
        </w:rPr>
        <w:t xml:space="preserve">   </w:t>
      </w:r>
      <w:r>
        <w:rPr>
          <w:b/>
          <w:bCs/>
          <w:color w:val="333B47"/>
          <w:sz w:val="15"/>
          <w:szCs w:val="15"/>
        </w:rPr>
        <w:t xml:space="preserve">Published in: </w:t>
      </w:r>
      <w:r>
        <w:rPr>
          <w:sz w:val="15"/>
          <w:szCs w:val="15"/>
        </w:rPr>
        <w:t xml:space="preserve">Nature Communications, 14, article 922 (17 February 2023)</w:t>
      </w:r>
      <w:r>
        <w:rPr>
          <w:sz w:val="15"/>
          <w:szCs w:val="15"/>
        </w:rPr>
        <w:t xml:space="preserve">   </w:t>
      </w:r>
      <w:r>
        <w:rPr>
          <w:b/>
          <w:bCs/>
          <w:color w:val="333B47"/>
          <w:sz w:val="15"/>
          <w:szCs w:val="15"/>
        </w:rPr>
        <w:t xml:space="preserve">Link: </w:t>
      </w:r>
      <w:hyperlink w:history="1" r:id="rIdhcfd7b-km1dpniaa9xtgc">
        <w:r>
          <w:rPr>
            <w:color w:val="1D4ED8"/>
            <w:sz w:val="15"/>
            <w:szCs w:val="15"/>
            <w:u w:val="single"/>
          </w:rPr>
          <w:t xml:space="preserve">https://doi.org/10.1038/s41467-023-36539-4</w:t>
        </w:r>
      </w:hyperlink>
    </w:p>
    <w:p>
      <w:pPr>
        <w:keepNext/>
        <w:spacing w:after="80" w:line="240" w:lineRule="auto"/>
      </w:pPr>
      <w:r>
        <w:rPr>
          <w:b/>
          <w:bCs/>
          <w:color w:val="333B47"/>
          <w:sz w:val="15"/>
          <w:szCs w:val="15"/>
        </w:rPr>
        <w:t xml:space="preserve">Affiliation: </w:t>
      </w:r>
      <w:r>
        <w:rPr>
          <w:color w:val="3A4350"/>
          <w:sz w:val="15"/>
          <w:szCs w:val="15"/>
        </w:rPr>
        <w:t xml:space="preserve">Ciullo and Bresch: Institute for Environmental Decisions, ETH Zürich (stated in a search result on the article, whose records are held by Bern BORIS and the University of Birmingham portal); Ciullo also has a person record in the ETH Research Collection. Strobl and Martius: Bern (BORIS record; not checked further).</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(3/5)</w:t>
      </w:r>
    </w:p>
    <w:p>
      <w:pPr>
        <w:spacing w:after="60"/>
        <w:jc w:val="both"/>
      </w:pPr>
      <w:r>
        <w:rPr>
          <w:b/>
          <w:bCs/>
          <w:color w:val="215CAF"/>
          <w:sz w:val="17"/>
          <w:szCs w:val="17"/>
        </w:rPr>
        <w:t xml:space="preserve">Summary. </w:t>
      </w:r>
      <w:r>
        <w:rPr>
          <w:sz w:val="17"/>
          <w:szCs w:val="17"/>
        </w:rPr>
        <w:t xml:space="preserve">Sovereign catastrophe risk pools let countries share the financial burden of disasters, but existing pools are regional and were not designed to maximise diversification. The authors propose a method that forms pools by maximising risk diversification, using modelled disaster losses, extreme value analysis and diversification measures from the systemic-risk literature; the method selects countries with low bilateral correlations or small shares of the pool's risk. Global pooling yields more diversification than regional pooling, spreads risk shares more evenly and increases the number of countries that profit, and optimal global pooling could raise the diversification of existing pools by up to 65%.</w:t>
      </w:r>
    </w:p>
    <w:p>
      <w:pPr>
        <w:keepNext/>
        <w:spacing w:after="20" w:before="40"/>
      </w:pPr>
      <w:r>
        <w:rPr>
          <w:b/>
          <w:bCs/>
          <w:color w:val="215CAF"/>
          <w:sz w:val="17"/>
          <w:szCs w:val="17"/>
        </w:rPr>
        <w:t xml:space="preserve">Key equation.</w:t>
      </w:r>
      <w:r>
        <w:rPr>
          <w:i/>
          <w:iCs/>
          <w:color w:val="5B6573"/>
          <w:sz w:val="15"/>
          <w:szCs w:val="15"/>
        </w:rPr>
        <w:t xml:space="preserve">  Tail-based diversification of a pool and the optimal membership (representative formulation)</w:t>
      </w:r>
    </w:p>
    <w:p>
      <w:pPr>
        <w:pStyle w:val="Equation"/>
      </w:pPr>
      <m:oMathPara>
        <m:oMathParaPr>
          <m:jc m:val="center"/>
        </m:oMathParaPr>
        <m:oMath>
          <m:r>
            <m:t>D</m:t>
          </m:r>
          <m:d>
            <m:dPr>
              <m:begChr m:val="("/>
              <m:sepChr m:val=""/>
              <m:endChr m:val=")"/>
              <m:grow/>
            </m:dPr>
            <m:e>
              <m:r>
                <m:rPr>
                  <m:scr m:val="script"/>
                  <m:sty m:val="p"/>
                </m:rPr>
                <m:t>P</m:t>
              </m:r>
            </m:e>
          </m:d>
          <m:r>
            <m:rPr>
              <m:sty m:val="p"/>
            </m:rPr>
            <m:t>=</m:t>
          </m:r>
          <m:r>
            <m:t>1</m:t>
          </m:r>
          <m:r>
            <m:rPr>
              <m:sty m:val="p"/>
            </m:rPr>
            <m:t>−</m:t>
          </m:r>
          <m:f>
            <m:fPr>
              <m:type m:val="bar"/>
            </m:fPr>
            <m:num>
              <m:sSub>
                <m:e>
                  <m:r>
                    <m:rPr>
                      <m:nor/>
                    </m:rPr>
                    <m:t>VaR</m:t>
                  </m:r>
                </m:e>
                <m:sub>
                  <m:r>
                    <m:t>α</m:t>
                  </m:r>
                </m:sub>
              </m:sSub>
              <m:d>
                <m:dPr>
                  <m:begChr m:val="("/>
                  <m:sepChr m:val=""/>
                  <m:endChr m:val=")"/>
                  <m:grow/>
                </m:dPr>
                <m:e>
                  <m:nary>
                    <m:naryPr>
                      <m:chr m:val="∑"/>
                      <m:limLoc m:val="undOvr"/>
                      <m:subHide m:val="off"/>
                      <m:supHide m:val="on"/>
                    </m:naryPr>
                    <m:sub>
                      <m:r>
                        <m:t>i</m:t>
                      </m:r>
                      <m:r>
                        <m:rPr>
                          <m:sty m:val="p"/>
                        </m:rPr>
                        <m:t>∈</m:t>
                      </m:r>
                      <m:r>
                        <m:rPr>
                          <m:scr m:val="script"/>
                          <m:sty m:val="p"/>
                        </m:rPr>
                        <m:t>P</m:t>
                      </m:r>
                    </m:sub>
                    <m:sup>
                      <m:r>
                        <m:t>​</m:t>
                      </m:r>
                    </m:sup>
                    <m:e>
                      <m:sSub>
                        <m:e>
                          <m:r>
                            <m:t>L</m:t>
                          </m:r>
                        </m:e>
                        <m:sub>
                          <m:r>
                            <m:t>i</m:t>
                          </m:r>
                        </m:sub>
                      </m:sSub>
                    </m:e>
                  </m:nary>
                </m:e>
              </m:d>
            </m:num>
            <m:den>
              <m:nary>
                <m:naryPr>
                  <m:chr m:val="∑"/>
                  <m:limLoc m:val="undOvr"/>
                  <m:subHide m:val="off"/>
                  <m:supHide m:val="on"/>
                </m:naryPr>
                <m:sub>
                  <m:r>
                    <m:t>i</m:t>
                  </m:r>
                  <m:r>
                    <m:rPr>
                      <m:sty m:val="p"/>
                    </m:rPr>
                    <m:t>∈</m:t>
                  </m:r>
                  <m:r>
                    <m:rPr>
                      <m:scr m:val="script"/>
                      <m:sty m:val="p"/>
                    </m:rPr>
                    <m:t>P</m:t>
                  </m:r>
                </m:sub>
                <m:sup>
                  <m:r>
                    <m:t>​</m:t>
                  </m:r>
                </m:sup>
                <m:e>
                  <m:sSub>
                    <m:e>
                      <m:r>
                        <m:rPr>
                          <m:nor/>
                        </m:rPr>
                        <m:t>VaR</m:t>
                      </m:r>
                    </m:e>
                    <m:sub>
                      <m:r>
                        <m:t>α</m:t>
                      </m:r>
                    </m:sub>
                  </m:sSub>
                </m:e>
              </m:nary>
              <m:d>
                <m:dPr>
                  <m:begChr m:val="("/>
                  <m:sepChr m:val=""/>
                  <m:endChr m:val=")"/>
                  <m:grow/>
                </m:dPr>
                <m:e>
                  <m:sSub>
                    <m:e>
                      <m:r>
                        <m:t>L</m:t>
                      </m:r>
                    </m:e>
                    <m:sub>
                      <m:r>
                        <m:t>i</m:t>
                      </m:r>
                    </m:sub>
                  </m:sSub>
                </m:e>
              </m:d>
            </m:den>
          </m:f>
          <m:r>
            <m:rPr>
              <m:sty m:val="p"/>
            </m:rPr>
            <m:t>,</m:t>
          </m:r>
          <m:r>
            <m:t> </m:t>
          </m:r>
          <m:sSup>
            <m:e>
              <m:r>
                <m:rPr>
                  <m:scr m:val="script"/>
                  <m:sty m:val="p"/>
                </m:rPr>
                <m:t>P</m:t>
              </m:r>
            </m:e>
            <m:sup>
              <m:r>
                <m:rPr>
                  <m:sty m:val="p"/>
                </m:rPr>
                <m:t>⋆</m:t>
              </m:r>
            </m:sup>
          </m:sSup>
          <m:r>
            <m:rPr>
              <m:sty m:val="p"/>
            </m:rPr>
            <m:t>∈</m:t>
          </m:r>
          <m:r>
            <m:rPr>
              <m:sty m:val="p"/>
            </m:rPr>
            <m:t>arg</m:t>
          </m:r>
          <m:limLow>
            <m:e>
              <m:r>
                <m:rPr>
                  <m:sty m:val="p"/>
                </m:rPr>
                <m:t>max</m:t>
              </m:r>
            </m:e>
            <m:lim>
              <m:r>
                <m:rPr>
                  <m:scr m:val="script"/>
                  <m:sty m:val="p"/>
                </m:rPr>
                <m:t>P</m:t>
              </m:r>
            </m:lim>
          </m:limLow>
          <m:r>
            <m:t>D</m:t>
          </m:r>
          <m:d>
            <m:dPr>
              <m:begChr m:val="("/>
              <m:sepChr m:val=""/>
              <m:endChr m:val=")"/>
              <m:grow/>
            </m:dPr>
            <m:e>
              <m:r>
                <m:rPr>
                  <m:scr m:val="script"/>
                  <m:sty m:val="p"/>
                </m:rPr>
                <m:t>P</m:t>
              </m:r>
            </m:e>
          </m:d>
        </m:oMath>
      </m:oMathPara>
    </w:p>
    <w:p>
      <w:pPr>
        <w:spacing w:after="60"/>
        <w:jc w:val="both"/>
      </w:pPr>
      <w:r>
        <w:rPr>
          <w:color w:val="3A4350"/>
          <w:sz w:val="15"/>
          <w:szCs w:val="15"/>
        </w:rPr>
        <w:t xml:space="preserve">Here </w:t>
      </w:r>
      <m:oMath>
        <m:r>
          <m:rPr>
            <m:scr m:val="script"/>
            <m:sty m:val="p"/>
          </m:rPr>
          <m:t>P</m:t>
        </m:r>
      </m:oMath>
      <w:r>
        <w:rPr>
          <w:color w:val="3A4350"/>
          <w:sz w:val="15"/>
          <w:szCs w:val="15"/>
        </w:rPr>
        <w:t xml:space="preserve"> is a set of member countries, </w:t>
      </w:r>
      <m:oMath>
        <m:sSub>
          <m:e>
            <m:r>
              <m:t>L</m:t>
            </m:r>
          </m:e>
          <m:sub>
            <m:r>
              <m:t>i</m:t>
            </m:r>
          </m:sub>
        </m:sSub>
      </m:oMath>
      <w:r>
        <w:rPr>
          <w:color w:val="3A4350"/>
          <w:sz w:val="15"/>
          <w:szCs w:val="15"/>
        </w:rPr>
        <w:t xml:space="preserve"> the modelled disaster loss of member </w:t>
      </w:r>
      <m:oMath>
        <m:r>
          <m:t>i</m:t>
        </m:r>
      </m:oMath>
      <w:r>
        <w:rPr>
          <w:color w:val="3A4350"/>
          <w:sz w:val="15"/>
          <w:szCs w:val="15"/>
        </w:rPr>
        <w:t xml:space="preserve">, </w:t>
      </w:r>
      <m:oMath>
        <m:sSub>
          <m:e>
            <m:r>
              <m:rPr>
                <m:nor/>
              </m:rPr>
              <m:t>VaR</m:t>
            </m:r>
          </m:e>
          <m:sub>
            <m:r>
              <m:t>α</m:t>
            </m:r>
          </m:sub>
        </m:sSub>
      </m:oMath>
      <w:r>
        <w:rPr>
          <w:color w:val="3A4350"/>
          <w:sz w:val="15"/>
          <w:szCs w:val="15"/>
        </w:rPr>
        <w:t xml:space="preserve"> a high quantile (a rare-event loss) and </w:t>
      </w:r>
      <m:oMath>
        <m:r>
          <m:t>D</m:t>
        </m:r>
      </m:oMath>
      <w:r>
        <w:rPr>
          <w:color w:val="3A4350"/>
          <w:sz w:val="15"/>
          <w:szCs w:val="15"/>
        </w:rPr>
        <w:t xml:space="preserve"> the share of risk capital saved by pooling; the paper's own diversification measures come from the systemic-risk literature and may differ in detail.</w:t>
      </w:r>
    </w:p>
    <w:p>
      <w:pPr>
        <w:spacing w:after="60"/>
        <w:jc w:val="both"/>
      </w:pPr>
      <w:r>
        <w:rPr>
          <w:b/>
          <w:bCs/>
          <w:color w:val="215CAF"/>
          <w:sz w:val="17"/>
          <w:szCs w:val="17"/>
        </w:rPr>
        <w:t xml:space="preserve">Link to the Fushë-Kuqe stakeholders. </w:t>
      </w:r>
      <w:r>
        <w:rPr>
          <w:sz w:val="17"/>
          <w:szCs w:val="17"/>
        </w:rPr>
        <w:t xml:space="preserve">Belongs to theme 4. A drought fund agreed in calm years by the utility, municipality, irrigators and hotels, ideally pooled with other coastal aquifers whose droughts are weakly correlated, could pay for emergency supply or compensate curtailed users when recharge collapses, so that pumping cuts at A1 and P10 are accepted without bargaining in the crisis.</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Turns risk pooling from a regional convention into an optimisation over who should pool with whom, and shows sizeable gains from global, weakly correlated membership, a quantitative basis for agreeing disaster finance before the disaster. Published in Nature Communications, a top venue on the review's list.</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paper pools monetary losses among countries. Pooling groundwater drought risk among aquifer users, whose losses are correlated through each other's pumping and chloride, not only through weather, is open and new.</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pool membership chosen by maximising a tail-based diversification measure, which favours members with weakly correlated or small risks. Proposed extension: compute, from the 20 000 Fushë-Kuqe draws under drought scenarios, the joint tail of each stakeholder group's losses, and test whether a fund that compensates curtailed pumping keeps every stakeholder's exceedance probability at A1 and P10 at 10% or below at lower cost than uncompensated cuts.</w:t>
      </w:r>
    </w:p>
    <w:p>
      <w:pPr>
        <w:pStyle w:val="Heading1"/>
      </w:pPr>
      <w:r>
        <w:rPr>
          <w:color w:val="1F3864"/>
        </w:rPr>
        <w:t xml:space="preserve">8. Synthesis: what the 20 articles show together</w:t>
      </w:r>
    </w:p>
    <w:p>
      <w:pPr>
        <w:pStyle w:val="Heading3"/>
      </w:pPr>
      <w:r>
        <w:rPr>
          <w:color w:val="1F3864"/>
        </w:rPr>
        <w:t xml:space="preserve">8.1 The set at a glance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800"/>
        <w:gridCol w:w="3800"/>
        <w:gridCol w:w="2038"/>
      </w:tblGrid>
      <w:tr>
        <w:trPr>
          <w:cantSplit/>
          <w:tblHeader/>
        </w:trPr>
        <w:tc>
          <w:tcPr>
            <w:tcW w:type="dxa" w:w="3800"/>
            <w:shd w:fill="1F3864" w:color="auto" w:val="clear"/>
            <w:tcMar>
              <w:top w:type="dxa" w:w="60"/>
              <w:left w:type="dxa" w:w="100"/>
              <w:bottom w:type="dxa" w:w="60"/>
              <w:right w:type="dxa" w:w="100"/>
            </w:tcMar>
            <w:vAlign w:val="top"/>
          </w:tcPr>
          <w:p>
            <w:r>
              <w:rPr>
                <w:b/>
                <w:bCs/>
                <w:color w:val="FFFFFF"/>
                <w:sz w:val="17"/>
                <w:szCs w:val="17"/>
              </w:rPr>
              <w:t xml:space="preserve">Theme of Part I</w:t>
            </w:r>
          </w:p>
        </w:tc>
        <w:tc>
          <w:tcPr>
            <w:tcW w:type="dxa" w:w="3800"/>
            <w:shd w:fill="1F3864" w:color="auto" w:val="clear"/>
            <w:tcMar>
              <w:top w:type="dxa" w:w="60"/>
              <w:left w:type="dxa" w:w="100"/>
              <w:bottom w:type="dxa" w:w="60"/>
              <w:right w:type="dxa" w:w="100"/>
            </w:tcMar>
            <w:vAlign w:val="top"/>
          </w:tcPr>
          <w:p>
            <w:r>
              <w:rPr>
                <w:b/>
                <w:bCs/>
                <w:color w:val="FFFFFF"/>
                <w:sz w:val="17"/>
                <w:szCs w:val="17"/>
              </w:rPr>
              <w:t xml:space="preserve">Papers</w:t>
            </w:r>
          </w:p>
        </w:tc>
        <w:tc>
          <w:tcPr>
            <w:tcW w:type="dxa" w:w="2038"/>
            <w:shd w:fill="1F3864" w:color="auto" w:val="clear"/>
            <w:tcMar>
              <w:top w:type="dxa" w:w="60"/>
              <w:left w:type="dxa" w:w="100"/>
              <w:bottom w:type="dxa" w:w="60"/>
              <w:right w:type="dxa" w:w="100"/>
            </w:tcMar>
            <w:vAlign w:val="top"/>
          </w:tcPr>
          <w:p>
            <w:r>
              <w:rPr>
                <w:b/>
                <w:bCs/>
                <w:color w:val="FFFFFF"/>
                <w:sz w:val="17"/>
                <w:szCs w:val="17"/>
              </w:rPr>
              <w:t xml:space="preserve">Reserves</w:t>
            </w:r>
          </w:p>
        </w:tc>
      </w:tr>
      <w:tr>
        <w:trPr>
          <w:cantSplit/>
        </w:trPr>
        <w:tc>
          <w:tcPr>
            <w:tcW w:type="dxa" w:w="3800"/>
            <w:tcMar>
              <w:top w:type="dxa" w:w="60"/>
              <w:left w:type="dxa" w:w="100"/>
              <w:bottom w:type="dxa" w:w="60"/>
              <w:right w:type="dxa" w:w="100"/>
            </w:tcMar>
            <w:vAlign w:val="top"/>
          </w:tcPr>
          <w:p>
            <w:r>
              <w:rPr>
                <w:sz w:val="17"/>
                <w:szCs w:val="17"/>
              </w:rPr>
              <w:t xml:space="preserve">1.1 Deciding across regimes, from normal to extreme</w:t>
            </w:r>
          </w:p>
        </w:tc>
        <w:tc>
          <w:tcPr>
            <w:tcW w:type="dxa" w:w="3800"/>
            <w:tcMar>
              <w:top w:type="dxa" w:w="60"/>
              <w:left w:type="dxa" w:w="100"/>
              <w:bottom w:type="dxa" w:w="60"/>
              <w:right w:type="dxa" w:w="100"/>
            </w:tcMar>
            <w:vAlign w:val="top"/>
          </w:tcPr>
          <w:p>
            <w:r>
              <w:rPr>
                <w:sz w:val="17"/>
                <w:szCs w:val="17"/>
              </w:rPr>
              <w:t xml:space="preserve">[O4], [C5], [E1]</w:t>
            </w:r>
          </w:p>
        </w:tc>
        <w:tc>
          <w:tcPr>
            <w:tcW w:type="dxa" w:w="2038"/>
            <w:tcMar>
              <w:top w:type="dxa" w:w="60"/>
              <w:left w:type="dxa" w:w="100"/>
              <w:bottom w:type="dxa" w:w="60"/>
              <w:right w:type="dxa" w:w="100"/>
            </w:tcMar>
            <w:vAlign w:val="top"/>
          </w:tcPr>
          <w:p>
            <w:r>
              <w:rPr>
                <w:sz w:val="17"/>
                <w:szCs w:val="17"/>
              </w:rPr>
              <w:t xml:space="preserve">[ER1]</w:t>
            </w:r>
          </w:p>
        </w:tc>
      </w:tr>
      <w:tr>
        <w:trPr>
          <w:cantSplit/>
        </w:trPr>
        <w:tc>
          <w:tcPr>
            <w:tcW w:type="dxa" w:w="3800"/>
            <w:shd w:fill="F7F9FC" w:color="auto" w:val="clear"/>
            <w:tcMar>
              <w:top w:type="dxa" w:w="60"/>
              <w:left w:type="dxa" w:w="100"/>
              <w:bottom w:type="dxa" w:w="60"/>
              <w:right w:type="dxa" w:w="100"/>
            </w:tcMar>
            <w:vAlign w:val="top"/>
          </w:tcPr>
          <w:p>
            <w:r>
              <w:rPr>
                <w:sz w:val="17"/>
                <w:szCs w:val="17"/>
              </w:rPr>
              <w:t xml:space="preserve">1.2 Objective human factors</w:t>
            </w:r>
          </w:p>
        </w:tc>
        <w:tc>
          <w:tcPr>
            <w:tcW w:type="dxa" w:w="3800"/>
            <w:shd w:fill="F7F9FC" w:color="auto" w:val="clear"/>
            <w:tcMar>
              <w:top w:type="dxa" w:w="60"/>
              <w:left w:type="dxa" w:w="100"/>
              <w:bottom w:type="dxa" w:w="60"/>
              <w:right w:type="dxa" w:w="100"/>
            </w:tcMar>
            <w:vAlign w:val="top"/>
          </w:tcPr>
          <w:p>
            <w:r>
              <w:rPr>
                <w:sz w:val="17"/>
                <w:szCs w:val="17"/>
              </w:rPr>
              <w:t xml:space="preserve">[O1], [C1], [C2], [M2], [E2]</w:t>
            </w:r>
          </w:p>
        </w:tc>
        <w:tc>
          <w:tcPr>
            <w:tcW w:type="dxa" w:w="2038"/>
            <w:shd w:fill="F7F9FC" w:color="auto" w:val="clear"/>
            <w:tcMar>
              <w:top w:type="dxa" w:w="60"/>
              <w:left w:type="dxa" w:w="100"/>
              <w:bottom w:type="dxa" w:w="60"/>
              <w:right w:type="dxa" w:w="100"/>
            </w:tcMar>
            <w:vAlign w:val="top"/>
          </w:tcPr>
          <w:p>
            <w:r>
              <w:rPr>
                <w:sz w:val="17"/>
                <w:szCs w:val="17"/>
              </w:rPr>
              <w:t xml:space="preserve">[CR2]</w:t>
            </w:r>
          </w:p>
        </w:tc>
      </w:tr>
      <w:tr>
        <w:trPr>
          <w:cantSplit/>
        </w:trPr>
        <w:tc>
          <w:tcPr>
            <w:tcW w:type="dxa" w:w="3800"/>
            <w:tcMar>
              <w:top w:type="dxa" w:w="60"/>
              <w:left w:type="dxa" w:w="100"/>
              <w:bottom w:type="dxa" w:w="60"/>
              <w:right w:type="dxa" w:w="100"/>
            </w:tcMar>
            <w:vAlign w:val="top"/>
          </w:tcPr>
          <w:p>
            <w:r>
              <w:rPr>
                <w:sz w:val="17"/>
                <w:szCs w:val="17"/>
              </w:rPr>
              <w:t xml:space="preserve">1.3 Subjective human factors</w:t>
            </w:r>
          </w:p>
        </w:tc>
        <w:tc>
          <w:tcPr>
            <w:tcW w:type="dxa" w:w="3800"/>
            <w:tcMar>
              <w:top w:type="dxa" w:w="60"/>
              <w:left w:type="dxa" w:w="100"/>
              <w:bottom w:type="dxa" w:w="60"/>
              <w:right w:type="dxa" w:w="100"/>
            </w:tcMar>
            <w:vAlign w:val="top"/>
          </w:tcPr>
          <w:p>
            <w:r>
              <w:rPr>
                <w:sz w:val="17"/>
                <w:szCs w:val="17"/>
              </w:rPr>
              <w:t xml:space="preserve">[O2], [O3], [C3], [C4], [M3], [M5], [E3], [E4]</w:t>
            </w:r>
          </w:p>
        </w:tc>
        <w:tc>
          <w:tcPr>
            <w:tcW w:type="dxa" w:w="2038"/>
            <w:tcMar>
              <w:top w:type="dxa" w:w="60"/>
              <w:left w:type="dxa" w:w="100"/>
              <w:bottom w:type="dxa" w:w="60"/>
              <w:right w:type="dxa" w:w="100"/>
            </w:tcMar>
            <w:vAlign w:val="top"/>
          </w:tcPr>
          <w:p>
            <w:r>
              <w:rPr>
                <w:sz w:val="17"/>
                <w:szCs w:val="17"/>
              </w:rPr>
              <w:t xml:space="preserve">[OR1], [MR1], [ER2]</w:t>
            </w:r>
          </w:p>
        </w:tc>
      </w:tr>
      <w:tr>
        <w:trPr>
          <w:cantSplit/>
        </w:trPr>
        <w:tc>
          <w:tcPr>
            <w:tcW w:type="dxa" w:w="3800"/>
            <w:shd w:fill="F7F9FC" w:color="auto" w:val="clear"/>
            <w:tcMar>
              <w:top w:type="dxa" w:w="60"/>
              <w:left w:type="dxa" w:w="100"/>
              <w:bottom w:type="dxa" w:w="60"/>
              <w:right w:type="dxa" w:w="100"/>
            </w:tcMar>
            <w:vAlign w:val="top"/>
          </w:tcPr>
          <w:p>
            <w:r>
              <w:rPr>
                <w:sz w:val="17"/>
                <w:szCs w:val="17"/>
              </w:rPr>
              <w:t xml:space="preserve">1.4 Decisive collective action in crises</w:t>
            </w:r>
          </w:p>
        </w:tc>
        <w:tc>
          <w:tcPr>
            <w:tcW w:type="dxa" w:w="3800"/>
            <w:shd w:fill="F7F9FC" w:color="auto" w:val="clear"/>
            <w:tcMar>
              <w:top w:type="dxa" w:w="60"/>
              <w:left w:type="dxa" w:w="100"/>
              <w:bottom w:type="dxa" w:w="60"/>
              <w:right w:type="dxa" w:w="100"/>
            </w:tcMar>
            <w:vAlign w:val="top"/>
          </w:tcPr>
          <w:p>
            <w:r>
              <w:rPr>
                <w:sz w:val="17"/>
                <w:szCs w:val="17"/>
              </w:rPr>
              <w:t xml:space="preserve">[O5], [M1], [M4], [E5]</w:t>
            </w:r>
          </w:p>
        </w:tc>
        <w:tc>
          <w:tcPr>
            <w:tcW w:type="dxa" w:w="2038"/>
            <w:shd w:fill="F7F9FC" w:color="auto" w:val="clear"/>
            <w:tcMar>
              <w:top w:type="dxa" w:w="60"/>
              <w:left w:type="dxa" w:w="100"/>
              <w:bottom w:type="dxa" w:w="60"/>
              <w:right w:type="dxa" w:w="100"/>
            </w:tcMar>
            <w:vAlign w:val="top"/>
          </w:tcPr>
          <w:p>
            <w:r>
              <w:rPr>
                <w:sz w:val="17"/>
                <w:szCs w:val="17"/>
              </w:rPr>
              <w:t xml:space="preserve">[OR2], [CR1], [MR2]</w:t>
            </w:r>
          </w:p>
        </w:tc>
      </w:tr>
    </w:tbl>
    <w:p>
      <w:pPr>
        <w:spacing w:after="160"/>
      </w:pPr>
    </w:p>
    <w:p>
      <w:pPr>
        <w:pStyle w:val="Heading3"/>
      </w:pPr>
      <w:r>
        <w:rPr>
          <w:color w:val="1F3864"/>
        </w:rPr>
        <w:t xml:space="preserve">8.2 Extremes change the physics; people change the decision</w:t>
      </w:r>
    </w:p>
    <w:p>
      <w:pPr>
        <w:spacing w:after="120"/>
        <w:jc w:val="both"/>
      </w:pPr>
      <w:r>
        <w:t xml:space="preserve">The climate papers agree that the past is a poor guide to the extremes ahead: records will be broken by wide margins [E1], unprecedented heatwaves can be generated as storylines [ER1], groundwater losses accelerate in a megadrought [C5], and a supply standard can be designed for a 1-in-500-year drought [O4]. The human-factor papers add that the people who must act are noisier [C1, E3], less attentive under strain [M2], drawn by what is salient [C2], and that complexity hides parts of the rules they follow [O1]; that their weighting of probabilities can be optimal for noisy minds [O2], their loss attitudes vary more than experts think [C3], and anxiety and uncertainty aversion shape how they learn and feel in a crisis [O3, C4]; that heat itself lowers mood [M5]; and that attribution and evidence, more than exposure, change what they believe and accept [E4, M3, ER2]. Each of these is a parameter of a decision, not a footnote: objective factors change what happens when a decision is carried out, and subjective factors change which decision is taken.</w:t>
      </w:r>
    </w:p>
    <w:p>
      <w:pPr>
        <w:pStyle w:val="Heading3"/>
      </w:pPr>
      <w:r>
        <w:rPr>
          <w:color w:val="1F3864"/>
        </w:rPr>
        <w:t xml:space="preserve">8.3 Decisive action, and why it fits a COST Action</w:t>
      </w:r>
    </w:p>
    <w:p>
      <w:pPr>
        <w:spacing w:after="120"/>
        <w:jc w:val="both"/>
      </w:pPr>
      <w:r>
        <w:t xml:space="preserve">The collective-action papers point to the same instrument: decide the rule before the crisis. Coordination under costly information selects one threshold [M1], targeted rules beat uniform ones [M4], measured triggers beat rules of thumb [O5], pooled funds make the cost of drastic action bearable [E5], and allocation priorities can be agreed across countries in advance [OR2]. None of these papers combines a calibrated physical risk, a group of stakeholders with a unanimous limit, and human factors in one decisive rule for a shared resource across weather regimes; MOTI-GO (section 9) does so for Fushë-Kuqe. This is the kind of problem a COST Action is built for: no single discipline can answer it, the answers are needed across Europe's coastal aquifers, and each open question (Table 8.4) can be assigned to a working group with a measurable deliverable: storylines and triggers (climate science and hydrogeology), overshoot and compliance (behavioural economics and engineering), perception in calm and in crisis (psychology and neuroscience), and pre-commitment and pooling (economics and governance), joined by the stakeholders themselves.</w:t>
      </w:r>
    </w:p>
    <w:p>
      <w:pPr>
        <w:pStyle w:val="Heading3"/>
      </w:pPr>
      <w:r>
        <w:rPr>
          <w:color w:val="1F3864"/>
        </w:rPr>
        <w:t xml:space="preserve">8.4 Map of opportunities</w:t>
      </w:r>
    </w:p>
    <w:p>
      <w:pPr>
        <w:spacing w:after="120"/>
        <w:jc w:val="both"/>
      </w:pPr>
      <w:r>
        <w:t xml:space="preserve">Each row joins open problems of several cards into a question no published work we found has answered for a shared coastal aquifer (searches of 27 October 2026). Row 1 is begun in section 9.</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500"/>
        <w:gridCol w:w="2500"/>
        <w:gridCol w:w="1800"/>
        <w:gridCol w:w="4838"/>
      </w:tblGrid>
      <w:tr>
        <w:trPr>
          <w:cantSplit/>
          <w:tblHeader/>
        </w:trPr>
        <w:tc>
          <w:tcPr>
            <w:tcW w:type="dxa" w:w="500"/>
            <w:shd w:fill="1F3864" w:color="auto" w:val="clear"/>
            <w:tcMar>
              <w:top w:type="dxa" w:w="60"/>
              <w:left w:type="dxa" w:w="100"/>
              <w:bottom w:type="dxa" w:w="60"/>
              <w:right w:type="dxa" w:w="100"/>
            </w:tcMar>
            <w:vAlign w:val="top"/>
          </w:tcPr>
          <w:p>
            <w:r>
              <w:rPr>
                <w:b/>
                <w:bCs/>
                <w:color w:val="FFFFFF"/>
                <w:sz w:val="16"/>
                <w:szCs w:val="16"/>
              </w:rPr>
              <w:t xml:space="preserve">#</w:t>
            </w:r>
          </w:p>
        </w:tc>
        <w:tc>
          <w:tcPr>
            <w:tcW w:type="dxa" w:w="2500"/>
            <w:shd w:fill="1F3864" w:color="auto" w:val="clear"/>
            <w:tcMar>
              <w:top w:type="dxa" w:w="60"/>
              <w:left w:type="dxa" w:w="100"/>
              <w:bottom w:type="dxa" w:w="60"/>
              <w:right w:type="dxa" w:w="100"/>
            </w:tcMar>
            <w:vAlign w:val="top"/>
          </w:tcPr>
          <w:p>
            <w:r>
              <w:rPr>
                <w:b/>
                <w:bCs/>
                <w:color w:val="FFFFFF"/>
                <w:sz w:val="16"/>
                <w:szCs w:val="16"/>
              </w:rPr>
              <w:t xml:space="preserve">Opportunity</w:t>
            </w:r>
          </w:p>
        </w:tc>
        <w:tc>
          <w:tcPr>
            <w:tcW w:type="dxa" w:w="1800"/>
            <w:shd w:fill="1F3864" w:color="auto" w:val="clear"/>
            <w:tcMar>
              <w:top w:type="dxa" w:w="60"/>
              <w:left w:type="dxa" w:w="100"/>
              <w:bottom w:type="dxa" w:w="60"/>
              <w:right w:type="dxa" w:w="100"/>
            </w:tcMar>
            <w:vAlign w:val="top"/>
          </w:tcPr>
          <w:p>
            <w:r>
              <w:rPr>
                <w:b/>
                <w:bCs/>
                <w:color w:val="FFFFFF"/>
                <w:sz w:val="16"/>
                <w:szCs w:val="16"/>
              </w:rPr>
              <w:t xml:space="preserve">Built on</w:t>
            </w:r>
          </w:p>
        </w:tc>
        <w:tc>
          <w:tcPr>
            <w:tcW w:type="dxa" w:w="4838"/>
            <w:shd w:fill="1F3864" w:color="auto" w:val="clear"/>
            <w:tcMar>
              <w:top w:type="dxa" w:w="60"/>
              <w:left w:type="dxa" w:w="100"/>
              <w:bottom w:type="dxa" w:w="60"/>
              <w:right w:type="dxa" w:w="100"/>
            </w:tcMar>
            <w:vAlign w:val="top"/>
          </w:tcPr>
          <w:p>
            <w:r>
              <w:rPr>
                <w:b/>
                <w:bCs/>
                <w:color w:val="FFFFFF"/>
                <w:sz w:val="16"/>
                <w:szCs w:val="16"/>
              </w:rPr>
              <w:t xml:space="preserve">What is open and what a first result would prove</w:t>
            </w:r>
          </w:p>
        </w:tc>
      </w:tr>
      <w:tr>
        <w:trPr>
          <w:cantSplit/>
        </w:trPr>
        <w:tc>
          <w:tcPr>
            <w:tcW w:type="dxa" w:w="500"/>
            <w:tcMar>
              <w:top w:type="dxa" w:w="60"/>
              <w:left w:type="dxa" w:w="100"/>
              <w:bottom w:type="dxa" w:w="60"/>
              <w:right w:type="dxa" w:w="100"/>
            </w:tcMar>
            <w:vAlign w:val="top"/>
          </w:tcPr>
          <w:p>
            <w:r>
              <w:rPr>
                <w:sz w:val="16"/>
                <w:szCs w:val="16"/>
              </w:rPr>
              <w:t xml:space="preserve">1</w:t>
            </w:r>
          </w:p>
        </w:tc>
        <w:tc>
          <w:tcPr>
            <w:tcW w:type="dxa" w:w="2500"/>
            <w:tcMar>
              <w:top w:type="dxa" w:w="60"/>
              <w:left w:type="dxa" w:w="100"/>
              <w:bottom w:type="dxa" w:w="60"/>
              <w:right w:type="dxa" w:w="100"/>
            </w:tcMar>
            <w:vAlign w:val="top"/>
          </w:tcPr>
          <w:p>
            <w:r>
              <w:rPr>
                <w:sz w:val="16"/>
                <w:szCs w:val="16"/>
              </w:rPr>
              <w:t xml:space="preserve">One decisive plan for every weather</w:t>
            </w:r>
          </w:p>
        </w:tc>
        <w:tc>
          <w:tcPr>
            <w:tcW w:type="dxa" w:w="1800"/>
            <w:tcMar>
              <w:top w:type="dxa" w:w="60"/>
              <w:left w:type="dxa" w:w="100"/>
              <w:bottom w:type="dxa" w:w="60"/>
              <w:right w:type="dxa" w:w="100"/>
            </w:tcMar>
            <w:vAlign w:val="top"/>
          </w:tcPr>
          <w:p>
            <w:r>
              <w:rPr>
                <w:sz w:val="16"/>
                <w:szCs w:val="16"/>
              </w:rPr>
              <w:t xml:space="preserve">[E1], [O4], [C5], [M1], [M4]</w:t>
            </w:r>
          </w:p>
        </w:tc>
        <w:tc>
          <w:tcPr>
            <w:tcW w:type="dxa" w:w="4838"/>
            <w:tcMar>
              <w:top w:type="dxa" w:w="60"/>
              <w:left w:type="dxa" w:w="100"/>
              <w:bottom w:type="dxa" w:w="60"/>
              <w:right w:type="dxa" w:w="100"/>
            </w:tcMar>
            <w:vAlign w:val="top"/>
          </w:tcPr>
          <w:p>
            <w:r>
              <w:rPr>
                <w:sz w:val="16"/>
                <w:szCs w:val="16"/>
              </w:rPr>
              <w:t xml:space="preserve">A contingency rule agreed in calm times with storylines, triggers and an emergency threshold, holding one probability limit from normal years to compound extremes. Begun in section 9.</w:t>
            </w:r>
          </w:p>
        </w:tc>
      </w:tr>
      <w:tr>
        <w:trPr>
          <w:cantSplit/>
        </w:trPr>
        <w:tc>
          <w:tcPr>
            <w:tcW w:type="dxa" w:w="500"/>
            <w:shd w:fill="F7F9FC" w:color="auto" w:val="clear"/>
            <w:tcMar>
              <w:top w:type="dxa" w:w="60"/>
              <w:left w:type="dxa" w:w="100"/>
              <w:bottom w:type="dxa" w:w="60"/>
              <w:right w:type="dxa" w:w="100"/>
            </w:tcMar>
            <w:vAlign w:val="top"/>
          </w:tcPr>
          <w:p>
            <w:r>
              <w:rPr>
                <w:sz w:val="16"/>
                <w:szCs w:val="16"/>
              </w:rPr>
              <w:t xml:space="preserve">2</w:t>
            </w:r>
          </w:p>
        </w:tc>
        <w:tc>
          <w:tcPr>
            <w:tcW w:type="dxa" w:w="2500"/>
            <w:shd w:fill="F7F9FC" w:color="auto" w:val="clear"/>
            <w:tcMar>
              <w:top w:type="dxa" w:w="60"/>
              <w:left w:type="dxa" w:w="100"/>
              <w:bottom w:type="dxa" w:w="60"/>
              <w:right w:type="dxa" w:w="100"/>
            </w:tcMar>
            <w:vAlign w:val="top"/>
          </w:tcPr>
          <w:p>
            <w:r>
              <w:rPr>
                <w:sz w:val="16"/>
                <w:szCs w:val="16"/>
              </w:rPr>
              <w:t xml:space="preserve">Measuring the overshoot</w:t>
            </w:r>
          </w:p>
        </w:tc>
        <w:tc>
          <w:tcPr>
            <w:tcW w:type="dxa" w:w="1800"/>
            <w:shd w:fill="F7F9FC" w:color="auto" w:val="clear"/>
            <w:tcMar>
              <w:top w:type="dxa" w:w="60"/>
              <w:left w:type="dxa" w:w="100"/>
              <w:bottom w:type="dxa" w:w="60"/>
              <w:right w:type="dxa" w:w="100"/>
            </w:tcMar>
            <w:vAlign w:val="top"/>
          </w:tcPr>
          <w:p>
            <w:r>
              <w:rPr>
                <w:sz w:val="16"/>
                <w:szCs w:val="16"/>
              </w:rPr>
              <w:t xml:space="preserve">[M2], [O1], [C1], [E2]</w:t>
            </w:r>
          </w:p>
        </w:tc>
        <w:tc>
          <w:tcPr>
            <w:tcW w:type="dxa" w:w="4838"/>
            <w:shd w:fill="F7F9FC" w:color="auto" w:val="clear"/>
            <w:tcMar>
              <w:top w:type="dxa" w:w="60"/>
              <w:left w:type="dxa" w:w="100"/>
              <w:bottom w:type="dxa" w:w="60"/>
              <w:right w:type="dxa" w:w="100"/>
            </w:tcMar>
            <w:vAlign w:val="top"/>
          </w:tcPr>
          <w:p>
            <w:r>
              <w:rPr>
                <w:sz w:val="16"/>
                <w:szCs w:val="16"/>
              </w:rPr>
              <w:t xml:space="preserve">Estimating operators' and users' overshoot from meters in normal and dry years, and whether relieving financial strain or simplifying licences shrinks it.</w:t>
            </w:r>
          </w:p>
        </w:tc>
      </w:tr>
      <w:tr>
        <w:trPr>
          <w:cantSplit/>
        </w:trPr>
        <w:tc>
          <w:tcPr>
            <w:tcW w:type="dxa" w:w="500"/>
            <w:tcMar>
              <w:top w:type="dxa" w:w="60"/>
              <w:left w:type="dxa" w:w="100"/>
              <w:bottom w:type="dxa" w:w="60"/>
              <w:right w:type="dxa" w:w="100"/>
            </w:tcMar>
            <w:vAlign w:val="top"/>
          </w:tcPr>
          <w:p>
            <w:r>
              <w:rPr>
                <w:sz w:val="16"/>
                <w:szCs w:val="16"/>
              </w:rPr>
              <w:t xml:space="preserve">3</w:t>
            </w:r>
          </w:p>
        </w:tc>
        <w:tc>
          <w:tcPr>
            <w:tcW w:type="dxa" w:w="2500"/>
            <w:tcMar>
              <w:top w:type="dxa" w:w="60"/>
              <w:left w:type="dxa" w:w="100"/>
              <w:bottom w:type="dxa" w:w="60"/>
              <w:right w:type="dxa" w:w="100"/>
            </w:tcMar>
            <w:vAlign w:val="top"/>
          </w:tcPr>
          <w:p>
            <w:r>
              <w:rPr>
                <w:sz w:val="16"/>
                <w:szCs w:val="16"/>
              </w:rPr>
              <w:t xml:space="preserve">Perception measured in calm and in crisis</w:t>
            </w:r>
          </w:p>
        </w:tc>
        <w:tc>
          <w:tcPr>
            <w:tcW w:type="dxa" w:w="1800"/>
            <w:tcMar>
              <w:top w:type="dxa" w:w="60"/>
              <w:left w:type="dxa" w:w="100"/>
              <w:bottom w:type="dxa" w:w="60"/>
              <w:right w:type="dxa" w:w="100"/>
            </w:tcMar>
            <w:vAlign w:val="top"/>
          </w:tcPr>
          <w:p>
            <w:r>
              <w:rPr>
                <w:sz w:val="16"/>
                <w:szCs w:val="16"/>
              </w:rPr>
              <w:t xml:space="preserve">[O2], [E3], [C3], [C4], [O3], [M5]</w:t>
            </w:r>
          </w:p>
        </w:tc>
        <w:tc>
          <w:tcPr>
            <w:tcW w:type="dxa" w:w="4838"/>
            <w:tcMar>
              <w:top w:type="dxa" w:w="60"/>
              <w:left w:type="dxa" w:w="100"/>
              <w:bottom w:type="dxa" w:w="60"/>
              <w:right w:type="dxa" w:w="100"/>
            </w:tcMar>
            <w:vAlign w:val="top"/>
          </w:tcPr>
          <w:p>
            <w:r>
              <w:rPr>
                <w:sz w:val="16"/>
                <w:szCs w:val="16"/>
              </w:rPr>
              <w:t xml:space="preserve">Eliciting probability weighting, loss attitudes and ambiguity aversion of the same stakeholders before and during a dry summer, to calibrate the crisis parameters of the plan.</w:t>
            </w:r>
          </w:p>
        </w:tc>
      </w:tr>
      <w:tr>
        <w:trPr>
          <w:cantSplit/>
        </w:trPr>
        <w:tc>
          <w:tcPr>
            <w:tcW w:type="dxa" w:w="500"/>
            <w:shd w:fill="F7F9FC" w:color="auto" w:val="clear"/>
            <w:tcMar>
              <w:top w:type="dxa" w:w="60"/>
              <w:left w:type="dxa" w:w="100"/>
              <w:bottom w:type="dxa" w:w="60"/>
              <w:right w:type="dxa" w:w="100"/>
            </w:tcMar>
            <w:vAlign w:val="top"/>
          </w:tcPr>
          <w:p>
            <w:r>
              <w:rPr>
                <w:sz w:val="16"/>
                <w:szCs w:val="16"/>
              </w:rPr>
              <w:t xml:space="preserve">4</w:t>
            </w:r>
          </w:p>
        </w:tc>
        <w:tc>
          <w:tcPr>
            <w:tcW w:type="dxa" w:w="2500"/>
            <w:shd w:fill="F7F9FC" w:color="auto" w:val="clear"/>
            <w:tcMar>
              <w:top w:type="dxa" w:w="60"/>
              <w:left w:type="dxa" w:w="100"/>
              <w:bottom w:type="dxa" w:w="60"/>
              <w:right w:type="dxa" w:w="100"/>
            </w:tcMar>
            <w:vAlign w:val="top"/>
          </w:tcPr>
          <w:p>
            <w:r>
              <w:rPr>
                <w:sz w:val="16"/>
                <w:szCs w:val="16"/>
              </w:rPr>
              <w:t xml:space="preserve">Evidence that narrows beliefs</w:t>
            </w:r>
          </w:p>
        </w:tc>
        <w:tc>
          <w:tcPr>
            <w:tcW w:type="dxa" w:w="1800"/>
            <w:shd w:fill="F7F9FC" w:color="auto" w:val="clear"/>
            <w:tcMar>
              <w:top w:type="dxa" w:w="60"/>
              <w:left w:type="dxa" w:w="100"/>
              <w:bottom w:type="dxa" w:w="60"/>
              <w:right w:type="dxa" w:w="100"/>
            </w:tcMar>
            <w:vAlign w:val="top"/>
          </w:tcPr>
          <w:p>
            <w:r>
              <w:rPr>
                <w:sz w:val="16"/>
                <w:szCs w:val="16"/>
              </w:rPr>
              <w:t xml:space="preserve">[M3], [E4], [C2], [ER2]</w:t>
            </w:r>
          </w:p>
        </w:tc>
        <w:tc>
          <w:tcPr>
            <w:tcW w:type="dxa" w:w="4838"/>
            <w:shd w:fill="F7F9FC" w:color="auto" w:val="clear"/>
            <w:tcMar>
              <w:top w:type="dxa" w:w="60"/>
              <w:left w:type="dxa" w:w="100"/>
              <w:bottom w:type="dxa" w:w="60"/>
              <w:right w:type="dxa" w:w="100"/>
            </w:tcMar>
            <w:vAlign w:val="top"/>
          </w:tcPr>
          <w:p>
            <w:r>
              <w:rPr>
                <w:sz w:val="16"/>
                <w:szCs w:val="16"/>
              </w:rPr>
              <w:t xml:space="preserve">Testing whether personalised evidence from the chloride model and salient trigger dashboards narrow the stakeholders' beliefs, and so the radius of review 58.</w:t>
            </w:r>
          </w:p>
        </w:tc>
      </w:tr>
      <w:tr>
        <w:trPr>
          <w:cantSplit/>
        </w:trPr>
        <w:tc>
          <w:tcPr>
            <w:tcW w:type="dxa" w:w="500"/>
            <w:tcMar>
              <w:top w:type="dxa" w:w="60"/>
              <w:left w:type="dxa" w:w="100"/>
              <w:bottom w:type="dxa" w:w="60"/>
              <w:right w:type="dxa" w:w="100"/>
            </w:tcMar>
            <w:vAlign w:val="top"/>
          </w:tcPr>
          <w:p>
            <w:r>
              <w:rPr>
                <w:sz w:val="16"/>
                <w:szCs w:val="16"/>
              </w:rPr>
              <w:t xml:space="preserve">5</w:t>
            </w:r>
          </w:p>
        </w:tc>
        <w:tc>
          <w:tcPr>
            <w:tcW w:type="dxa" w:w="2500"/>
            <w:tcMar>
              <w:top w:type="dxa" w:w="60"/>
              <w:left w:type="dxa" w:w="100"/>
              <w:bottom w:type="dxa" w:w="60"/>
              <w:right w:type="dxa" w:w="100"/>
            </w:tcMar>
            <w:vAlign w:val="top"/>
          </w:tcPr>
          <w:p>
            <w:r>
              <w:rPr>
                <w:sz w:val="16"/>
                <w:szCs w:val="16"/>
              </w:rPr>
              <w:t xml:space="preserve">Pooling the cost of the stop</w:t>
            </w:r>
          </w:p>
        </w:tc>
        <w:tc>
          <w:tcPr>
            <w:tcW w:type="dxa" w:w="1800"/>
            <w:tcMar>
              <w:top w:type="dxa" w:w="60"/>
              <w:left w:type="dxa" w:w="100"/>
              <w:bottom w:type="dxa" w:w="60"/>
              <w:right w:type="dxa" w:w="100"/>
            </w:tcMar>
            <w:vAlign w:val="top"/>
          </w:tcPr>
          <w:p>
            <w:r>
              <w:rPr>
                <w:sz w:val="16"/>
                <w:szCs w:val="16"/>
              </w:rPr>
              <w:t xml:space="preserve">[E5], [M1], [OR2]</w:t>
            </w:r>
          </w:p>
        </w:tc>
        <w:tc>
          <w:tcPr>
            <w:tcW w:type="dxa" w:w="4838"/>
            <w:tcMar>
              <w:top w:type="dxa" w:w="60"/>
              <w:left w:type="dxa" w:w="100"/>
              <w:bottom w:type="dxa" w:w="60"/>
              <w:right w:type="dxa" w:w="100"/>
            </w:tcMar>
            <w:vAlign w:val="top"/>
          </w:tcPr>
          <w:p>
            <w:r>
              <w:rPr>
                <w:sz w:val="16"/>
                <w:szCs w:val="16"/>
              </w:rPr>
              <w:t xml:space="preserve">A fund, agreed in advance, that compensates curtailed users in a stop, and whether it makes the coordinated curtailment the selected equilibrium.</w:t>
            </w:r>
          </w:p>
        </w:tc>
      </w:tr>
      <w:tr>
        <w:trPr>
          <w:cantSplit/>
        </w:trPr>
        <w:tc>
          <w:tcPr>
            <w:tcW w:type="dxa" w:w="500"/>
            <w:shd w:fill="F7F9FC" w:color="auto" w:val="clear"/>
            <w:tcMar>
              <w:top w:type="dxa" w:w="60"/>
              <w:left w:type="dxa" w:w="100"/>
              <w:bottom w:type="dxa" w:w="60"/>
              <w:right w:type="dxa" w:w="100"/>
            </w:tcMar>
            <w:vAlign w:val="top"/>
          </w:tcPr>
          <w:p>
            <w:r>
              <w:rPr>
                <w:sz w:val="16"/>
                <w:szCs w:val="16"/>
              </w:rPr>
              <w:t xml:space="preserve">6</w:t>
            </w:r>
          </w:p>
        </w:tc>
        <w:tc>
          <w:tcPr>
            <w:tcW w:type="dxa" w:w="2500"/>
            <w:shd w:fill="F7F9FC" w:color="auto" w:val="clear"/>
            <w:tcMar>
              <w:top w:type="dxa" w:w="60"/>
              <w:left w:type="dxa" w:w="100"/>
              <w:bottom w:type="dxa" w:w="60"/>
              <w:right w:type="dxa" w:w="100"/>
            </w:tcMar>
            <w:vAlign w:val="top"/>
          </w:tcPr>
          <w:p>
            <w:r>
              <w:rPr>
                <w:sz w:val="16"/>
                <w:szCs w:val="16"/>
              </w:rPr>
              <w:t xml:space="preserve">Transient regimes and the length of droughts</w:t>
            </w:r>
          </w:p>
        </w:tc>
        <w:tc>
          <w:tcPr>
            <w:tcW w:type="dxa" w:w="1800"/>
            <w:shd w:fill="F7F9FC" w:color="auto" w:val="clear"/>
            <w:tcMar>
              <w:top w:type="dxa" w:w="60"/>
              <w:left w:type="dxa" w:w="100"/>
              <w:bottom w:type="dxa" w:w="60"/>
              <w:right w:type="dxa" w:w="100"/>
            </w:tcMar>
            <w:vAlign w:val="top"/>
          </w:tcPr>
          <w:p>
            <w:r>
              <w:rPr>
                <w:sz w:val="16"/>
                <w:szCs w:val="16"/>
              </w:rPr>
              <w:t xml:space="preserve">[E1], [ER1], [C5], [O4]</w:t>
            </w:r>
          </w:p>
        </w:tc>
        <w:tc>
          <w:tcPr>
            <w:tcW w:type="dxa" w:w="4838"/>
            <w:shd w:fill="F7F9FC" w:color="auto" w:val="clear"/>
            <w:tcMar>
              <w:top w:type="dxa" w:w="60"/>
              <w:left w:type="dxa" w:w="100"/>
              <w:bottom w:type="dxa" w:w="60"/>
              <w:right w:type="dxa" w:w="100"/>
            </w:tcMar>
            <w:vAlign w:val="top"/>
          </w:tcPr>
          <w:p>
            <w:r>
              <w:rPr>
                <w:sz w:val="16"/>
                <w:szCs w:val="16"/>
              </w:rPr>
              <w:t xml:space="preserve">Replacing the steady storylines by transient drought sequences with storage, and finding the rule that is safe for every duration.</w:t>
            </w:r>
          </w:p>
        </w:tc>
      </w:tr>
    </w:tbl>
    <w:p>
      <w:pPr>
        <w:spacing w:after="160"/>
      </w:pPr>
    </w:p>
    <w:p>
      <w:pPr>
        <w:spacing w:after="120"/>
      </w:pPr>
      <w:r>
        <w:rPr>
          <w:i/>
          <w:iCs/>
          <w:color w:val="5B6573"/>
          <w:sz w:val="18"/>
          <w:szCs w:val="18"/>
        </w:rPr>
        <w:t xml:space="preserve">Table 8.4. Map of opportunities.</w:t>
      </w:r>
    </w:p>
    <w:p>
      <w:pPr>
        <w:pStyle w:val="Heading1"/>
        <w:pageBreakBefore/>
      </w:pPr>
      <w:r>
        <w:rPr>
          <w:color w:val="92400E"/>
        </w:rPr>
        <w:t xml:space="preserve">9. The proposed innovation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rPr>
          <w:b/>
          <w:bCs/>
        </w:rPr>
        <w:t xml:space="preserve">MOTI-GO</w:t>
      </w:r>
      <w:r>
        <w:t xml:space="preserve"> (</w:t>
      </w:r>
      <w:r>
        <w:rPr>
          <w:i/>
          <w:iCs/>
        </w:rPr>
        <w:t xml:space="preserve">moti</w:t>
      </w:r>
      <w:r>
        <w:t xml:space="preserve">: the weather) lets the Fushë-Kuqe stakeholders agree </w:t>
      </w:r>
      <w:r>
        <w:rPr>
          <w:b/>
          <w:bCs/>
        </w:rPr>
        <w:t xml:space="preserve">in calm times on one decisive plan for every weather</w:t>
      </w:r>
      <w:r>
        <w:t xml:space="preserve">: for each regime, from a normal year to an extreme drought with a heatwave, a pumping licence and a managed recharge that keep every stakeholder's probability that supply well A1 or P10 exceeds 250 mg/L at or below 10%, with </w:t>
      </w:r>
      <w:r>
        <w:rPr>
          <w:b/>
          <w:bCs/>
        </w:rPr>
        <w:t xml:space="preserve">margins for objective human error</w:t>
      </w:r>
      <w:r>
        <w:t xml:space="preserve"> (operators who overshoot their licence, unlicensed coastal pumping), </w:t>
      </w:r>
      <w:r>
        <w:rPr>
          <w:b/>
          <w:bCs/>
        </w:rPr>
        <w:t xml:space="preserve">triggers on an objective indicator</w:t>
      </w:r>
      <w:r>
        <w:t xml:space="preserve"> (the winter recharge factor) and an </w:t>
      </w:r>
      <w:r>
        <w:rPr>
          <w:b/>
          <w:bCs/>
        </w:rPr>
        <w:t xml:space="preserve">emergency stop</w:t>
      </w:r>
      <w:r>
        <w:t xml:space="preserve"> whose threshold is known in advance. Four propositions make it work: human error becomes a smaller licence and the rule stays decisive (S1); the fears of a crisis act as a tighter limit, so a decision taken in the crisis can only waste water, never add safety beyond the plan (S2); trigger errors towards severity never raise anyone's risk (S3); and a closed-form threshold says when even stopping is not safe and how much recharge would make it safe (S4). On the 2,000 simulated truths of review 57, the plan of a normal year breaks the limit in a dry year (realised risk 0.231, 0.400 for the most cautious stakeholder); the plan of MOTI-GO holds it (0.052 and 0.094) and supplies 8,442 m³/d more than the decision the same stakeholders would take in the crisis. In an extreme drought no local decision meets the limit; the plan says so before the drought and names the emergency recharge, about 14,300 m³/d per site, that would.</w:t>
      </w:r>
    </w:p>
    <w:p>
      <w:pPr>
        <w:pStyle w:val="Heading3"/>
      </w:pPr>
      <w:r>
        <w:rPr>
          <w:color w:val="1F3864"/>
        </w:rPr>
        <w:t xml:space="preserve">9.1 From one normal year to every weather</w:t>
      </w:r>
    </w:p>
    <w:p>
      <w:pPr>
        <w:spacing w:after="120"/>
        <w:jc w:val="both"/>
      </w:pPr>
      <w:r>
        <w:t xml:space="preserve">VENDIMI-GO (review 57) and RREZJA-GO (review 58) choose one pumping scale </w:t>
      </w:r>
      <m:oMath>
        <m:r>
          <m:t>s</m:t>
        </m:r>
      </m:oMath>
      <w:r>
        <w:t xml:space="preserve"> for the supply wells A1 and P10 and one managed recharge </w:t>
      </w:r>
      <m:oMath>
        <m:r>
          <m:t>q</m:t>
        </m:r>
      </m:oMath>
      <w:r>
        <w:t xml:space="preserve"> per site for a normal year, with calm stakeholders and operators who pump exactly their licence. A drought changes four things at once: recharge falls; hotels and irrigators pump more from unlicensed coastal wells; operators overshoot their licences under pressure (objective human factors); and stakeholders' beliefs polarise, one alarming fact dominates and small probabilities feel large (subjective human factors). MOTI-GO (</w:t>
      </w:r>
      <w:r>
        <w:rPr>
          <w:i/>
          <w:iCs/>
        </w:rPr>
        <w:t xml:space="preserve">moti</w:t>
      </w:r>
      <w:r>
        <w:t xml:space="preserve">: the weather) agrees on the rule for every weather </w:t>
      </w:r>
      <w:r>
        <w:rPr>
          <w:i/>
          <w:iCs/>
        </w:rPr>
        <w:t xml:space="preserve">before</w:t>
      </w:r>
      <w:r>
        <w:t xml:space="preserve"> the weather comes. Because the steady potential of the calibrated chloride model is linear in the recharge and in every well, a weather regime </w:t>
      </w:r>
      <m:oMath>
        <m:r>
          <m:t>r</m:t>
        </m:r>
      </m:oMath>
      <w:r>
        <w:t xml:space="preserve"> is a storyline of a few numbers applied to the same 20,000 weighted draws </w:t>
      </w:r>
      <m:oMath>
        <m:r>
          <m:t>θ</m:t>
        </m:r>
      </m:oMath>
      <w:r>
        <w:t xml:space="preserve">:</w:t>
      </w:r>
    </w:p>
    <w:p>
      <w:pPr>
        <w:pStyle w:val="Equation"/>
      </w:pPr>
      <m:oMathPara>
        <m:oMathParaPr>
          <m:jc m:val="center"/>
        </m:oMathParaPr>
        <m:oMath>
          <m:sSub>
            <m:e>
              <m:r>
                <m:t>ϕ</m:t>
              </m:r>
            </m:e>
            <m:sub>
              <m:r>
                <m:t>r</m:t>
              </m:r>
            </m:sub>
          </m:sSub>
          <m:d>
            <m:dPr>
              <m:begChr m:val="("/>
              <m:sepChr m:val=""/>
              <m:endChr m:val=")"/>
              <m:grow/>
            </m:dPr>
            <m:e>
              <m:r>
                <m:t>θ</m:t>
              </m:r>
            </m:e>
          </m:d>
          <m:r>
            <m:rPr>
              <m:sty m:val="p"/>
            </m:rPr>
            <m:t>=</m:t>
          </m:r>
          <m:sSub>
            <m:e>
              <m:r>
                <m:t>f</m:t>
              </m:r>
            </m:e>
            <m:sub>
              <m:r>
                <m:t>r</m:t>
              </m:r>
            </m:sub>
          </m:sSub>
          <m:r>
            <m:t> </m:t>
          </m:r>
          <m:sSub>
            <m:e>
              <m:r>
                <m:t>ϕ</m:t>
              </m:r>
            </m:e>
            <m:sub>
              <m:r>
                <m:t>0</m:t>
              </m:r>
            </m:sub>
          </m:sSub>
          <m:d>
            <m:dPr>
              <m:begChr m:val="("/>
              <m:sepChr m:val=""/>
              <m:endChr m:val=")"/>
              <m:grow/>
            </m:dPr>
            <m:e>
              <m:r>
                <m:t>θ</m:t>
              </m:r>
            </m:e>
          </m:d>
          <m:r>
            <m:rPr>
              <m:sty m:val="p"/>
            </m:rPr>
            <m:t>−</m:t>
          </m:r>
          <m:r>
            <m:t>s</m:t>
          </m:r>
          <m:d>
            <m:dPr>
              <m:begChr m:val="("/>
              <m:sepChr m:val=""/>
              <m:endChr m:val=")"/>
              <m:grow/>
            </m:dPr>
            <m:e>
              <m:r>
                <m:t>1</m:t>
              </m:r>
              <m:r>
                <m:rPr>
                  <m:sty m:val="p"/>
                </m:rPr>
                <m:t>+</m:t>
              </m:r>
              <m:r>
                <m:t>ε</m:t>
              </m:r>
            </m:e>
          </m:d>
          <m:r>
            <m:t>d</m:t>
          </m:r>
          <m:d>
            <m:dPr>
              <m:begChr m:val="("/>
              <m:sepChr m:val=""/>
              <m:endChr m:val=")"/>
              <m:grow/>
            </m:dPr>
            <m:e>
              <m:r>
                <m:t>θ</m:t>
              </m:r>
            </m:e>
          </m:d>
          <m:r>
            <m:rPr>
              <m:sty m:val="p"/>
            </m:rPr>
            <m:t>+</m:t>
          </m:r>
          <m:r>
            <m:t>q</m:t>
          </m:r>
          <m:r>
            <m:t> </m:t>
          </m:r>
          <m:sSub>
            <m:e>
              <m:r>
                <m:t>r</m:t>
              </m:r>
            </m:e>
            <m:sub>
              <m:r>
                <m:t>S</m:t>
              </m:r>
            </m:sub>
          </m:sSub>
          <m:d>
            <m:dPr>
              <m:begChr m:val="("/>
              <m:sepChr m:val=""/>
              <m:endChr m:val=")"/>
              <m:grow/>
            </m:dPr>
            <m:e>
              <m:r>
                <m:t>θ</m:t>
              </m:r>
            </m:e>
          </m:d>
          <m:r>
            <m:rPr>
              <m:sty m:val="p"/>
            </m:rPr>
            <m:t>−</m:t>
          </m:r>
          <m:sSub>
            <m:e>
              <m:r>
                <m:t>E</m:t>
              </m:r>
            </m:e>
            <m:sub>
              <m:r>
                <m:t>r</m:t>
              </m:r>
            </m:sub>
          </m:sSub>
          <m:r>
            <m:t> </m:t>
          </m:r>
          <m:sSub>
            <m:e>
              <m:r>
                <m:t>r</m:t>
              </m:r>
            </m:e>
            <m:sub>
              <m:r>
                <m:t>H</m:t>
              </m:r>
            </m:sub>
          </m:sSub>
          <m:d>
            <m:dPr>
              <m:begChr m:val="("/>
              <m:sepChr m:val=""/>
              <m:endChr m:val=")"/>
              <m:grow/>
            </m:dPr>
            <m:e>
              <m:r>
                <m:t>θ</m:t>
              </m:r>
            </m:e>
          </m:d>
          <m:r>
            <m:rPr>
              <m:sty m:val="p"/>
            </m:rPr>
            <m:t>,</m:t>
          </m:r>
          <m:r>
            <m:t>  </m:t>
          </m:r>
          <m:r>
            <m:t>ε</m:t>
          </m:r>
          <m:r>
            <m:rPr>
              <m:sty m:val="p"/>
            </m:rPr>
            <m:t>∼</m:t>
          </m:r>
          <m:r>
            <m:t>N</m:t>
          </m:r>
          <m:d>
            <m:dPr>
              <m:begChr m:val="("/>
              <m:sepChr m:val=""/>
              <m:endChr m:val=")"/>
              <m:grow/>
            </m:dPr>
            <m:e>
              <m:sSub>
                <m:e>
                  <m:r>
                    <m:t>μ</m:t>
                  </m:r>
                </m:e>
                <m:sub>
                  <m:r>
                    <m:t>r</m:t>
                  </m:r>
                </m:sub>
              </m:sSub>
              <m:r>
                <m:rPr>
                  <m:sty m:val="p"/>
                </m:rPr>
                <m:t>,</m:t>
              </m:r>
              <m:sSubSup>
                <m:e>
                  <m:r>
                    <m:t>σ</m:t>
                  </m:r>
                </m:e>
                <m:sub>
                  <m:r>
                    <m:t>r</m:t>
                  </m:r>
                </m:sub>
                <m:sup>
                  <m:r>
                    <m:t>2</m:t>
                  </m:r>
                </m:sup>
              </m:sSubSup>
            </m:e>
          </m:d>
        </m:oMath>
      </m:oMathPara>
    </w:p>
    <w:p>
      <w:pPr>
        <w:spacing w:after="120"/>
        <w:jc w:val="both"/>
      </w:pPr>
      <w:r>
        <w:t xml:space="preserve">at A1 and P10, where </w:t>
      </w:r>
      <m:oMath>
        <m:sSub>
          <m:e>
            <m:r>
              <m:t>ϕ</m:t>
            </m:r>
          </m:e>
          <m:sub>
            <m:r>
              <m:t>0</m:t>
            </m:r>
          </m:sub>
        </m:sSub>
      </m:oMath>
      <w:r>
        <w:t xml:space="preserve"> is the potential of a normal year without the supply wells or recharge, </w:t>
      </w:r>
      <m:oMath>
        <m:sSub>
          <m:e>
            <m:r>
              <m:t>f</m:t>
            </m:r>
          </m:e>
          <m:sub>
            <m:r>
              <m:t>r</m:t>
            </m:r>
          </m:sub>
        </m:sSub>
      </m:oMath>
      <w:r>
        <w:t xml:space="preserve"> the recharge factor (1 in a normal year), </w:t>
      </w:r>
      <m:oMath>
        <m:r>
          <m:t>d</m:t>
        </m:r>
      </m:oMath>
      <w:r>
        <w:t xml:space="preserve"> the drawdown of the licensed pumping, </w:t>
      </w:r>
      <m:oMath>
        <m:r>
          <m:t>ε</m:t>
        </m:r>
      </m:oMath>
      <w:r>
        <w:t xml:space="preserve"> the operators' overshoot, independent of the aquifer, </w:t>
      </w:r>
      <m:oMath>
        <m:sSub>
          <m:e>
            <m:r>
              <m:t>r</m:t>
            </m:r>
          </m:e>
          <m:sub>
            <m:r>
              <m:t>S</m:t>
            </m:r>
          </m:sub>
        </m:sSub>
      </m:oMath>
      <w:r>
        <w:t xml:space="preserve"> the response to recharge of 1 m³/d at each of the three recharge sites, </w:t>
      </w:r>
      <m:oMath>
        <m:sSub>
          <m:e>
            <m:r>
              <m:t>E</m:t>
            </m:r>
          </m:e>
          <m:sub>
            <m:r>
              <m:t>r</m:t>
            </m:r>
          </m:sub>
        </m:sSub>
      </m:oMath>
      <w:r>
        <w:t xml:space="preserve"> the unlicensed pumping at four coastal cells near the supply wells and </w:t>
      </w:r>
      <m:oMath>
        <m:sSub>
          <m:e>
            <m:r>
              <m:t>r</m:t>
            </m:r>
          </m:e>
          <m:sub>
            <m:r>
              <m:t>H</m:t>
            </m:r>
          </m:sub>
        </m:sSub>
      </m:oMath>
      <w:r>
        <w:t xml:space="preserve"> the response to it; the recharge capacity </w:t>
      </w:r>
      <m:oMath>
        <m:sSubSup>
          <m:e>
            <m:r>
              <m:t>q</m:t>
            </m:r>
          </m:e>
          <m:sub>
            <m:r>
              <m:t>r</m:t>
            </m:r>
          </m:sub>
          <m:sup>
            <m:r>
              <m:rPr>
                <m:sty m:val="p"/>
              </m:rPr>
              <m:t>max</m:t>
            </m:r>
          </m:sup>
        </m:sSubSup>
      </m:oMath>
      <w:r>
        <w:t xml:space="preserve"> depends on the source water. </w:t>
      </w:r>
      <m:oMath>
        <m:r>
          <m:t>F</m:t>
        </m:r>
      </m:oMath>
      <w:r>
        <w:t xml:space="preserve"> is the event that </w:t>
      </w:r>
      <m:oMath>
        <m:sSub>
          <m:e>
            <m:r>
              <m:t>ϕ</m:t>
            </m:r>
          </m:e>
          <m:sub>
            <m:r>
              <m:t>r</m:t>
            </m:r>
          </m:sub>
        </m:sSub>
      </m:oMath>
      <w:r>
        <w:t xml:space="preserve"> falls below the potential at which chloride reaches 250 mg/L at A1 or P10. Subjective factors act only on a decision taken </w:t>
      </w:r>
      <w:r>
        <w:rPr>
          <w:i/>
          <w:iCs/>
        </w:rPr>
        <w:t xml:space="preserve">in</w:t>
      </w:r>
      <w:r>
        <w:t xml:space="preserve"> the crisis: each stakeholder's tilt </w:t>
      </w:r>
      <m:oMath>
        <m:sSub>
          <m:e>
            <m:r>
              <m:t>λ</m:t>
            </m:r>
          </m:e>
          <m:sub>
            <m:r>
              <m:t>k</m:t>
            </m:r>
          </m:sub>
        </m:sSub>
      </m:oMath>
      <w:r>
        <w:t xml:space="preserve"> (review 57) becomes </w:t>
      </w:r>
      <m:oMath>
        <m:sSub>
          <m:e>
            <m:r>
              <m:t>κ</m:t>
            </m:r>
          </m:e>
          <m:sub>
            <m:r>
              <m:t>r</m:t>
            </m:r>
          </m:sub>
        </m:sSub>
        <m:sSub>
          <m:e>
            <m:r>
              <m:t>λ</m:t>
            </m:r>
          </m:e>
          <m:sub>
            <m:r>
              <m:t>k</m:t>
            </m:r>
          </m:sub>
        </m:sSub>
        <m:r>
          <m:rPr>
            <m:sty m:val="p"/>
          </m:rPr>
          <m:t>+</m:t>
        </m:r>
        <m:sSub>
          <m:e>
            <m:r>
              <m:t>δ</m:t>
            </m:r>
          </m:e>
          <m:sub>
            <m:r>
              <m:t>r</m:t>
            </m:r>
          </m:sub>
        </m:sSub>
        <m:sSub>
          <m:e>
            <m:r>
              <m:t>e</m:t>
            </m:r>
          </m:e>
          <m:sub>
            <m:r>
              <m:t>w</m:t>
            </m:r>
          </m:sub>
        </m:sSub>
      </m:oMath>
      <w:r>
        <w:t xml:space="preserve"> (polarisation </w:t>
      </w:r>
      <m:oMath>
        <m:sSub>
          <m:e>
            <m:r>
              <m:t>κ</m:t>
            </m:r>
          </m:e>
          <m:sub>
            <m:r>
              <m:t>r</m:t>
            </m:r>
          </m:sub>
        </m:sSub>
        <m:r>
          <m:rPr>
            <m:sty m:val="p"/>
          </m:rPr>
          <m:t>≥</m:t>
        </m:r>
        <m:r>
          <m:t>1</m:t>
        </m:r>
      </m:oMath>
      <w:r>
        <w:t xml:space="preserve"> and a common pessimistic shift </w:t>
      </w:r>
      <m:oMath>
        <m:sSub>
          <m:e>
            <m:r>
              <m:t>δ</m:t>
            </m:r>
          </m:e>
          <m:sub>
            <m:r>
              <m:t>r</m:t>
            </m:r>
          </m:sub>
        </m:sSub>
      </m:oMath>
      <w:r>
        <w:t xml:space="preserve"> along the mixing-zone width), and a risk </w:t>
      </w:r>
      <m:oMath>
        <m:r>
          <m:t>P</m:t>
        </m:r>
      </m:oMath>
      <w:r>
        <w:t xml:space="preserve"> is perceived as </w:t>
      </w:r>
      <m:oMath>
        <m:sSub>
          <m:e>
            <m:r>
              <m:t>w</m:t>
            </m:r>
          </m:e>
          <m:sub>
            <m:r>
              <m:t>γ</m:t>
            </m:r>
          </m:sub>
        </m:sSub>
        <m:d>
          <m:dPr>
            <m:begChr m:val="("/>
            <m:sepChr m:val=""/>
            <m:endChr m:val=")"/>
            <m:grow/>
          </m:dPr>
          <m:e>
            <m:r>
              <m:t>P</m:t>
            </m:r>
          </m:e>
        </m:d>
        <m:r>
          <m:rPr>
            <m:sty m:val="p"/>
          </m:rPr>
          <m:t>=</m:t>
        </m:r>
        <m:r>
          <m:rPr>
            <m:sty m:val="p"/>
          </m:rPr>
          <m:t>exp</m:t>
        </m:r>
        <m:d>
          <m:dPr>
            <m:begChr m:val="("/>
            <m:sepChr m:val=""/>
            <m:endChr m:val=")"/>
            <m:grow/>
          </m:dPr>
          <m:e>
            <m:r>
              <m:rPr>
                <m:sty m:val="p"/>
              </m:rPr>
              <m:t>−</m:t>
            </m:r>
            <m:sSup>
              <m:e>
                <m:d>
                  <m:dPr>
                    <m:begChr m:val="("/>
                    <m:sepChr m:val=""/>
                    <m:endChr m:val=")"/>
                    <m:grow/>
                  </m:dPr>
                  <m:e>
                    <m:r>
                      <m:rPr>
                        <m:sty m:val="p"/>
                      </m:rPr>
                      <m:t>−</m:t>
                    </m:r>
                    <m:r>
                      <m:rPr>
                        <m:sty m:val="p"/>
                      </m:rPr>
                      <m:t>log</m:t>
                    </m:r>
                    <m:r>
                      <m:t>P</m:t>
                    </m:r>
                  </m:e>
                </m:d>
              </m:e>
              <m:sup>
                <m:sSub>
                  <m:e>
                    <m:r>
                      <m:t>γ</m:t>
                    </m:r>
                  </m:e>
                  <m:sub>
                    <m:r>
                      <m:t>r</m:t>
                    </m:r>
                  </m:sub>
                </m:sSub>
              </m:sup>
            </m:sSup>
          </m:e>
        </m:d>
      </m:oMath>
      <w:r>
        <w:t xml:space="preserve">, the probability weighting of Prelec [B12]. The plan of MOTI-GO for regime </w:t>
      </w:r>
      <m:oMath>
        <m:r>
          <m:t>r</m:t>
        </m:r>
      </m:oMath>
      <w:r>
        <w:t xml:space="preserve"> is agreed in calm times, with the stated beliefs </w:t>
      </w:r>
      <m:oMath>
        <m:sSub>
          <m:e>
            <m:r>
              <m:t>p</m:t>
            </m:r>
          </m:e>
          <m:sub>
            <m:r>
              <m:t>k</m:t>
            </m:r>
          </m:sub>
        </m:sSub>
      </m:oMath>
      <w:r>
        <w:t xml:space="preserve"> of review 57:</w:t>
      </w:r>
    </w:p>
    <w:p>
      <w:pPr>
        <w:pStyle w:val="Equation"/>
      </w:pPr>
      <m:oMathPara>
        <m:oMathParaPr>
          <m:jc m:val="center"/>
        </m:oMathParaPr>
        <m:oMath>
          <m:sSub>
            <m:e>
              <m:r>
                <m:rPr>
                  <m:scr m:val="script"/>
                  <m:sty m:val="p"/>
                </m:rPr>
                <m:t>A</m:t>
              </m:r>
            </m:e>
            <m:sub>
              <m:r>
                <m:t>r</m:t>
              </m:r>
            </m:sub>
          </m:sSub>
          <m:r>
            <m:rPr>
              <m:sty m:val="p"/>
            </m:rPr>
            <m:t>=</m:t>
          </m:r>
          <m:d>
            <m:dPr>
              <m:begChr m:val="{"/>
              <m:sepChr m:val=""/>
              <m:endChr m:val="}"/>
              <m:grow/>
            </m:dPr>
            <m:e>
              <m:d>
                <m:dPr>
                  <m:begChr m:val="("/>
                  <m:sepChr m:val=""/>
                  <m:endChr m:val=")"/>
                  <m:grow/>
                </m:dPr>
                <m:e>
                  <m:r>
                    <m:t>s</m:t>
                  </m:r>
                  <m:r>
                    <m:rPr>
                      <m:sty m:val="p"/>
                    </m:rPr>
                    <m:t>,</m:t>
                  </m:r>
                  <m:r>
                    <m:t>q</m:t>
                  </m:r>
                </m:e>
              </m:d>
              <m:r>
                <m:rPr>
                  <m:sty m:val="p"/>
                </m:rPr>
                <m:t>:</m:t>
              </m:r>
              <m:r>
                <m:t> </m:t>
              </m:r>
              <m:r>
                <m:t>q</m:t>
              </m:r>
              <m:r>
                <m:rPr>
                  <m:sty m:val="p"/>
                </m:rPr>
                <m:t>≤</m:t>
              </m:r>
              <m:sSubSup>
                <m:e>
                  <m:r>
                    <m:t>q</m:t>
                  </m:r>
                </m:e>
                <m:sub>
                  <m:r>
                    <m:t>r</m:t>
                  </m:r>
                </m:sub>
                <m:sup>
                  <m:r>
                    <m:rPr>
                      <m:sty m:val="p"/>
                    </m:rPr>
                    <m:t>max</m:t>
                  </m:r>
                </m:sup>
              </m:sSubSup>
              <m:r>
                <m:rPr>
                  <m:sty m:val="p"/>
                </m:rPr>
                <m:t>,</m:t>
              </m:r>
              <m:r>
                <m:t> </m:t>
              </m:r>
              <m:limLow>
                <m:e>
                  <m:r>
                    <m:rPr>
                      <m:sty m:val="p"/>
                    </m:rPr>
                    <m:t>max</m:t>
                  </m:r>
                </m:e>
                <m:lim>
                  <m:r>
                    <m:t>k</m:t>
                  </m:r>
                </m:lim>
              </m:limLow>
              <m:d>
                <m:dPr>
                  <m:begChr m:val="["/>
                  <m:sepChr m:val=""/>
                  <m:endChr m:val="]"/>
                  <m:grow/>
                </m:dPr>
                <m:e>
                  <m:sSub>
                    <m:e>
                      <m:bar>
                        <m:barPr>
                          <m:pos m:val="top"/>
                        </m:barPr>
                        <m:e>
                          <m:r>
                            <m:t>P</m:t>
                          </m:r>
                        </m:e>
                      </m:bar>
                    </m:e>
                    <m:sub>
                      <m:r>
                        <m:t>k</m:t>
                      </m:r>
                      <m:r>
                        <m:rPr>
                          <m:sty m:val="p"/>
                        </m:rPr>
                        <m:t>,</m:t>
                      </m:r>
                      <m:r>
                        <m:t>r</m:t>
                      </m:r>
                    </m:sub>
                  </m:sSub>
                  <m:d>
                    <m:dPr>
                      <m:begChr m:val="("/>
                      <m:sepChr m:val=""/>
                      <m:endChr m:val=")"/>
                      <m:grow/>
                    </m:dPr>
                    <m:e>
                      <m:r>
                        <m:t>s</m:t>
                      </m:r>
                      <m:r>
                        <m:rPr>
                          <m:sty m:val="p"/>
                        </m:rPr>
                        <m:t>,</m:t>
                      </m:r>
                      <m:r>
                        <m:t>q</m:t>
                      </m:r>
                    </m:e>
                  </m:d>
                  <m:r>
                    <m:rPr>
                      <m:sty m:val="p"/>
                    </m:rPr>
                    <m:t>+</m:t>
                  </m:r>
                  <m:r>
                    <m:t>1.645</m:t>
                  </m:r>
                  <m:r>
                    <m:t> </m:t>
                  </m:r>
                  <m:sSub>
                    <m:e>
                      <m:acc>
                        <m:accPr>
                          <m:chr m:val="̂"/>
                        </m:accPr>
                        <m:e>
                          <m:r>
                            <m:t>σ</m:t>
                          </m:r>
                        </m:e>
                      </m:acc>
                    </m:e>
                    <m:sub>
                      <m:r>
                        <m:t>k</m:t>
                      </m:r>
                      <m:r>
                        <m:rPr>
                          <m:sty m:val="p"/>
                        </m:rPr>
                        <m:t>,</m:t>
                      </m:r>
                      <m:r>
                        <m:t>r</m:t>
                      </m:r>
                    </m:sub>
                  </m:sSub>
                </m:e>
              </m:d>
              <m:r>
                <m:rPr>
                  <m:sty m:val="p"/>
                </m:rPr>
                <m:t>≤</m:t>
              </m:r>
              <m:r>
                <m:t>α</m:t>
              </m:r>
            </m:e>
          </m:d>
          <m:r>
            <m:rPr>
              <m:sty m:val="p"/>
            </m:rPr>
            <m:t>,</m:t>
          </m:r>
          <m:r>
            <m:t>  </m:t>
          </m:r>
          <m:sSub>
            <m:e>
              <m:bar>
                <m:barPr>
                  <m:pos m:val="top"/>
                </m:barPr>
                <m:e>
                  <m:r>
                    <m:t>P</m:t>
                  </m:r>
                </m:e>
              </m:bar>
            </m:e>
            <m:sub>
              <m:r>
                <m:t>k</m:t>
              </m:r>
              <m:r>
                <m:rPr>
                  <m:sty m:val="p"/>
                </m:rPr>
                <m:t>,</m:t>
              </m:r>
              <m:r>
                <m:t>r</m:t>
              </m:r>
            </m:sub>
          </m:sSub>
          <m:d>
            <m:dPr>
              <m:begChr m:val="("/>
              <m:sepChr m:val=""/>
              <m:endChr m:val=")"/>
              <m:grow/>
            </m:dPr>
            <m:e>
              <m:r>
                <m:t>s</m:t>
              </m:r>
              <m:r>
                <m:rPr>
                  <m:sty m:val="p"/>
                </m:rPr>
                <m:t>,</m:t>
              </m:r>
              <m:r>
                <m:t>q</m:t>
              </m:r>
            </m:e>
          </m:d>
          <m:r>
            <m:rPr>
              <m:sty m:val="p"/>
            </m:rPr>
            <m:t>=</m:t>
          </m:r>
          <m:r>
            <m:rPr>
              <m:sty m:val="p"/>
            </m:rPr>
            <m:t>∫</m:t>
          </m:r>
          <m:sSub>
            <m:e>
              <m:r>
                <m:t>P</m:t>
              </m:r>
            </m:e>
            <m:sub>
              <m:r>
                <m:t>k</m:t>
              </m:r>
            </m:sub>
          </m:sSub>
          <m:d>
            <m:dPr>
              <m:begChr m:val="("/>
              <m:sepChr m:val=""/>
              <m:endChr m:val=")"/>
              <m:grow/>
            </m:dPr>
            <m:e>
              <m:r>
                <m:t>F</m:t>
              </m:r>
              <m:r>
                <m:rPr>
                  <m:sty m:val="p"/>
                </m:rPr>
                <m:t>∣</m:t>
              </m:r>
              <m:r>
                <m:t>s</m:t>
              </m:r>
              <m:d>
                <m:dPr>
                  <m:begChr m:val="("/>
                  <m:sepChr m:val=""/>
                  <m:endChr m:val=")"/>
                  <m:grow/>
                </m:dPr>
                <m:e>
                  <m:r>
                    <m:t>1</m:t>
                  </m:r>
                  <m:r>
                    <m:rPr>
                      <m:sty m:val="p"/>
                    </m:rPr>
                    <m:t>+</m:t>
                  </m:r>
                  <m:r>
                    <m:t>e</m:t>
                  </m:r>
                </m:e>
              </m:d>
              <m:r>
                <m:rPr>
                  <m:sty m:val="p"/>
                </m:rPr>
                <m:t>,</m:t>
              </m:r>
              <m:r>
                <m:t>q</m:t>
              </m:r>
            </m:e>
          </m:d>
          <m:r>
            <m:t>N</m:t>
          </m:r>
          <m:d>
            <m:dPr>
              <m:begChr m:val="("/>
              <m:sepChr m:val=""/>
              <m:endChr m:val=")"/>
              <m:grow/>
            </m:dPr>
            <m:e>
              <m:r>
                <m:t>e</m:t>
              </m:r>
              <m:r>
                <m:rPr>
                  <m:sty m:val="p"/>
                </m:rPr>
                <m:t>;</m:t>
              </m:r>
              <m:sSub>
                <m:e>
                  <m:r>
                    <m:t>μ</m:t>
                  </m:r>
                </m:e>
                <m:sub>
                  <m:r>
                    <m:t>r</m:t>
                  </m:r>
                </m:sub>
              </m:sSub>
              <m:r>
                <m:rPr>
                  <m:sty m:val="p"/>
                </m:rPr>
                <m:t>,</m:t>
              </m:r>
              <m:sSubSup>
                <m:e>
                  <m:r>
                    <m:t>σ</m:t>
                  </m:r>
                </m:e>
                <m:sub>
                  <m:r>
                    <m:t>r</m:t>
                  </m:r>
                </m:sub>
                <m:sup>
                  <m:r>
                    <m:t>2</m:t>
                  </m:r>
                </m:sup>
              </m:sSubSup>
            </m:e>
          </m:d>
          <m:r>
            <m:t>d</m:t>
          </m:r>
          <m:r>
            <m:t>e</m:t>
          </m:r>
        </m:oMath>
      </m:oMathPara>
    </w:p>
    <w:p>
      <w:pPr>
        <w:spacing w:after="120"/>
        <w:jc w:val="both"/>
      </w:pPr>
      <w:r>
        <w:t xml:space="preserve">The group takes the admissible action with the most net water and, if no action is admissible, makes an </w:t>
      </w:r>
      <w:r>
        <w:rPr>
          <w:i/>
          <w:iCs/>
        </w:rPr>
        <w:t xml:space="preserve">emergency stop</w:t>
      </w:r>
      <w:r>
        <w:t xml:space="preserve">: no supply pumping and the largest recharge available. The regime is declared by an objective trigger, the recharge factor of the winter measured by the regional water agency from rainfall and heads, before the dry season; nobody votes in the crisis. Four rules are compared: the fair-weather plan of a normal year kept in every weather (FW); the decision taken in the crisis by the rule of review 57 with the crisis beliefs and perceived risks and the regime's recharge, but no allowance for overshoot or unlicensed pumping (IC); the plan with the regime's physics only (PC0); and the plan of MOTI-GO (PC).</w:t>
      </w:r>
    </w:p>
    <w:p>
      <w:pPr>
        <w:pStyle w:val="Heading3"/>
      </w:pPr>
      <w:r>
        <w:rPr>
          <w:color w:val="1F3864"/>
        </w:rPr>
        <w:t xml:space="preserve">9.2 Proposition S1: human error becomes a smaller licence</w:t>
      </w:r>
    </w:p>
    <w:p>
      <w:pPr>
        <w:spacing w:after="120"/>
        <w:jc w:val="both"/>
      </w:pPr>
      <w:r>
        <w:rPr>
          <w:b/>
          <w:bCs/>
        </w:rPr>
        <w:t xml:space="preserve">Proposition S1.</w:t>
      </w:r>
      <w:r>
        <w:t xml:space="preserve"> Suppose </w:t>
      </w:r>
      <m:oMath>
        <m:r>
          <m:t>d</m:t>
        </m:r>
        <m:r>
          <m:rPr>
            <m:sty m:val="p"/>
          </m:rPr>
          <m:t>≥</m:t>
        </m:r>
        <m:r>
          <m:t>0</m:t>
        </m:r>
      </m:oMath>
      <w:r>
        <w:t xml:space="preserve">, </w:t>
      </w:r>
      <m:oMath>
        <m:sSub>
          <m:e>
            <m:r>
              <m:t>r</m:t>
            </m:r>
          </m:e>
          <m:sub>
            <m:r>
              <m:t>S</m:t>
            </m:r>
          </m:sub>
        </m:sSub>
        <m:r>
          <m:rPr>
            <m:sty m:val="p"/>
          </m:rPr>
          <m:t>≥</m:t>
        </m:r>
        <m:r>
          <m:t>0</m:t>
        </m:r>
      </m:oMath>
      <w:r>
        <w:t xml:space="preserve"> and </w:t>
      </w:r>
      <m:oMath>
        <m:sSub>
          <m:e>
            <m:r>
              <m:t>r</m:t>
            </m:r>
          </m:e>
          <m:sub>
            <m:r>
              <m:t>H</m:t>
            </m:r>
          </m:sub>
        </m:sSub>
        <m:r>
          <m:rPr>
            <m:sty m:val="p"/>
          </m:rPr>
          <m:t>≥</m:t>
        </m:r>
        <m:r>
          <m:t>0</m:t>
        </m:r>
      </m:oMath>
      <w:r>
        <w:t xml:space="preserve"> for every draw (true for all 20,000) and </w:t>
      </w:r>
      <m:oMath>
        <m:r>
          <m:t>1</m:t>
        </m:r>
        <m:r>
          <m:rPr>
            <m:sty m:val="p"/>
          </m:rPr>
          <m:t>+</m:t>
        </m:r>
        <m:r>
          <m:t>ε</m:t>
        </m:r>
        <m:r>
          <m:rPr>
            <m:sty m:val="p"/>
          </m:rPr>
          <m:t>&gt;</m:t>
        </m:r>
        <m:r>
          <m:t>0</m:t>
        </m:r>
      </m:oMath>
      <w:r>
        <w:t xml:space="preserve">. (i) For every belief and regime, </w:t>
      </w:r>
      <m:oMath>
        <m:sSub>
          <m:e>
            <m:bar>
              <m:barPr>
                <m:pos m:val="top"/>
              </m:barPr>
              <m:e>
                <m:r>
                  <m:t>P</m:t>
                </m:r>
              </m:e>
            </m:bar>
          </m:e>
          <m:sub>
            <m:r>
              <m:t>k</m:t>
            </m:r>
            <m:r>
              <m:rPr>
                <m:sty m:val="p"/>
              </m:rPr>
              <m:t>,</m:t>
            </m:r>
            <m:r>
              <m:t>r</m:t>
            </m:r>
          </m:sub>
        </m:sSub>
        <m:d>
          <m:dPr>
            <m:begChr m:val="("/>
            <m:sepChr m:val=""/>
            <m:endChr m:val=")"/>
            <m:grow/>
          </m:dPr>
          <m:e>
            <m:r>
              <m:t>s</m:t>
            </m:r>
            <m:r>
              <m:rPr>
                <m:sty m:val="p"/>
              </m:rPr>
              <m:t>,</m:t>
            </m:r>
            <m:r>
              <m:t>q</m:t>
            </m:r>
          </m:e>
        </m:d>
      </m:oMath>
      <w:r>
        <w:t xml:space="preserve"> is non-decreasing in </w:t>
      </w:r>
      <m:oMath>
        <m:r>
          <m:t>s</m:t>
        </m:r>
      </m:oMath>
      <w:r>
        <w:t xml:space="preserve"> and in </w:t>
      </w:r>
      <m:oMath>
        <m:sSub>
          <m:e>
            <m:r>
              <m:t>E</m:t>
            </m:r>
          </m:e>
          <m:sub>
            <m:r>
              <m:t>r</m:t>
            </m:r>
          </m:sub>
        </m:sSub>
      </m:oMath>
      <w:r>
        <w:t xml:space="preserve"> and non-increasing in </w:t>
      </w:r>
      <m:oMath>
        <m:r>
          <m:t>q</m:t>
        </m:r>
      </m:oMath>
      <w:r>
        <w:t xml:space="preserve">; the admissible pumping at each recharge level is therefore an interval, one cap </w:t>
      </w:r>
      <m:oMath>
        <m:sSub>
          <m:e>
            <m:bar>
              <m:barPr>
                <m:pos m:val="top"/>
              </m:barPr>
              <m:e>
                <m:r>
                  <m:t>s</m:t>
                </m:r>
              </m:e>
            </m:bar>
          </m:e>
          <m:sub>
            <m:r>
              <m:t>r</m:t>
            </m:r>
          </m:sub>
        </m:sSub>
        <m:d>
          <m:dPr>
            <m:begChr m:val="("/>
            <m:sepChr m:val=""/>
            <m:endChr m:val=")"/>
            <m:grow/>
          </m:dPr>
          <m:e>
            <m:r>
              <m:t>q</m:t>
            </m:r>
          </m:e>
        </m:d>
      </m:oMath>
      <w:r>
        <w:t xml:space="preserve"> per recharge level, and the plan is decisive. (ii) For every </w:t>
      </w:r>
      <m:oMath>
        <m:r>
          <m:t>β</m:t>
        </m:r>
        <m:r>
          <m:rPr>
            <m:sty m:val="p"/>
          </m:rPr>
          <m:t>∈</m:t>
        </m:r>
        <m:d>
          <m:dPr>
            <m:begChr m:val="("/>
            <m:sepChr m:val=""/>
            <m:endChr m:val=")"/>
            <m:grow/>
          </m:dPr>
          <m:e>
            <m:r>
              <m:t>0</m:t>
            </m:r>
            <m:r>
              <m:rPr>
                <m:sty m:val="p"/>
              </m:rPr>
              <m:t>,</m:t>
            </m:r>
            <m:r>
              <m:t>1</m:t>
            </m:r>
          </m:e>
        </m:d>
      </m:oMath>
      <w:r>
        <w:t xml:space="preserve">, with </w:t>
      </w:r>
      <m:oMath>
        <m:sSub>
          <m:e>
            <m:r>
              <m:t>e</m:t>
            </m:r>
          </m:e>
          <m:sub>
            <m:r>
              <m:t>β</m:t>
            </m:r>
          </m:sub>
        </m:sSub>
      </m:oMath>
      <w:r>
        <w:t xml:space="preserve"> the upper </w:t>
      </w:r>
      <m:oMath>
        <m:r>
          <m:t>β</m:t>
        </m:r>
      </m:oMath>
      <w:r>
        <w:t xml:space="preserve"> quantile of </w:t>
      </w:r>
      <m:oMath>
        <m:r>
          <m:t>ε</m:t>
        </m:r>
      </m:oMath>
      <w:r>
        <w:t xml:space="preserve">,</w:t>
      </w:r>
    </w:p>
    <w:p>
      <w:pPr>
        <w:pStyle w:val="Equation"/>
      </w:pPr>
      <m:oMathPara>
        <m:oMathParaPr>
          <m:jc m:val="center"/>
        </m:oMathParaPr>
        <m:oMath>
          <m:sSub>
            <m:e>
              <m:bar>
                <m:barPr>
                  <m:pos m:val="top"/>
                </m:barPr>
                <m:e>
                  <m:r>
                    <m:t>P</m:t>
                  </m:r>
                </m:e>
              </m:bar>
            </m:e>
            <m:sub>
              <m:r>
                <m:t>k</m:t>
              </m:r>
              <m:r>
                <m:rPr>
                  <m:sty m:val="p"/>
                </m:rPr>
                <m:t>,</m:t>
              </m:r>
              <m:r>
                <m:t>r</m:t>
              </m:r>
            </m:sub>
          </m:sSub>
          <m:d>
            <m:dPr>
              <m:begChr m:val="("/>
              <m:sepChr m:val=""/>
              <m:endChr m:val=")"/>
              <m:grow/>
            </m:dPr>
            <m:e>
              <m:r>
                <m:t>s</m:t>
              </m:r>
              <m:r>
                <m:rPr>
                  <m:sty m:val="p"/>
                </m:rPr>
                <m:t>,</m:t>
              </m:r>
              <m:r>
                <m:t>q</m:t>
              </m:r>
            </m:e>
          </m:d>
          <m:r>
            <m:rPr>
              <m:sty m:val="p"/>
            </m:rPr>
            <m:t>≤</m:t>
          </m:r>
          <m:sSub>
            <m:e>
              <m:r>
                <m:t>P</m:t>
              </m:r>
            </m:e>
            <m:sub>
              <m:r>
                <m:t>k</m:t>
              </m:r>
            </m:sub>
          </m:sSub>
          <m:d>
            <m:dPr>
              <m:begChr m:val="("/>
              <m:sepChr m:val=""/>
              <m:endChr m:val=")"/>
              <m:grow/>
            </m:dPr>
            <m:e>
              <m:r>
                <m:t>F</m:t>
              </m:r>
              <m:r>
                <m:rPr>
                  <m:sty m:val="p"/>
                </m:rPr>
                <m:t>∣</m:t>
              </m:r>
              <m:r>
                <m:t>s</m:t>
              </m:r>
              <m:d>
                <m:dPr>
                  <m:begChr m:val="("/>
                  <m:sepChr m:val=""/>
                  <m:endChr m:val=")"/>
                  <m:grow/>
                </m:dPr>
                <m:e>
                  <m:r>
                    <m:t>1</m:t>
                  </m:r>
                  <m:r>
                    <m:rPr>
                      <m:sty m:val="p"/>
                    </m:rPr>
                    <m:t>+</m:t>
                  </m:r>
                  <m:sSub>
                    <m:e>
                      <m:r>
                        <m:t>e</m:t>
                      </m:r>
                    </m:e>
                    <m:sub>
                      <m:r>
                        <m:t>β</m:t>
                      </m:r>
                    </m:sub>
                  </m:sSub>
                </m:e>
              </m:d>
              <m:r>
                <m:rPr>
                  <m:sty m:val="p"/>
                </m:rPr>
                <m:t>,</m:t>
              </m:r>
              <m:r>
                <m:t>q</m:t>
              </m:r>
            </m:e>
          </m:d>
          <m:r>
            <m:rPr>
              <m:sty m:val="p"/>
            </m:rPr>
            <m:t>+</m:t>
          </m:r>
          <m:r>
            <m:t>β</m:t>
          </m:r>
          <m:r>
            <m:rPr>
              <m:sty m:val="p"/>
            </m:rPr>
            <m:t>,</m:t>
          </m:r>
        </m:oMath>
      </m:oMathPara>
    </w:p>
    <w:p>
      <w:pPr>
        <w:spacing w:after="120"/>
        <w:jc w:val="both"/>
      </w:pPr>
      <w:r>
        <w:t xml:space="preserve">so licensing as if the operators overshoot to </w:t>
      </w:r>
      <m:oMath>
        <m:sSub>
          <m:e>
            <m:r>
              <m:t>e</m:t>
            </m:r>
          </m:e>
          <m:sub>
            <m:r>
              <m:t>β</m:t>
            </m:r>
          </m:sub>
        </m:sSub>
      </m:oMath>
      <w:r>
        <w:t xml:space="preserve"> while keeping </w:t>
      </w:r>
      <m:oMath>
        <m:r>
          <m:t>β</m:t>
        </m:r>
      </m:oMath>
      <w:r>
        <w:t xml:space="preserve"> of the risk budget for larger overshoots is always safe. (iii) If the overshoot is certain (</w:t>
      </w:r>
      <m:oMath>
        <m:sSub>
          <m:e>
            <m:r>
              <m:t>σ</m:t>
            </m:r>
          </m:e>
          <m:sub>
            <m:r>
              <m:t>r</m:t>
            </m:r>
          </m:sub>
        </m:sSub>
        <m:r>
          <m:rPr>
            <m:sty m:val="p"/>
          </m:rPr>
          <m:t>=</m:t>
        </m:r>
        <m:r>
          <m:t>0</m:t>
        </m:r>
      </m:oMath>
      <w:r>
        <w:t xml:space="preserve">), the cap is the cap without overshoot divided by </w:t>
      </w:r>
      <m:oMath>
        <m:r>
          <m:t>1</m:t>
        </m:r>
        <m:r>
          <m:rPr>
            <m:sty m:val="p"/>
          </m:rPr>
          <m:t>+</m:t>
        </m:r>
        <m:sSub>
          <m:e>
            <m:r>
              <m:t>μ</m:t>
            </m:r>
          </m:e>
          <m:sub>
            <m:r>
              <m:t>r</m:t>
            </m:r>
          </m:sub>
        </m:sSub>
      </m:oMath>
      <w:r>
        <w:t xml:space="preserve">. </w:t>
      </w:r>
      <w:r>
        <w:rPr>
          <w:i/>
          <w:iCs/>
        </w:rPr>
        <w:t xml:space="preserve">Proof.</w:t>
      </w:r>
      <w:r>
        <w:t xml:space="preserve"> (i) For fixed </w:t>
      </w:r>
      <m:oMath>
        <m:r>
          <m:t>θ</m:t>
        </m:r>
      </m:oMath>
      <w:r>
        <w:t xml:space="preserve"> and </w:t>
      </w:r>
      <m:oMath>
        <m:r>
          <m:t>e</m:t>
        </m:r>
      </m:oMath>
      <w:r>
        <w:t xml:space="preserve">, </w:t>
      </w:r>
      <m:oMath>
        <m:sSub>
          <m:e>
            <m:r>
              <m:t>ϕ</m:t>
            </m:r>
          </m:e>
          <m:sub>
            <m:r>
              <m:t>r</m:t>
            </m:r>
          </m:sub>
        </m:sSub>
      </m:oMath>
      <w:r>
        <w:t xml:space="preserve"> falls as the pumping </w:t>
      </w:r>
      <m:oMath>
        <m:r>
          <m:t>s</m:t>
        </m:r>
        <m:d>
          <m:dPr>
            <m:begChr m:val="("/>
            <m:sepChr m:val=""/>
            <m:endChr m:val=")"/>
            <m:grow/>
          </m:dPr>
          <m:e>
            <m:r>
              <m:t>1</m:t>
            </m:r>
            <m:r>
              <m:rPr>
                <m:sty m:val="p"/>
              </m:rPr>
              <m:t>+</m:t>
            </m:r>
            <m:r>
              <m:t>e</m:t>
            </m:r>
          </m:e>
        </m:d>
      </m:oMath>
      <w:r>
        <w:t xml:space="preserve"> or </w:t>
      </w:r>
      <m:oMath>
        <m:sSub>
          <m:e>
            <m:r>
              <m:t>E</m:t>
            </m:r>
          </m:e>
          <m:sub>
            <m:r>
              <m:t>r</m:t>
            </m:r>
          </m:sub>
        </m:sSub>
      </m:oMath>
      <w:r>
        <w:t xml:space="preserve"> grows and rises with </w:t>
      </w:r>
      <m:oMath>
        <m:r>
          <m:t>q</m:t>
        </m:r>
      </m:oMath>
      <w:r>
        <w:t xml:space="preserve">, so the failure indicator is monotone; integrating over </w:t>
      </w:r>
      <m:oMath>
        <m:r>
          <m:t>θ</m:t>
        </m:r>
      </m:oMath>
      <w:r>
        <w:t xml:space="preserve"> and </w:t>
      </w:r>
      <m:oMath>
        <m:r>
          <m:t>e</m:t>
        </m:r>
      </m:oMath>
      <w:r>
        <w:t xml:space="preserve"> and taking the maximum over </w:t>
      </w:r>
      <m:oMath>
        <m:r>
          <m:t>k</m:t>
        </m:r>
      </m:oMath>
      <w:r>
        <w:t xml:space="preserve"> keep the monotonicity, and, as in review 57, the certified rule takes the largest </w:t>
      </w:r>
      <m:oMath>
        <m:r>
          <m:t>s</m:t>
        </m:r>
      </m:oMath>
      <w:r>
        <w:t xml:space="preserve"> for which every smaller </w:t>
      </w:r>
      <m:oMath>
        <m:r>
          <m:t>s</m:t>
        </m:r>
      </m:oMath>
      <w:r>
        <w:t xml:space="preserve"> is admissible. (ii) On </w:t>
      </w:r>
      <m:oMath>
        <m:d>
          <m:dPr>
            <m:begChr m:val="{"/>
            <m:sepChr m:val=""/>
            <m:endChr m:val="}"/>
            <m:grow/>
          </m:dPr>
          <m:e>
            <m:r>
              <m:t>ε</m:t>
            </m:r>
            <m:r>
              <m:rPr>
                <m:sty m:val="p"/>
              </m:rPr>
              <m:t>≤</m:t>
            </m:r>
            <m:sSub>
              <m:e>
                <m:r>
                  <m:t>e</m:t>
                </m:r>
              </m:e>
              <m:sub>
                <m:r>
                  <m:t>β</m:t>
                </m:r>
              </m:sub>
            </m:sSub>
          </m:e>
        </m:d>
      </m:oMath>
      <w:r>
        <w:t xml:space="preserve"> failure at </w:t>
      </w:r>
      <m:oMath>
        <m:r>
          <m:t>s</m:t>
        </m:r>
        <m:d>
          <m:dPr>
            <m:begChr m:val="("/>
            <m:sepChr m:val=""/>
            <m:endChr m:val=")"/>
            <m:grow/>
          </m:dPr>
          <m:e>
            <m:r>
              <m:t>1</m:t>
            </m:r>
            <m:r>
              <m:rPr>
                <m:sty m:val="p"/>
              </m:rPr>
              <m:t>+</m:t>
            </m:r>
            <m:r>
              <m:t>ε</m:t>
            </m:r>
          </m:e>
        </m:d>
      </m:oMath>
      <w:r>
        <w:t xml:space="preserve"> implies failure at </w:t>
      </w:r>
      <m:oMath>
        <m:r>
          <m:t>s</m:t>
        </m:r>
        <m:d>
          <m:dPr>
            <m:begChr m:val="("/>
            <m:sepChr m:val=""/>
            <m:endChr m:val=")"/>
            <m:grow/>
          </m:dPr>
          <m:e>
            <m:r>
              <m:t>1</m:t>
            </m:r>
            <m:r>
              <m:rPr>
                <m:sty m:val="p"/>
              </m:rPr>
              <m:t>+</m:t>
            </m:r>
            <m:sSub>
              <m:e>
                <m:r>
                  <m:t>e</m:t>
                </m:r>
              </m:e>
              <m:sub>
                <m:r>
                  <m:t>β</m:t>
                </m:r>
              </m:sub>
            </m:sSub>
          </m:e>
        </m:d>
      </m:oMath>
      <w:r>
        <w:t xml:space="preserve">; the complement has probability </w:t>
      </w:r>
      <m:oMath>
        <m:r>
          <m:t>β</m:t>
        </m:r>
      </m:oMath>
      <w:r>
        <w:t xml:space="preserve">. (iii) Substitute </w:t>
      </w:r>
      <m:oMath>
        <m:r>
          <m:t>s</m:t>
        </m:r>
        <m:d>
          <m:dPr>
            <m:begChr m:val="("/>
            <m:sepChr m:val=""/>
            <m:endChr m:val=")"/>
            <m:grow/>
          </m:dPr>
          <m:e>
            <m:r>
              <m:t>1</m:t>
            </m:r>
            <m:r>
              <m:rPr>
                <m:sty m:val="p"/>
              </m:rPr>
              <m:t>+</m:t>
            </m:r>
            <m:sSub>
              <m:e>
                <m:r>
                  <m:t>μ</m:t>
                </m:r>
              </m:e>
              <m:sub>
                <m:r>
                  <m:t>r</m:t>
                </m:r>
              </m:sub>
            </m:sSub>
          </m:e>
        </m:d>
      </m:oMath>
      <w:r>
        <w:t xml:space="preserve"> for </w:t>
      </w:r>
      <m:oMath>
        <m:r>
          <m:t>s</m:t>
        </m:r>
      </m:oMath>
      <w:r>
        <w:t xml:space="preserve">. </w:t>
      </w:r>
      <m:oMath>
        <m:r>
          <m:rPr>
            <m:sty m:val="p"/>
          </m:rPr>
          <m:t>▫</m:t>
        </m:r>
      </m:oMath>
      <w:r>
        <w:t xml:space="preserve"> An operator's overshoot is thus not a reason for a vote in the crisis: it is a known, measurable human factor that the plan turns into a smaller licence agreed in advance.</w:t>
      </w:r>
    </w:p>
    <w:p>
      <w:pPr>
        <w:pStyle w:val="Heading3"/>
      </w:pPr>
      <w:r>
        <w:rPr>
          <w:color w:val="1F3864"/>
        </w:rPr>
        <w:t xml:space="preserve">9.3 Proposition S2: crisis perception is a tighter limit</w:t>
      </w:r>
    </w:p>
    <w:p>
      <w:pPr>
        <w:spacing w:after="120"/>
        <w:jc w:val="both"/>
      </w:pPr>
      <w:r>
        <w:rPr>
          <w:b/>
          <w:bCs/>
        </w:rPr>
        <w:t xml:space="preserve">Proposition S2.</w:t>
      </w:r>
      <w:r>
        <w:t xml:space="preserve"> (i) Because </w:t>
      </w:r>
      <m:oMath>
        <m:sSub>
          <m:e>
            <m:r>
              <m:t>w</m:t>
            </m:r>
          </m:e>
          <m:sub>
            <m:r>
              <m:t>γ</m:t>
            </m:r>
          </m:sub>
        </m:sSub>
      </m:oMath>
      <w:r>
        <w:t xml:space="preserve"> is strictly increasing, a rule that requires </w:t>
      </w:r>
      <m:oMath>
        <m:sSub>
          <m:e>
            <m:r>
              <m:rPr>
                <m:sty m:val="p"/>
              </m:rPr>
              <m:t>max</m:t>
            </m:r>
          </m:e>
          <m:sub>
            <m:r>
              <m:t>k</m:t>
            </m:r>
          </m:sub>
        </m:sSub>
        <m:sSub>
          <m:e>
            <m:r>
              <m:t>w</m:t>
            </m:r>
          </m:e>
          <m:sub>
            <m:r>
              <m:t>γ</m:t>
            </m:r>
          </m:sub>
        </m:sSub>
        <m:d>
          <m:dPr>
            <m:begChr m:val="("/>
            <m:sepChr m:val=""/>
            <m:endChr m:val=")"/>
            <m:grow/>
          </m:dPr>
          <m:e>
            <m:sSub>
              <m:e>
                <m:r>
                  <m:t>P</m:t>
                </m:r>
              </m:e>
              <m:sub>
                <m:r>
                  <m:t>k</m:t>
                </m:r>
              </m:sub>
            </m:sSub>
          </m:e>
        </m:d>
        <m:r>
          <m:rPr>
            <m:sty m:val="p"/>
          </m:rPr>
          <m:t>≤</m:t>
        </m:r>
        <m:r>
          <m:t>α</m:t>
        </m:r>
      </m:oMath>
      <w:r>
        <w:t xml:space="preserve"> is the calm rule with the tighter limit</w:t>
      </w:r>
    </w:p>
    <w:p>
      <w:pPr>
        <w:pStyle w:val="Equation"/>
      </w:pPr>
      <m:oMathPara>
        <m:oMathParaPr>
          <m:jc m:val="center"/>
        </m:oMathParaPr>
        <m:oMath>
          <m:sSub>
            <m:e>
              <m:r>
                <m:t>α</m:t>
              </m:r>
            </m:e>
            <m:sub>
              <m:r>
                <m:t>γ</m:t>
              </m:r>
            </m:sub>
          </m:sSub>
          <m:r>
            <m:rPr>
              <m:sty m:val="p"/>
            </m:rPr>
            <m:t>=</m:t>
          </m:r>
          <m:sSubSup>
            <m:e>
              <m:r>
                <m:t>w</m:t>
              </m:r>
            </m:e>
            <m:sub>
              <m:r>
                <m:t>γ</m:t>
              </m:r>
            </m:sub>
            <m:sup>
              <m:r>
                <m:rPr>
                  <m:sty m:val="p"/>
                </m:rPr>
                <m:t>−</m:t>
              </m:r>
              <m:r>
                <m:t>1</m:t>
              </m:r>
            </m:sup>
          </m:sSubSup>
          <m:d>
            <m:dPr>
              <m:begChr m:val="("/>
              <m:sepChr m:val=""/>
              <m:endChr m:val=")"/>
              <m:grow/>
            </m:dPr>
            <m:e>
              <m:r>
                <m:t>α</m:t>
              </m:r>
            </m:e>
          </m:d>
          <m:r>
            <m:rPr>
              <m:sty m:val="p"/>
            </m:rPr>
            <m:t>=</m:t>
          </m:r>
          <m:r>
            <m:rPr>
              <m:sty m:val="p"/>
            </m:rPr>
            <m:t>exp</m:t>
          </m:r>
          <m:d>
            <m:dPr>
              <m:begChr m:val="("/>
              <m:sepChr m:val=""/>
              <m:endChr m:val=")"/>
              <m:grow/>
            </m:dPr>
            <m:e>
              <m:r>
                <m:rPr>
                  <m:sty m:val="p"/>
                </m:rPr>
                <m:t>−</m:t>
              </m:r>
              <m:sSup>
                <m:e>
                  <m:d>
                    <m:dPr>
                      <m:begChr m:val="("/>
                      <m:sepChr m:val=""/>
                      <m:endChr m:val=")"/>
                      <m:grow/>
                    </m:dPr>
                    <m:e>
                      <m:r>
                        <m:rPr>
                          <m:sty m:val="p"/>
                        </m:rPr>
                        <m:t>−</m:t>
                      </m:r>
                      <m:r>
                        <m:rPr>
                          <m:sty m:val="p"/>
                        </m:rPr>
                        <m:t>log</m:t>
                      </m:r>
                      <m:r>
                        <m:t>α</m:t>
                      </m:r>
                    </m:e>
                  </m:d>
                </m:e>
                <m:sup>
                  <m:r>
                    <m:t>1</m:t>
                  </m:r>
                  <m:r>
                    <m:rPr>
                      <m:sty m:val="p"/>
                    </m:rPr>
                    <m:t>/</m:t>
                  </m:r>
                  <m:r>
                    <m:t>γ</m:t>
                  </m:r>
                </m:sup>
              </m:sSup>
            </m:e>
          </m:d>
          <m:r>
            <m:rPr>
              <m:sty m:val="p"/>
            </m:rPr>
            <m:t>,</m:t>
          </m:r>
          <m:r>
            <m:t>  </m:t>
          </m:r>
          <m:sSub>
            <m:e>
              <m:r>
                <m:t>α</m:t>
              </m:r>
            </m:e>
            <m:sub>
              <m:r>
                <m:t>0.9</m:t>
              </m:r>
            </m:sub>
          </m:sSub>
          <m:r>
            <m:rPr>
              <m:sty m:val="p"/>
            </m:rPr>
            <m:t>=</m:t>
          </m:r>
          <m:r>
            <m:t>0.080</m:t>
          </m:r>
          <m:r>
            <m:rPr>
              <m:sty m:val="p"/>
            </m:rPr>
            <m:t>,</m:t>
          </m:r>
          <m:r>
            <m:t> </m:t>
          </m:r>
          <m:sSub>
            <m:e>
              <m:r>
                <m:t>α</m:t>
              </m:r>
            </m:e>
            <m:sub>
              <m:r>
                <m:t>0.8</m:t>
              </m:r>
            </m:sub>
          </m:sSub>
          <m:r>
            <m:rPr>
              <m:sty m:val="p"/>
            </m:rPr>
            <m:t>=</m:t>
          </m:r>
          <m:r>
            <m:t>0.059</m:t>
          </m:r>
          <m:r>
            <m:rPr>
              <m:sty m:val="p"/>
            </m:rPr>
            <m:t>,</m:t>
          </m:r>
          <m:r>
            <m:t> </m:t>
          </m:r>
          <m:sSub>
            <m:e>
              <m:r>
                <m:t>α</m:t>
              </m:r>
            </m:e>
            <m:sub>
              <m:r>
                <m:t>0.7</m:t>
              </m:r>
            </m:sub>
          </m:sSub>
          <m:r>
            <m:rPr>
              <m:sty m:val="p"/>
            </m:rPr>
            <m:t>=</m:t>
          </m:r>
          <m:r>
            <m:t>0.037</m:t>
          </m:r>
          <m:r>
            <m:t> </m:t>
          </m:r>
          <m:d>
            <m:dPr>
              <m:begChr m:val="("/>
              <m:sepChr m:val=""/>
              <m:endChr m:val=")"/>
              <m:grow/>
            </m:dPr>
            <m:e>
              <m:r>
                <m:t>α</m:t>
              </m:r>
              <m:r>
                <m:rPr>
                  <m:sty m:val="p"/>
                </m:rPr>
                <m:t>=</m:t>
              </m:r>
              <m:r>
                <m:t>0.10</m:t>
              </m:r>
            </m:e>
          </m:d>
          <m:r>
            <m:rPr>
              <m:sty m:val="p"/>
            </m:rPr>
            <m:t>.</m:t>
          </m:r>
        </m:oMath>
      </m:oMathPara>
    </w:p>
    <w:p>
      <w:pPr>
        <w:spacing w:after="120"/>
        <w:jc w:val="both"/>
      </w:pPr>
      <w:r>
        <w:t xml:space="preserve">(ii) Polarisation moves each stated belief away from the calibration by about the square of its factor: </w:t>
      </w:r>
      <m:oMath>
        <m:r>
          <m:rPr>
            <m:nor/>
          </m:rPr>
          <m:t>KL</m:t>
        </m:r>
        <m:d>
          <m:dPr>
            <m:begChr m:val="("/>
            <m:sepChr m:val=""/>
            <m:endChr m:val=")"/>
            <m:grow/>
          </m:dPr>
          <m:e>
            <m:sSub>
              <m:e>
                <m:r>
                  <m:t>p</m:t>
                </m:r>
              </m:e>
              <m:sub>
                <m:r>
                  <m:t>κ</m:t>
                </m:r>
                <m:r>
                  <m:t>λ</m:t>
                </m:r>
              </m:sub>
            </m:sSub>
            <m:r>
              <m:rPr>
                <m:sty m:val="p"/>
              </m:rPr>
              <m:t>,</m:t>
            </m:r>
            <m:r>
              <m:t>p</m:t>
            </m:r>
          </m:e>
        </m:d>
        <m:r>
          <m:rPr>
            <m:sty m:val="p"/>
          </m:rPr>
          <m:t>=</m:t>
        </m:r>
        <m:f>
          <m:fPr>
            <m:type m:val="lin"/>
          </m:fPr>
          <m:num>
            <m:r>
              <m:t>1</m:t>
            </m:r>
          </m:num>
          <m:den>
            <m:r>
              <m:t>2</m:t>
            </m:r>
          </m:den>
        </m:f>
        <m:sSup>
          <m:e>
            <m:r>
              <m:t>κ</m:t>
            </m:r>
          </m:e>
          <m:sup>
            <m:r>
              <m:t>2</m:t>
            </m:r>
          </m:sup>
        </m:sSup>
        <m:sSup>
          <m:e>
            <m:r>
              <m:t>λ</m:t>
            </m:r>
          </m:e>
          <m:sup>
            <m:r>
              <m:rPr>
                <m:sty m:val="p"/>
              </m:rPr>
              <m:t>⊤</m:t>
            </m:r>
          </m:sup>
        </m:sSup>
        <m:r>
          <m:t>S</m:t>
        </m:r>
        <m:r>
          <m:t>λ</m:t>
        </m:r>
        <m:r>
          <m:rPr>
            <m:sty m:val="p"/>
          </m:rPr>
          <m:t>+</m:t>
        </m:r>
        <m:r>
          <m:t>O</m:t>
        </m:r>
        <m:d>
          <m:dPr>
            <m:begChr m:val="("/>
            <m:sepChr m:val=""/>
            <m:endChr m:val=")"/>
            <m:grow/>
          </m:dPr>
          <m:e>
            <m:sSup>
              <m:e>
                <m:r>
                  <m:t>κ</m:t>
                </m:r>
              </m:e>
              <m:sup>
                <m:r>
                  <m:t>3</m:t>
                </m:r>
              </m:sup>
            </m:sSup>
            <m:sSup>
              <m:e>
                <m:d>
                  <m:dPr>
                    <m:begChr m:val="|"/>
                    <m:sepChr m:val=""/>
                    <m:endChr m:val="|"/>
                    <m:grow/>
                  </m:dPr>
                  <m:e>
                    <m:r>
                      <m:t>λ</m:t>
                    </m:r>
                  </m:e>
                </m:d>
              </m:e>
              <m:sup>
                <m:r>
                  <m:t>3</m:t>
                </m:r>
              </m:sup>
            </m:sSup>
          </m:e>
        </m:d>
      </m:oMath>
      <w:r>
        <w:t xml:space="preserve">, so </w:t>
      </w:r>
      <m:oMath>
        <m:r>
          <m:t>κ</m:t>
        </m:r>
        <m:r>
          <m:rPr>
            <m:sty m:val="p"/>
          </m:rPr>
          <m:t>=</m:t>
        </m:r>
        <m:r>
          <m:t>1.5</m:t>
        </m:r>
      </m:oMath>
      <w:r>
        <w:t xml:space="preserve"> more than doubles the radius of belief that review 58 would have to protect. </w:t>
      </w:r>
      <w:r>
        <w:rPr>
          <w:i/>
          <w:iCs/>
        </w:rPr>
        <w:t xml:space="preserve">Proof.</w:t>
      </w:r>
      <w:r>
        <w:t xml:space="preserve"> (i) </w:t>
      </w:r>
      <m:oMath>
        <m:sSub>
          <m:e>
            <m:r>
              <m:t>w</m:t>
            </m:r>
          </m:e>
          <m:sub>
            <m:r>
              <m:t>γ</m:t>
            </m:r>
          </m:sub>
        </m:sSub>
        <m:d>
          <m:dPr>
            <m:begChr m:val="("/>
            <m:sepChr m:val=""/>
            <m:endChr m:val=")"/>
            <m:grow/>
          </m:dPr>
          <m:e>
            <m:r>
              <m:t>P</m:t>
            </m:r>
          </m:e>
        </m:d>
        <m:r>
          <m:rPr>
            <m:sty m:val="p"/>
          </m:rPr>
          <m:t>≤</m:t>
        </m:r>
        <m:r>
          <m:t>α</m:t>
        </m:r>
      </m:oMath>
      <w:r>
        <w:t xml:space="preserve"> if and only if </w:t>
      </w:r>
      <m:oMath>
        <m:r>
          <m:t>P</m:t>
        </m:r>
        <m:r>
          <m:rPr>
            <m:sty m:val="p"/>
          </m:rPr>
          <m:t>≤</m:t>
        </m:r>
        <m:sSubSup>
          <m:e>
            <m:r>
              <m:t>w</m:t>
            </m:r>
          </m:e>
          <m:sub>
            <m:r>
              <m:t>γ</m:t>
            </m:r>
          </m:sub>
          <m:sup>
            <m:r>
              <m:rPr>
                <m:sty m:val="p"/>
              </m:rPr>
              <m:t>−</m:t>
            </m:r>
            <m:r>
              <m:t>1</m:t>
            </m:r>
          </m:sup>
        </m:sSubSup>
        <m:d>
          <m:dPr>
            <m:begChr m:val="("/>
            <m:sepChr m:val=""/>
            <m:endChr m:val=")"/>
            <m:grow/>
          </m:dPr>
          <m:e>
            <m:r>
              <m:t>α</m:t>
            </m:r>
          </m:e>
        </m:d>
      </m:oMath>
      <w:r>
        <w:t xml:space="preserve">, and the maximum over </w:t>
      </w:r>
      <m:oMath>
        <m:r>
          <m:t>k</m:t>
        </m:r>
      </m:oMath>
      <w:r>
        <w:t xml:space="preserve"> commutes with an increasing map. (ii) The cumulant expansion of Proposition R2 of review 58 with </w:t>
      </w:r>
      <m:oMath>
        <m:r>
          <m:t>κ</m:t>
        </m:r>
        <m:r>
          <m:t>λ</m:t>
        </m:r>
      </m:oMath>
      <w:r>
        <w:t xml:space="preserve"> in place of </w:t>
      </w:r>
      <m:oMath>
        <m:r>
          <m:t>λ</m:t>
        </m:r>
      </m:oMath>
      <w:r>
        <w:t xml:space="preserve">. </w:t>
      </w:r>
      <m:oMath>
        <m:r>
          <m:rPr>
            <m:sty m:val="p"/>
          </m:rPr>
          <m:t>▫</m:t>
        </m:r>
      </m:oMath>
      <w:r>
        <w:t xml:space="preserve"> When every distortion is pessimistic, as in a drought, a decision taken in the crisis pumps less than the plan, never more: it is safe but it wastes water the town needs. The plan is agreed with the calm beliefs and the true limit, and new information enters only through data and Bayes' rule (Proposition R3 of review 58), not through the mood of the moment.</w:t>
      </w:r>
    </w:p>
    <w:p>
      <w:pPr>
        <w:pStyle w:val="Heading3"/>
      </w:pPr>
      <w:r>
        <w:rPr>
          <w:color w:val="1F3864"/>
        </w:rPr>
        <w:t xml:space="preserve">9.4 Proposition S3: the year as a whole, and triggers that err</w:t>
      </w:r>
    </w:p>
    <w:p>
      <w:pPr>
        <w:spacing w:after="120"/>
        <w:jc w:val="both"/>
      </w:pPr>
      <w:r>
        <w:rPr>
          <w:b/>
          <w:bCs/>
        </w:rPr>
        <w:t xml:space="preserve">Proposition S3.</w:t>
      </w:r>
      <w:r>
        <w:t xml:space="preserve"> Order the regimes by severity, </w:t>
      </w:r>
      <m:oMath>
        <m:r>
          <m:t>r</m:t>
        </m:r>
        <m:r>
          <m:rPr>
            <m:sty m:val="p"/>
          </m:rPr>
          <m:t>=</m:t>
        </m:r>
        <m:r>
          <m:t>1</m:t>
        </m:r>
        <m:r>
          <m:rPr>
            <m:sty m:val="p"/>
          </m:rPr>
          <m:t>,</m:t>
        </m:r>
        <m:r>
          <m:rPr>
            <m:sty m:val="p"/>
          </m:rPr>
          <m:t>…</m:t>
        </m:r>
        <m:r>
          <m:rPr>
            <m:sty m:val="p"/>
          </m:rPr>
          <m:t>,</m:t>
        </m:r>
        <m:r>
          <m:t>R</m:t>
        </m:r>
      </m:oMath>
      <w:r>
        <w:t xml:space="preserve">, with probabilities </w:t>
      </w:r>
      <m:oMath>
        <m:sSub>
          <m:e>
            <m:r>
              <m:t>π</m:t>
            </m:r>
          </m:e>
          <m:sub>
            <m:r>
              <m:t>r</m:t>
            </m:r>
          </m:sub>
        </m:sSub>
      </m:oMath>
      <w:r>
        <w:t xml:space="preserve"> in a year, plans </w:t>
      </w:r>
      <m:oMath>
        <m:sSub>
          <m:e>
            <m:r>
              <m:t>a</m:t>
            </m:r>
          </m:e>
          <m:sub>
            <m:r>
              <m:t>r</m:t>
            </m:r>
          </m:sub>
        </m:sSub>
      </m:oMath>
      <w:r>
        <w:t xml:space="preserve">, and a trigger that declares regime </w:t>
      </w:r>
      <m:oMath>
        <m:r>
          <m:t>r</m:t>
        </m:r>
        <m:r>
          <m:rPr>
            <m:sty m:val="p"/>
          </m:rPr>
          <m:t>′</m:t>
        </m:r>
      </m:oMath>
      <w:r>
        <w:t xml:space="preserve"> when </w:t>
      </w:r>
      <m:oMath>
        <m:r>
          <m:t>r</m:t>
        </m:r>
      </m:oMath>
      <w:r>
        <w:t xml:space="preserve"> holds with probability </w:t>
      </w:r>
      <m:oMath>
        <m:r>
          <m:t>M</m:t>
        </m:r>
        <m:d>
          <m:dPr>
            <m:begChr m:val="("/>
            <m:sepChr m:val=""/>
            <m:endChr m:val=")"/>
            <m:grow/>
          </m:dPr>
          <m:e>
            <m:r>
              <m:t>r</m:t>
            </m:r>
            <m:r>
              <m:rPr>
                <m:sty m:val="p"/>
              </m:rPr>
              <m:t>′</m:t>
            </m:r>
            <m:r>
              <m:rPr>
                <m:sty m:val="p"/>
              </m:rPr>
              <m:t>∣</m:t>
            </m:r>
            <m:r>
              <m:t>r</m:t>
            </m:r>
          </m:e>
        </m:d>
      </m:oMath>
      <w:r>
        <w:t xml:space="preserve">. Call the plans </w:t>
      </w:r>
      <w:r>
        <w:rPr>
          <w:i/>
          <w:iCs/>
        </w:rPr>
        <w:t xml:space="preserve">nested</w:t>
      </w:r>
      <w:r>
        <w:t xml:space="preserve"> if, in every true regime and after capping each plan's recharge at the capacity of that regime (a stop takes the largest recharge available), a severer plan never pumps more and never recharges less. Then the yearly risk of stakeholder </w:t>
      </w:r>
      <m:oMath>
        <m:r>
          <m:t>k</m:t>
        </m:r>
      </m:oMath>
      <w:r>
        <w:t xml:space="preserve"> is</w:t>
      </w:r>
    </w:p>
    <w:p>
      <w:pPr>
        <w:pStyle w:val="Equation"/>
      </w:pPr>
      <m:oMathPara>
        <m:oMathParaPr>
          <m:jc m:val="center"/>
        </m:oMathParaPr>
        <m:oMath>
          <m:sSub>
            <m:e>
              <m:bar>
                <m:barPr>
                  <m:pos m:val="top"/>
                </m:barPr>
                <m:e>
                  <m:r>
                    <m:t>P</m:t>
                  </m:r>
                </m:e>
              </m:bar>
            </m:e>
            <m:sub>
              <m:r>
                <m:t>k</m:t>
              </m:r>
            </m:sub>
          </m:sSub>
          <m:r>
            <m:rPr>
              <m:sty m:val="p"/>
            </m:rPr>
            <m:t>=</m:t>
          </m:r>
          <m:nary>
            <m:naryPr>
              <m:chr m:val="∑"/>
              <m:limLoc m:val="undOvr"/>
              <m:subHide m:val="off"/>
              <m:supHide m:val="on"/>
            </m:naryPr>
            <m:sub>
              <m:r>
                <m:t>r</m:t>
              </m:r>
            </m:sub>
            <m:sup>
              <m:r>
                <m:t>​</m:t>
              </m:r>
            </m:sup>
            <m:e>
              <m:sSub>
                <m:e>
                  <m:r>
                    <m:t>π</m:t>
                  </m:r>
                </m:e>
                <m:sub>
                  <m:r>
                    <m:t>r</m:t>
                  </m:r>
                </m:sub>
              </m:sSub>
            </m:e>
          </m:nary>
          <m:nary>
            <m:naryPr>
              <m:chr m:val="∑"/>
              <m:limLoc m:val="undOvr"/>
              <m:subHide m:val="off"/>
              <m:supHide m:val="on"/>
            </m:naryPr>
            <m:sub>
              <m:r>
                <m:t>r</m:t>
              </m:r>
              <m:r>
                <m:rPr>
                  <m:sty m:val="p"/>
                </m:rPr>
                <m:t>′</m:t>
              </m:r>
            </m:sub>
            <m:sup>
              <m:r>
                <m:t>​</m:t>
              </m:r>
            </m:sup>
            <m:e>
              <m:r>
                <m:t>M</m:t>
              </m:r>
            </m:e>
          </m:nary>
          <m:d>
            <m:dPr>
              <m:begChr m:val="("/>
              <m:sepChr m:val=""/>
              <m:endChr m:val=")"/>
              <m:grow/>
            </m:dPr>
            <m:e>
              <m:r>
                <m:t>r</m:t>
              </m:r>
              <m:r>
                <m:rPr>
                  <m:sty m:val="p"/>
                </m:rPr>
                <m:t>′</m:t>
              </m:r>
              <m:r>
                <m:rPr>
                  <m:sty m:val="p"/>
                </m:rPr>
                <m:t>∣</m:t>
              </m:r>
              <m:r>
                <m:t>r</m:t>
              </m:r>
            </m:e>
          </m:d>
          <m:sSub>
            <m:e>
              <m:bar>
                <m:barPr>
                  <m:pos m:val="top"/>
                </m:barPr>
                <m:e>
                  <m:r>
                    <m:t>P</m:t>
                  </m:r>
                </m:e>
              </m:bar>
            </m:e>
            <m:sub>
              <m:r>
                <m:t>k</m:t>
              </m:r>
              <m:r>
                <m:rPr>
                  <m:sty m:val="p"/>
                </m:rPr>
                <m:t>,</m:t>
              </m:r>
              <m:r>
                <m:t>r</m:t>
              </m:r>
            </m:sub>
          </m:sSub>
          <m:d>
            <m:dPr>
              <m:begChr m:val="("/>
              <m:sepChr m:val=""/>
              <m:endChr m:val=")"/>
              <m:grow/>
            </m:dPr>
            <m:e>
              <m:sSub>
                <m:e>
                  <m:r>
                    <m:t>a</m:t>
                  </m:r>
                </m:e>
                <m:sub>
                  <m:r>
                    <m:t>r</m:t>
                  </m:r>
                  <m:r>
                    <m:rPr>
                      <m:sty m:val="p"/>
                    </m:rPr>
                    <m:t>′</m:t>
                  </m:r>
                </m:sub>
              </m:sSub>
            </m:e>
          </m:d>
          <m:r>
            <m:rPr>
              <m:sty m:val="p"/>
            </m:rPr>
            <m:t>,</m:t>
          </m:r>
        </m:oMath>
      </m:oMathPara>
    </w:p>
    <w:p>
      <w:pPr>
        <w:spacing w:after="120"/>
        <w:jc w:val="both"/>
      </w:pPr>
      <w:r>
        <w:t xml:space="preserve">and (i) with a perfect trigger it is at most </w:t>
      </w:r>
      <m:oMath>
        <m:r>
          <m:t>α</m:t>
        </m:r>
      </m:oMath>
      <w:r>
        <w:t xml:space="preserve"> if every regime's plan is admissible; (ii) for nested plans an error towards severity never raises any stakeholder's risk, while an error towards mildness raises it by </w:t>
      </w:r>
      <m:oMath>
        <m:nary>
          <m:naryPr>
            <m:chr m:val="∑"/>
            <m:limLoc m:val="undOvr"/>
            <m:subHide m:val="off"/>
            <m:supHide m:val="on"/>
          </m:naryPr>
          <m:sub>
            <m:r>
              <m:t>r</m:t>
            </m:r>
          </m:sub>
          <m:sup>
            <m:r>
              <m:t>​</m:t>
            </m:r>
          </m:sup>
          <m:e>
            <m:sSub>
              <m:e>
                <m:r>
                  <m:t>π</m:t>
                </m:r>
              </m:e>
              <m:sub>
                <m:r>
                  <m:t>r</m:t>
                </m:r>
              </m:sub>
            </m:sSub>
          </m:e>
        </m:nary>
        <m:nary>
          <m:naryPr>
            <m:chr m:val="∑"/>
            <m:limLoc m:val="undOvr"/>
            <m:subHide m:val="off"/>
            <m:supHide m:val="on"/>
          </m:naryPr>
          <m:sub>
            <m:r>
              <m:t>r</m:t>
            </m:r>
            <m:r>
              <m:rPr>
                <m:sty m:val="p"/>
              </m:rPr>
              <m:t>′</m:t>
            </m:r>
            <m:r>
              <m:rPr>
                <m:sty m:val="p"/>
              </m:rPr>
              <m:t>&lt;</m:t>
            </m:r>
            <m:r>
              <m:t>r</m:t>
            </m:r>
          </m:sub>
          <m:sup>
            <m:r>
              <m:t>​</m:t>
            </m:r>
          </m:sup>
          <m:e>
            <m:r>
              <m:t>M</m:t>
            </m:r>
          </m:e>
        </m:nary>
        <m:d>
          <m:dPr>
            <m:begChr m:val="("/>
            <m:sepChr m:val=""/>
            <m:endChr m:val=")"/>
            <m:grow/>
          </m:dPr>
          <m:e>
            <m:r>
              <m:t>r</m:t>
            </m:r>
            <m:r>
              <m:rPr>
                <m:sty m:val="p"/>
              </m:rPr>
              <m:t>′</m:t>
            </m:r>
            <m:r>
              <m:rPr>
                <m:sty m:val="p"/>
              </m:rPr>
              <m:t>∣</m:t>
            </m:r>
            <m:r>
              <m:t>r</m:t>
            </m:r>
          </m:e>
        </m:d>
        <m:d>
          <m:dPr>
            <m:begChr m:val="["/>
            <m:sepChr m:val=""/>
            <m:endChr m:val="]"/>
            <m:grow/>
          </m:dPr>
          <m:e>
            <m:sSub>
              <m:e>
                <m:bar>
                  <m:barPr>
                    <m:pos m:val="top"/>
                  </m:barPr>
                  <m:e>
                    <m:r>
                      <m:t>P</m:t>
                    </m:r>
                  </m:e>
                </m:bar>
              </m:e>
              <m:sub>
                <m:r>
                  <m:t>k</m:t>
                </m:r>
                <m:r>
                  <m:rPr>
                    <m:sty m:val="p"/>
                  </m:rPr>
                  <m:t>,</m:t>
                </m:r>
                <m:r>
                  <m:t>r</m:t>
                </m:r>
              </m:sub>
            </m:sSub>
            <m:d>
              <m:dPr>
                <m:begChr m:val="("/>
                <m:sepChr m:val=""/>
                <m:endChr m:val=")"/>
                <m:grow/>
              </m:dPr>
              <m:e>
                <m:sSub>
                  <m:e>
                    <m:r>
                      <m:t>a</m:t>
                    </m:r>
                  </m:e>
                  <m:sub>
                    <m:r>
                      <m:t>r</m:t>
                    </m:r>
                    <m:r>
                      <m:rPr>
                        <m:sty m:val="p"/>
                      </m:rPr>
                      <m:t>′</m:t>
                    </m:r>
                  </m:sub>
                </m:sSub>
              </m:e>
            </m:d>
            <m:r>
              <m:rPr>
                <m:sty m:val="p"/>
              </m:rPr>
              <m:t>−</m:t>
            </m:r>
            <m:sSub>
              <m:e>
                <m:bar>
                  <m:barPr>
                    <m:pos m:val="top"/>
                  </m:barPr>
                  <m:e>
                    <m:r>
                      <m:t>P</m:t>
                    </m:r>
                  </m:e>
                </m:bar>
              </m:e>
              <m:sub>
                <m:r>
                  <m:t>k</m:t>
                </m:r>
                <m:r>
                  <m:rPr>
                    <m:sty m:val="p"/>
                  </m:rPr>
                  <m:t>,</m:t>
                </m:r>
                <m:r>
                  <m:t>r</m:t>
                </m:r>
              </m:sub>
            </m:sSub>
            <m:d>
              <m:dPr>
                <m:begChr m:val="("/>
                <m:sepChr m:val=""/>
                <m:endChr m:val=")"/>
                <m:grow/>
              </m:dPr>
              <m:e>
                <m:sSub>
                  <m:e>
                    <m:r>
                      <m:t>a</m:t>
                    </m:r>
                  </m:e>
                  <m:sub>
                    <m:r>
                      <m:t>r</m:t>
                    </m:r>
                  </m:sub>
                </m:sSub>
              </m:e>
            </m:d>
          </m:e>
        </m:d>
        <m:r>
          <m:rPr>
            <m:sty m:val="p"/>
          </m:rPr>
          <m:t>≥</m:t>
        </m:r>
        <m:r>
          <m:t>0</m:t>
        </m:r>
      </m:oMath>
      <w:r>
        <w:t xml:space="preserve">; (iii) of two triggers with the same error rate, the one whose errors lean towards severity is safer for every stakeholder, and it pays in water instead. </w:t>
      </w:r>
      <w:r>
        <w:rPr>
          <w:i/>
          <w:iCs/>
        </w:rPr>
        <w:t xml:space="preserve">Proof.</w:t>
      </w:r>
      <w:r>
        <w:t xml:space="preserve"> (i) is the law of total probability. (ii) and (iii) follow from (i) and the monotonicity of Proposition S1: nested plans are ordered componentwise in every regime. </w:t>
      </w:r>
      <m:oMath>
        <m:r>
          <m:rPr>
            <m:sty m:val="p"/>
          </m:rPr>
          <m:t>▫</m:t>
        </m:r>
      </m:oMath>
      <w:r>
        <w:t xml:space="preserve"> A trigger should therefore be set, and its measurement errors resolved, on the side of severity.</w:t>
      </w:r>
    </w:p>
    <w:p>
      <w:pPr>
        <w:pStyle w:val="Heading3"/>
      </w:pPr>
      <w:r>
        <w:rPr>
          <w:color w:val="1F3864"/>
        </w:rPr>
        <w:t xml:space="preserve">9.5 Proposition S4: when even stopping is not safe</w:t>
      </w:r>
    </w:p>
    <w:p>
      <w:pPr>
        <w:spacing w:after="120"/>
        <w:jc w:val="both"/>
      </w:pPr>
      <w:r>
        <w:rPr>
          <w:b/>
          <w:bCs/>
        </w:rPr>
        <w:t xml:space="preserve">Proposition S4.</w:t>
      </w:r>
      <w:r>
        <w:t xml:space="preserve"> With no supply pumping, draw </w:t>
      </w:r>
      <m:oMath>
        <m:r>
          <m:t>θ</m:t>
        </m:r>
      </m:oMath>
      <w:r>
        <w:t xml:space="preserve"> fails if and only if </w:t>
      </w:r>
      <m:oMath>
        <m:sSub>
          <m:e>
            <m:r>
              <m:t>f</m:t>
            </m:r>
          </m:e>
          <m:sub>
            <m:r>
              <m:t>r</m:t>
            </m:r>
          </m:sub>
        </m:sSub>
        <m:r>
          <m:rPr>
            <m:sty m:val="p"/>
          </m:rPr>
          <m:t>&lt;</m:t>
        </m:r>
        <m:sSub>
          <m:e>
            <m:r>
              <m:t>f</m:t>
            </m:r>
          </m:e>
          <m:sub>
            <m:r>
              <m:t>θ</m:t>
            </m:r>
          </m:sub>
        </m:sSub>
        <m:d>
          <m:dPr>
            <m:begChr m:val="("/>
            <m:sepChr m:val=""/>
            <m:endChr m:val=")"/>
            <m:grow/>
          </m:dPr>
          <m:e>
            <m:r>
              <m:t>q</m:t>
            </m:r>
            <m:r>
              <m:rPr>
                <m:sty m:val="p"/>
              </m:rPr>
              <m:t>,</m:t>
            </m:r>
            <m:r>
              <m:t>E</m:t>
            </m:r>
          </m:e>
        </m:d>
      </m:oMath>
      <w:r>
        <w:t xml:space="preserve">, where</w:t>
      </w:r>
    </w:p>
    <w:p>
      <w:pPr>
        <w:pStyle w:val="Equation"/>
      </w:pPr>
      <m:oMathPara>
        <m:oMathParaPr>
          <m:jc m:val="center"/>
        </m:oMathParaPr>
        <m:oMath>
          <m:sSub>
            <m:e>
              <m:r>
                <m:t>f</m:t>
              </m:r>
            </m:e>
            <m:sub>
              <m:r>
                <m:t>θ</m:t>
              </m:r>
            </m:sub>
          </m:sSub>
          <m:d>
            <m:dPr>
              <m:begChr m:val="("/>
              <m:sepChr m:val=""/>
              <m:endChr m:val=")"/>
              <m:grow/>
            </m:dPr>
            <m:e>
              <m:r>
                <m:t>q</m:t>
              </m:r>
              <m:r>
                <m:rPr>
                  <m:sty m:val="p"/>
                </m:rPr>
                <m:t>,</m:t>
              </m:r>
              <m:r>
                <m:t>E</m:t>
              </m:r>
            </m:e>
          </m:d>
          <m:r>
            <m:rPr>
              <m:sty m:val="p"/>
            </m:rPr>
            <m:t>=</m:t>
          </m:r>
          <m:limLow>
            <m:e>
              <m:r>
                <m:rPr>
                  <m:sty m:val="p"/>
                </m:rPr>
                <m:t>max</m:t>
              </m:r>
            </m:e>
            <m:lim>
              <m:r>
                <m:t>w</m:t>
              </m:r>
              <m:r>
                <m:rPr>
                  <m:sty m:val="p"/>
                </m:rPr>
                <m:t>∈</m:t>
              </m:r>
              <m:d>
                <m:dPr>
                  <m:begChr m:val="{"/>
                  <m:sepChr m:val=""/>
                  <m:endChr m:val="}"/>
                  <m:grow/>
                </m:dPr>
                <m:e>
                  <m:r>
                    <m:rPr>
                      <m:nor/>
                    </m:rPr>
                    <m:t>A1</m:t>
                  </m:r>
                  <m:r>
                    <m:rPr>
                      <m:sty m:val="p"/>
                    </m:rPr>
                    <m:t>,</m:t>
                  </m:r>
                  <m:r>
                    <m:t> </m:t>
                  </m:r>
                  <m:r>
                    <m:rPr>
                      <m:nor/>
                    </m:rPr>
                    <m:t>P10</m:t>
                  </m:r>
                </m:e>
              </m:d>
            </m:lim>
          </m:limLow>
          <m:f>
            <m:fPr>
              <m:type m:val="bar"/>
            </m:fPr>
            <m:num>
              <m:sSub>
                <m:e>
                  <m:r>
                    <m:t>T</m:t>
                  </m:r>
                </m:e>
                <m:sub>
                  <m:r>
                    <m:t>w</m:t>
                  </m:r>
                </m:sub>
              </m:sSub>
              <m:d>
                <m:dPr>
                  <m:begChr m:val="("/>
                  <m:sepChr m:val=""/>
                  <m:endChr m:val=")"/>
                  <m:grow/>
                </m:dPr>
                <m:e>
                  <m:r>
                    <m:t>θ</m:t>
                  </m:r>
                </m:e>
              </m:d>
              <m:r>
                <m:rPr>
                  <m:sty m:val="p"/>
                </m:rPr>
                <m:t>−</m:t>
              </m:r>
              <m:r>
                <m:t>q</m:t>
              </m:r>
              <m:r>
                <m:t> </m:t>
              </m:r>
              <m:sSub>
                <m:e>
                  <m:r>
                    <m:t>r</m:t>
                  </m:r>
                </m:e>
                <m:sub>
                  <m:r>
                    <m:t>S</m:t>
                  </m:r>
                  <m:r>
                    <m:rPr>
                      <m:sty m:val="p"/>
                    </m:rPr>
                    <m:t>,</m:t>
                  </m:r>
                  <m:r>
                    <m:t>w</m:t>
                  </m:r>
                </m:sub>
              </m:sSub>
              <m:d>
                <m:dPr>
                  <m:begChr m:val="("/>
                  <m:sepChr m:val=""/>
                  <m:endChr m:val=")"/>
                  <m:grow/>
                </m:dPr>
                <m:e>
                  <m:r>
                    <m:t>θ</m:t>
                  </m:r>
                </m:e>
              </m:d>
              <m:r>
                <m:rPr>
                  <m:sty m:val="p"/>
                </m:rPr>
                <m:t>+</m:t>
              </m:r>
              <m:r>
                <m:t>E</m:t>
              </m:r>
              <m:r>
                <m:t> </m:t>
              </m:r>
              <m:sSub>
                <m:e>
                  <m:r>
                    <m:t>r</m:t>
                  </m:r>
                </m:e>
                <m:sub>
                  <m:r>
                    <m:t>H</m:t>
                  </m:r>
                  <m:r>
                    <m:rPr>
                      <m:sty m:val="p"/>
                    </m:rPr>
                    <m:t>,</m:t>
                  </m:r>
                  <m:r>
                    <m:t>w</m:t>
                  </m:r>
                </m:sub>
              </m:sSub>
              <m:d>
                <m:dPr>
                  <m:begChr m:val="("/>
                  <m:sepChr m:val=""/>
                  <m:endChr m:val=")"/>
                  <m:grow/>
                </m:dPr>
                <m:e>
                  <m:r>
                    <m:t>θ</m:t>
                  </m:r>
                </m:e>
              </m:d>
            </m:num>
            <m:den>
              <m:sSub>
                <m:e>
                  <m:r>
                    <m:t>ϕ</m:t>
                  </m:r>
                </m:e>
                <m:sub>
                  <m:r>
                    <m:t>0</m:t>
                  </m:r>
                  <m:r>
                    <m:rPr>
                      <m:sty m:val="p"/>
                    </m:rPr>
                    <m:t>,</m:t>
                  </m:r>
                  <m:r>
                    <m:t>w</m:t>
                  </m:r>
                </m:sub>
              </m:sSub>
              <m:d>
                <m:dPr>
                  <m:begChr m:val="("/>
                  <m:sepChr m:val=""/>
                  <m:endChr m:val=")"/>
                  <m:grow/>
                </m:dPr>
                <m:e>
                  <m:r>
                    <m:t>θ</m:t>
                  </m:r>
                </m:e>
              </m:d>
            </m:den>
          </m:f>
          <m:r>
            <m:rPr>
              <m:sty m:val="p"/>
            </m:rPr>
            <m:t>,</m:t>
          </m:r>
          <m:r>
            <m:t>  </m:t>
          </m:r>
          <m:sSup>
            <m:e>
              <m:r>
                <m:t>f</m:t>
              </m:r>
            </m:e>
            <m:sup>
              <m:r>
                <m:rPr>
                  <m:sty m:val="p"/>
                </m:rPr>
                <m:t>⋆</m:t>
              </m:r>
            </m:sup>
          </m:sSup>
          <m:d>
            <m:dPr>
              <m:begChr m:val="("/>
              <m:sepChr m:val=""/>
              <m:endChr m:val=")"/>
              <m:grow/>
            </m:dPr>
            <m:e>
              <m:r>
                <m:t>q</m:t>
              </m:r>
              <m:r>
                <m:rPr>
                  <m:sty m:val="p"/>
                </m:rPr>
                <m:t>,</m:t>
              </m:r>
              <m:r>
                <m:t>E</m:t>
              </m:r>
            </m:e>
          </m:d>
          <m:r>
            <m:rPr>
              <m:sty m:val="p"/>
            </m:rPr>
            <m:t>=</m:t>
          </m:r>
          <m:limLow>
            <m:e>
              <m:r>
                <m:rPr>
                  <m:sty m:val="p"/>
                </m:rPr>
                <m:t>max</m:t>
              </m:r>
            </m:e>
            <m:lim>
              <m:r>
                <m:t>k</m:t>
              </m:r>
            </m:lim>
          </m:limLow>
          <m:sSubSup>
            <m:e>
              <m:r>
                <m:t>Q</m:t>
              </m:r>
            </m:e>
            <m:sub>
              <m:r>
                <m:t>1</m:t>
              </m:r>
              <m:r>
                <m:rPr>
                  <m:sty m:val="p"/>
                </m:rPr>
                <m:t>−</m:t>
              </m:r>
              <m:r>
                <m:t>α</m:t>
              </m:r>
            </m:sub>
            <m:sup>
              <m:d>
                <m:dPr>
                  <m:begChr m:val="("/>
                  <m:sepChr m:val=""/>
                  <m:endChr m:val=")"/>
                  <m:grow/>
                </m:dPr>
                <m:e>
                  <m:r>
                    <m:t>k</m:t>
                  </m:r>
                </m:e>
              </m:d>
            </m:sup>
          </m:sSubSup>
          <m:d>
            <m:dPr>
              <m:begChr m:val="("/>
              <m:sepChr m:val=""/>
              <m:endChr m:val=")"/>
              <m:grow/>
            </m:dPr>
            <m:e>
              <m:sSub>
                <m:e>
                  <m:r>
                    <m:t>f</m:t>
                  </m:r>
                </m:e>
                <m:sub>
                  <m:r>
                    <m:t>θ</m:t>
                  </m:r>
                </m:sub>
              </m:sSub>
              <m:d>
                <m:dPr>
                  <m:begChr m:val="("/>
                  <m:sepChr m:val=""/>
                  <m:endChr m:val=")"/>
                  <m:grow/>
                </m:dPr>
                <m:e>
                  <m:r>
                    <m:t>q</m:t>
                  </m:r>
                  <m:r>
                    <m:rPr>
                      <m:sty m:val="p"/>
                    </m:rPr>
                    <m:t>,</m:t>
                  </m:r>
                  <m:r>
                    <m:t>E</m:t>
                  </m:r>
                </m:e>
              </m:d>
            </m:e>
          </m:d>
          <m:r>
            <m:rPr>
              <m:sty m:val="p"/>
            </m:rPr>
            <m:t>,</m:t>
          </m:r>
        </m:oMath>
      </m:oMathPara>
    </w:p>
    <w:p>
      <w:pPr>
        <w:spacing w:after="120"/>
        <w:jc w:val="both"/>
      </w:pPr>
      <m:oMath>
        <m:sSub>
          <m:e>
            <m:r>
              <m:t>T</m:t>
            </m:r>
          </m:e>
          <m:sub>
            <m:r>
              <m:t>w</m:t>
            </m:r>
          </m:sub>
        </m:sSub>
      </m:oMath>
      <w:r>
        <w:t xml:space="preserve"> is the potential at which chloride reaches 250 mg/L at well </w:t>
      </w:r>
      <m:oMath>
        <m:r>
          <m:t>w</m:t>
        </m:r>
      </m:oMath>
      <w:r>
        <w:t xml:space="preserve"> and </w:t>
      </w:r>
      <m:oMath>
        <m:sSubSup>
          <m:e>
            <m:r>
              <m:t>Q</m:t>
            </m:r>
          </m:e>
          <m:sub>
            <m:r>
              <m:t>1</m:t>
            </m:r>
            <m:r>
              <m:rPr>
                <m:sty m:val="p"/>
              </m:rPr>
              <m:t>−</m:t>
            </m:r>
            <m:r>
              <m:t>α</m:t>
            </m:r>
          </m:sub>
          <m:sup>
            <m:d>
              <m:dPr>
                <m:begChr m:val="("/>
                <m:sepChr m:val=""/>
                <m:endChr m:val=")"/>
                <m:grow/>
              </m:dPr>
              <m:e>
                <m:r>
                  <m:t>k</m:t>
                </m:r>
              </m:e>
            </m:d>
          </m:sup>
        </m:sSubSup>
      </m:oMath>
      <w:r>
        <w:t xml:space="preserve"> the </w:t>
      </w:r>
      <m:oMath>
        <m:d>
          <m:dPr>
            <m:begChr m:val="("/>
            <m:sepChr m:val=""/>
            <m:endChr m:val=")"/>
            <m:grow/>
          </m:dPr>
          <m:e>
            <m:r>
              <m:t>1</m:t>
            </m:r>
            <m:r>
              <m:rPr>
                <m:sty m:val="p"/>
              </m:rPr>
              <m:t>−</m:t>
            </m:r>
            <m:r>
              <m:t>α</m:t>
            </m:r>
          </m:e>
        </m:d>
      </m:oMath>
      <w:r>
        <w:t xml:space="preserve"> quantile under belief </w:t>
      </w:r>
      <m:oMath>
        <m:r>
          <m:t>k</m:t>
        </m:r>
      </m:oMath>
      <w:r>
        <w:t xml:space="preserve">. The emergency stop is safe for every stakeholder if and only if </w:t>
      </w:r>
      <m:oMath>
        <m:sSub>
          <m:e>
            <m:r>
              <m:t>f</m:t>
            </m:r>
          </m:e>
          <m:sub>
            <m:r>
              <m:t>r</m:t>
            </m:r>
          </m:sub>
        </m:sSub>
        <m:r>
          <m:rPr>
            <m:sty m:val="p"/>
          </m:rPr>
          <m:t>≥</m:t>
        </m:r>
        <m:sSup>
          <m:e>
            <m:r>
              <m:t>f</m:t>
            </m:r>
          </m:e>
          <m:sup>
            <m:r>
              <m:rPr>
                <m:sty m:val="p"/>
              </m:rPr>
              <m:t>⋆</m:t>
            </m:r>
          </m:sup>
        </m:sSup>
        <m:d>
          <m:dPr>
            <m:begChr m:val="("/>
            <m:sepChr m:val=""/>
            <m:endChr m:val=")"/>
            <m:grow/>
          </m:dPr>
          <m:e>
            <m:r>
              <m:t>q</m:t>
            </m:r>
            <m:r>
              <m:rPr>
                <m:sty m:val="p"/>
              </m:rPr>
              <m:t>,</m:t>
            </m:r>
            <m:r>
              <m:t>E</m:t>
            </m:r>
          </m:e>
        </m:d>
      </m:oMath>
      <w:r>
        <w:t xml:space="preserve">; </w:t>
      </w:r>
      <m:oMath>
        <m:sSup>
          <m:e>
            <m:r>
              <m:t>f</m:t>
            </m:r>
          </m:e>
          <m:sup>
            <m:r>
              <m:rPr>
                <m:sty m:val="p"/>
              </m:rPr>
              <m:t>⋆</m:t>
            </m:r>
          </m:sup>
        </m:sSup>
      </m:oMath>
      <w:r>
        <w:t xml:space="preserve"> is non-increasing in the recharge and non-decreasing in the unlicensed pumping, and the recharge that makes a stop safe at recharge factor </w:t>
      </w:r>
      <m:oMath>
        <m:r>
          <m:t>f</m:t>
        </m:r>
      </m:oMath>
      <w:r>
        <w:t xml:space="preserve"> is </w:t>
      </w:r>
      <m:oMath>
        <m:sSup>
          <m:e>
            <m:r>
              <m:t>q</m:t>
            </m:r>
          </m:e>
          <m:sup>
            <m:r>
              <m:rPr>
                <m:sty m:val="p"/>
              </m:rPr>
              <m:t>⋆</m:t>
            </m:r>
          </m:sup>
        </m:sSup>
        <m:d>
          <m:dPr>
            <m:begChr m:val="("/>
            <m:sepChr m:val=""/>
            <m:endChr m:val=")"/>
            <m:grow/>
          </m:dPr>
          <m:e>
            <m:r>
              <m:t>f</m:t>
            </m:r>
            <m:r>
              <m:rPr>
                <m:sty m:val="p"/>
              </m:rPr>
              <m:t>,</m:t>
            </m:r>
            <m:r>
              <m:t>E</m:t>
            </m:r>
          </m:e>
        </m:d>
        <m:r>
          <m:rPr>
            <m:sty m:val="p"/>
          </m:rPr>
          <m:t>=</m:t>
        </m:r>
        <m:r>
          <m:rPr>
            <m:sty m:val="p"/>
          </m:rPr>
          <m:t>min</m:t>
        </m:r>
        <m:d>
          <m:dPr>
            <m:begChr m:val="{"/>
            <m:sepChr m:val=""/>
            <m:endChr m:val="}"/>
            <m:grow/>
          </m:dPr>
          <m:e>
            <m:r>
              <m:t>q</m:t>
            </m:r>
            <m:r>
              <m:rPr>
                <m:sty m:val="p"/>
              </m:rPr>
              <m:t>:</m:t>
            </m:r>
            <m:r>
              <m:t> </m:t>
            </m:r>
            <m:sSup>
              <m:e>
                <m:r>
                  <m:t>f</m:t>
                </m:r>
              </m:e>
              <m:sup>
                <m:r>
                  <m:rPr>
                    <m:sty m:val="p"/>
                  </m:rPr>
                  <m:t>⋆</m:t>
                </m:r>
              </m:sup>
            </m:sSup>
            <m:d>
              <m:dPr>
                <m:begChr m:val="("/>
                <m:sepChr m:val=""/>
                <m:endChr m:val=")"/>
                <m:grow/>
              </m:dPr>
              <m:e>
                <m:r>
                  <m:t>q</m:t>
                </m:r>
                <m:r>
                  <m:rPr>
                    <m:sty m:val="p"/>
                  </m:rPr>
                  <m:t>,</m:t>
                </m:r>
                <m:r>
                  <m:t>E</m:t>
                </m:r>
              </m:e>
            </m:d>
            <m:r>
              <m:rPr>
                <m:sty m:val="p"/>
              </m:rPr>
              <m:t>≤</m:t>
            </m:r>
            <m:r>
              <m:t>f</m:t>
            </m:r>
          </m:e>
        </m:d>
      </m:oMath>
      <w:r>
        <w:t xml:space="preserve">. </w:t>
      </w:r>
      <w:r>
        <w:rPr>
          <w:i/>
          <w:iCs/>
        </w:rPr>
        <w:t xml:space="preserve">Proof.</w:t>
      </w:r>
      <w:r>
        <w:t xml:space="preserve"> </w:t>
      </w:r>
      <m:oMath>
        <m:sSub>
          <m:e>
            <m:r>
              <m:t>ϕ</m:t>
            </m:r>
          </m:e>
          <m:sub>
            <m:r>
              <m:t>0</m:t>
            </m:r>
          </m:sub>
        </m:sSub>
        <m:r>
          <m:rPr>
            <m:sty m:val="p"/>
          </m:rPr>
          <m:t>&gt;</m:t>
        </m:r>
        <m:r>
          <m:t>0</m:t>
        </m:r>
      </m:oMath>
      <w:r>
        <w:t xml:space="preserve"> for every draw, so </w:t>
      </w:r>
      <m:oMath>
        <m:sSub>
          <m:e>
            <m:r>
              <m:t>ϕ</m:t>
            </m:r>
          </m:e>
          <m:sub>
            <m:r>
              <m:t>r</m:t>
            </m:r>
          </m:sub>
        </m:sSub>
        <m:r>
          <m:rPr>
            <m:sty m:val="p"/>
          </m:rPr>
          <m:t>&lt;</m:t>
        </m:r>
        <m:r>
          <m:t>T</m:t>
        </m:r>
      </m:oMath>
      <w:r>
        <w:t xml:space="preserve"> at a well is </w:t>
      </w:r>
      <m:oMath>
        <m:sSub>
          <m:e>
            <m:r>
              <m:t>f</m:t>
            </m:r>
          </m:e>
          <m:sub>
            <m:r>
              <m:t>r</m:t>
            </m:r>
          </m:sub>
        </m:sSub>
        <m:r>
          <m:rPr>
            <m:sty m:val="p"/>
          </m:rPr>
          <m:t>&lt;</m:t>
        </m:r>
        <m:d>
          <m:dPr>
            <m:begChr m:val="("/>
            <m:sepChr m:val=""/>
            <m:endChr m:val=")"/>
            <m:grow/>
          </m:dPr>
          <m:e>
            <m:r>
              <m:t>T</m:t>
            </m:r>
            <m:r>
              <m:rPr>
                <m:sty m:val="p"/>
              </m:rPr>
              <m:t>−</m:t>
            </m:r>
            <m:r>
              <m:t>q</m:t>
            </m:r>
            <m:r>
              <m:t> </m:t>
            </m:r>
            <m:sSub>
              <m:e>
                <m:r>
                  <m:t>r</m:t>
                </m:r>
              </m:e>
              <m:sub>
                <m:r>
                  <m:t>S</m:t>
                </m:r>
              </m:sub>
            </m:sSub>
            <m:r>
              <m:rPr>
                <m:sty m:val="p"/>
              </m:rPr>
              <m:t>+</m:t>
            </m:r>
            <m:r>
              <m:t>E</m:t>
            </m:r>
            <m:r>
              <m:t> </m:t>
            </m:r>
            <m:sSub>
              <m:e>
                <m:r>
                  <m:t>r</m:t>
                </m:r>
              </m:e>
              <m:sub>
                <m:r>
                  <m:t>H</m:t>
                </m:r>
              </m:sub>
            </m:sSub>
          </m:e>
        </m:d>
        <m:r>
          <m:rPr>
            <m:sty m:val="p"/>
          </m:rPr>
          <m:t>/</m:t>
        </m:r>
        <m:sSub>
          <m:e>
            <m:r>
              <m:t>ϕ</m:t>
            </m:r>
          </m:e>
          <m:sub>
            <m:r>
              <m:t>0</m:t>
            </m:r>
          </m:sub>
        </m:sSub>
      </m:oMath>
      <w:r>
        <w:t xml:space="preserve">, and </w:t>
      </w:r>
      <m:oMath>
        <m:r>
          <m:t>F</m:t>
        </m:r>
      </m:oMath>
      <w:r>
        <w:t xml:space="preserve"> is the union over the two wells; </w:t>
      </w:r>
      <m:oMath>
        <m:sSub>
          <m:e>
            <m:r>
              <m:t>f</m:t>
            </m:r>
          </m:e>
          <m:sub>
            <m:r>
              <m:t>θ</m:t>
            </m:r>
          </m:sub>
        </m:sSub>
      </m:oMath>
      <w:r>
        <w:t xml:space="preserve"> falls with </w:t>
      </w:r>
      <m:oMath>
        <m:r>
          <m:t>q</m:t>
        </m:r>
      </m:oMath>
      <w:r>
        <w:t xml:space="preserve"> and grows with </w:t>
      </w:r>
      <m:oMath>
        <m:r>
          <m:t>E</m:t>
        </m:r>
      </m:oMath>
      <w:r>
        <w:t xml:space="preserve"> in every draw, so do its quantiles. </w:t>
      </w:r>
      <m:oMath>
        <m:r>
          <m:rPr>
            <m:sty m:val="p"/>
          </m:rPr>
          <m:t>▫</m:t>
        </m:r>
      </m:oMath>
      <w:r>
        <w:t xml:space="preserve"> The threshold </w:t>
      </w:r>
      <m:oMath>
        <m:sSup>
          <m:e>
            <m:r>
              <m:t>f</m:t>
            </m:r>
          </m:e>
          <m:sup>
            <m:r>
              <m:rPr>
                <m:sty m:val="p"/>
              </m:rPr>
              <m:t>⋆</m:t>
            </m:r>
          </m:sup>
        </m:sSup>
      </m:oMath>
      <w:r>
        <w:t xml:space="preserve"> is a number on the same objective scale as the trigger, computed before the drought: below it the plan says in advance that no local decision meets the limit, and </w:t>
      </w:r>
      <m:oMath>
        <m:sSup>
          <m:e>
            <m:r>
              <m:t>q</m:t>
            </m:r>
          </m:e>
          <m:sup>
            <m:r>
              <m:rPr>
                <m:sty m:val="p"/>
              </m:rPr>
              <m:t>⋆</m:t>
            </m:r>
          </m:sup>
        </m:sSup>
      </m:oMath>
      <w:r>
        <w:t xml:space="preserve"> says what infrastructure would.</w:t>
      </w:r>
    </w:p>
    <w:p>
      <w:pPr>
        <w:pStyle w:val="Heading3"/>
      </w:pPr>
      <w:r>
        <w:rPr>
          <w:color w:val="1F3864"/>
        </w:rPr>
        <w:t xml:space="preserve">9.6 The test: four weathers, four rules, the same 2,000 truths</w:t>
      </w:r>
    </w:p>
    <w:p>
      <w:pPr>
        <w:spacing w:after="120"/>
        <w:jc w:val="both"/>
      </w:pPr>
      <w:r>
        <w:t xml:space="preserve">The test reuses the 2,000 truths, the five stated beliefs, the action grid (61 pumping scales, recharge of 0, 2,500, 5,000 or 10,000 m³/d at each of three sites) and the certified margin of VENDIMI-GO, with no new data. The four regimes are storylines (Table 9.1): their numbers are plausible values chosen for the test, to be replaced by the stakeholders' own in a workshop, not estimates. Each operator's overshoot in each truth is one normal draw scaled to the regime; the plan integrates over it with 15 Gauss–Hermite nodes. Realised risks are the share of truths in which A1 or P10 exceeds 250 mg/L, weighted by the calibrated ensemble and by each stakeholder's belief, with one Monte Carlo standard error.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300"/>
        <w:gridCol w:w="1050"/>
        <w:gridCol w:w="1250"/>
        <w:gridCol w:w="1300"/>
        <w:gridCol w:w="1450"/>
        <w:gridCol w:w="2288"/>
      </w:tblGrid>
      <w:tr>
        <w:trPr>
          <w:cantSplit/>
          <w:tblHeader/>
        </w:trPr>
        <w:tc>
          <w:tcPr>
            <w:tcW w:type="dxa" w:w="2300"/>
            <w:shd w:fill="1F3864" w:color="auto" w:val="clear"/>
            <w:tcMar>
              <w:top w:type="dxa" w:w="60"/>
              <w:left w:type="dxa" w:w="100"/>
              <w:bottom w:type="dxa" w:w="60"/>
              <w:right w:type="dxa" w:w="100"/>
            </w:tcMar>
            <w:vAlign w:val="top"/>
          </w:tcPr>
          <w:p>
            <w:r>
              <w:rPr>
                <w:b/>
                <w:bCs/>
                <w:color w:val="FFFFFF"/>
                <w:sz w:val="14"/>
                <w:szCs w:val="14"/>
              </w:rPr>
              <w:t xml:space="preserve">Regime</w:t>
            </w:r>
          </w:p>
        </w:tc>
        <w:tc>
          <w:tcPr>
            <w:tcW w:type="dxa" w:w="1050"/>
            <w:shd w:fill="1F3864" w:color="auto" w:val="clear"/>
            <w:tcMar>
              <w:top w:type="dxa" w:w="60"/>
              <w:left w:type="dxa" w:w="100"/>
              <w:bottom w:type="dxa" w:w="60"/>
              <w:right w:type="dxa" w:w="100"/>
            </w:tcMar>
            <w:vAlign w:val="top"/>
          </w:tcPr>
          <w:p>
            <w:r>
              <w:rPr>
                <w:b/>
                <w:bCs/>
                <w:color w:val="FFFFFF"/>
                <w:sz w:val="14"/>
                <w:szCs w:val="14"/>
              </w:rPr>
              <w:t xml:space="preserve">Recharge factor</w:t>
            </w:r>
          </w:p>
        </w:tc>
        <w:tc>
          <w:tcPr>
            <w:tcW w:type="dxa" w:w="1250"/>
            <w:shd w:fill="1F3864" w:color="auto" w:val="clear"/>
            <w:tcMar>
              <w:top w:type="dxa" w:w="60"/>
              <w:left w:type="dxa" w:w="100"/>
              <w:bottom w:type="dxa" w:w="60"/>
              <w:right w:type="dxa" w:w="100"/>
            </w:tcMar>
            <w:vAlign w:val="top"/>
          </w:tcPr>
          <w:p>
            <w:r>
              <w:rPr>
                <w:b/>
                <w:bCs/>
                <w:color w:val="FFFFFF"/>
                <w:sz w:val="14"/>
                <w:szCs w:val="14"/>
              </w:rPr>
              <w:t xml:space="preserve">Overshoot: mean ± sd</w:t>
            </w:r>
          </w:p>
        </w:tc>
        <w:tc>
          <w:tcPr>
            <w:tcW w:type="dxa" w:w="1300"/>
            <w:shd w:fill="1F3864" w:color="auto" w:val="clear"/>
            <w:tcMar>
              <w:top w:type="dxa" w:w="60"/>
              <w:left w:type="dxa" w:w="100"/>
              <w:bottom w:type="dxa" w:w="60"/>
              <w:right w:type="dxa" w:w="100"/>
            </w:tcMar>
            <w:vAlign w:val="top"/>
          </w:tcPr>
          <w:p>
            <w:r>
              <w:rPr>
                <w:b/>
                <w:bCs/>
                <w:color w:val="FFFFFF"/>
                <w:sz w:val="14"/>
                <w:szCs w:val="14"/>
              </w:rPr>
              <w:t xml:space="preserve">Unlicensed pumping (m³/d)</w:t>
            </w:r>
          </w:p>
        </w:tc>
        <w:tc>
          <w:tcPr>
            <w:tcW w:type="dxa" w:w="1450"/>
            <w:shd w:fill="1F3864" w:color="auto" w:val="clear"/>
            <w:tcMar>
              <w:top w:type="dxa" w:w="60"/>
              <w:left w:type="dxa" w:w="100"/>
              <w:bottom w:type="dxa" w:w="60"/>
              <w:right w:type="dxa" w:w="100"/>
            </w:tcMar>
            <w:vAlign w:val="top"/>
          </w:tcPr>
          <w:p>
            <w:r>
              <w:rPr>
                <w:b/>
                <w:bCs/>
                <w:color w:val="FFFFFF"/>
                <w:sz w:val="14"/>
                <w:szCs w:val="14"/>
              </w:rPr>
              <w:t xml:space="preserve">Recharge capacity (m³/d per site)</w:t>
            </w:r>
          </w:p>
        </w:tc>
        <w:tc>
          <w:tcPr>
            <w:tcW w:type="dxa" w:w="2288"/>
            <w:shd w:fill="1F3864" w:color="auto" w:val="clear"/>
            <w:tcMar>
              <w:top w:type="dxa" w:w="60"/>
              <w:left w:type="dxa" w:w="100"/>
              <w:bottom w:type="dxa" w:w="60"/>
              <w:right w:type="dxa" w:w="100"/>
            </w:tcMar>
            <w:vAlign w:val="top"/>
          </w:tcPr>
          <w:p>
            <w:r>
              <w:rPr>
                <w:b/>
                <w:bCs/>
                <w:color w:val="FFFFFF"/>
                <w:sz w:val="14"/>
                <w:szCs w:val="14"/>
              </w:rPr>
              <w:t xml:space="preserve">Crisis: polarisation, salience, weighting (equivalent limit)</w:t>
            </w:r>
          </w:p>
        </w:tc>
      </w:tr>
      <w:tr>
        <w:trPr>
          <w:cantSplit/>
        </w:trPr>
        <w:tc>
          <w:tcPr>
            <w:tcW w:type="dxa" w:w="2300"/>
            <w:tcMar>
              <w:top w:type="dxa" w:w="60"/>
              <w:left w:type="dxa" w:w="100"/>
              <w:bottom w:type="dxa" w:w="60"/>
              <w:right w:type="dxa" w:w="100"/>
            </w:tcMar>
            <w:vAlign w:val="top"/>
          </w:tcPr>
          <w:p>
            <w:r>
              <w:rPr>
                <w:sz w:val="14"/>
                <w:szCs w:val="14"/>
              </w:rPr>
              <w:t xml:space="preserve">Normal year</w:t>
            </w:r>
          </w:p>
        </w:tc>
        <w:tc>
          <w:tcPr>
            <w:tcW w:type="dxa" w:w="1050"/>
            <w:tcMar>
              <w:top w:type="dxa" w:w="60"/>
              <w:left w:type="dxa" w:w="100"/>
              <w:bottom w:type="dxa" w:w="60"/>
              <w:right w:type="dxa" w:w="100"/>
            </w:tcMar>
            <w:vAlign w:val="top"/>
          </w:tcPr>
          <w:p>
            <w:r>
              <w:rPr>
                <w:sz w:val="14"/>
                <w:szCs w:val="14"/>
              </w:rPr>
              <w:t xml:space="preserve">1.00</w:t>
            </w:r>
          </w:p>
        </w:tc>
        <w:tc>
          <w:tcPr>
            <w:tcW w:type="dxa" w:w="1250"/>
            <w:tcMar>
              <w:top w:type="dxa" w:w="60"/>
              <w:left w:type="dxa" w:w="100"/>
              <w:bottom w:type="dxa" w:w="60"/>
              <w:right w:type="dxa" w:w="100"/>
            </w:tcMar>
            <w:vAlign w:val="top"/>
          </w:tcPr>
          <w:p>
            <w:r>
              <w:rPr>
                <w:sz w:val="14"/>
                <w:szCs w:val="14"/>
              </w:rPr>
              <w:t xml:space="preserve">0.00 ± 0.05</w:t>
            </w:r>
          </w:p>
        </w:tc>
        <w:tc>
          <w:tcPr>
            <w:tcW w:type="dxa" w:w="1300"/>
            <w:tcMar>
              <w:top w:type="dxa" w:w="60"/>
              <w:left w:type="dxa" w:w="100"/>
              <w:bottom w:type="dxa" w:w="60"/>
              <w:right w:type="dxa" w:w="100"/>
            </w:tcMar>
            <w:vAlign w:val="top"/>
          </w:tcPr>
          <w:p>
            <w:r>
              <w:rPr>
                <w:sz w:val="14"/>
                <w:szCs w:val="14"/>
              </w:rPr>
              <w:t xml:space="preserve">0</w:t>
            </w:r>
          </w:p>
        </w:tc>
        <w:tc>
          <w:tcPr>
            <w:tcW w:type="dxa" w:w="1450"/>
            <w:tcMar>
              <w:top w:type="dxa" w:w="60"/>
              <w:left w:type="dxa" w:w="100"/>
              <w:bottom w:type="dxa" w:w="60"/>
              <w:right w:type="dxa" w:w="100"/>
            </w:tcMar>
            <w:vAlign w:val="top"/>
          </w:tcPr>
          <w:p>
            <w:r>
              <w:rPr>
                <w:sz w:val="14"/>
                <w:szCs w:val="14"/>
              </w:rPr>
              <w:t xml:space="preserve">10,000</w:t>
            </w:r>
          </w:p>
        </w:tc>
        <w:tc>
          <w:tcPr>
            <w:tcW w:type="dxa" w:w="2288"/>
            <w:tcMar>
              <w:top w:type="dxa" w:w="60"/>
              <w:left w:type="dxa" w:w="100"/>
              <w:bottom w:type="dxa" w:w="60"/>
              <w:right w:type="dxa" w:w="100"/>
            </w:tcMar>
            <w:vAlign w:val="top"/>
          </w:tcPr>
          <w:p>
            <w:r>
              <w:rPr>
                <w:sz w:val="14"/>
                <w:szCs w:val="14"/>
              </w:rPr>
              <w:t xml:space="preserve">1.00, 0.00, 1.00 (0.100)</w:t>
            </w:r>
          </w:p>
        </w:tc>
      </w:tr>
      <w:tr>
        <w:trPr>
          <w:cantSplit/>
        </w:trPr>
        <w:tc>
          <w:tcPr>
            <w:tcW w:type="dxa" w:w="2300"/>
            <w:shd w:fill="F7F9FC" w:color="auto" w:val="clear"/>
            <w:tcMar>
              <w:top w:type="dxa" w:w="60"/>
              <w:left w:type="dxa" w:w="100"/>
              <w:bottom w:type="dxa" w:w="60"/>
              <w:right w:type="dxa" w:w="100"/>
            </w:tcMar>
            <w:vAlign w:val="top"/>
          </w:tcPr>
          <w:p>
            <w:r>
              <w:rPr>
                <w:sz w:val="14"/>
                <w:szCs w:val="14"/>
              </w:rPr>
              <w:t xml:space="preserve">Dry year</w:t>
            </w:r>
          </w:p>
        </w:tc>
        <w:tc>
          <w:tcPr>
            <w:tcW w:type="dxa" w:w="1050"/>
            <w:shd w:fill="F7F9FC" w:color="auto" w:val="clear"/>
            <w:tcMar>
              <w:top w:type="dxa" w:w="60"/>
              <w:left w:type="dxa" w:w="100"/>
              <w:bottom w:type="dxa" w:w="60"/>
              <w:right w:type="dxa" w:w="100"/>
            </w:tcMar>
            <w:vAlign w:val="top"/>
          </w:tcPr>
          <w:p>
            <w:r>
              <w:rPr>
                <w:sz w:val="14"/>
                <w:szCs w:val="14"/>
              </w:rPr>
              <w:t xml:space="preserve">0.75</w:t>
            </w:r>
          </w:p>
        </w:tc>
        <w:tc>
          <w:tcPr>
            <w:tcW w:type="dxa" w:w="1250"/>
            <w:shd w:fill="F7F9FC" w:color="auto" w:val="clear"/>
            <w:tcMar>
              <w:top w:type="dxa" w:w="60"/>
              <w:left w:type="dxa" w:w="100"/>
              <w:bottom w:type="dxa" w:w="60"/>
              <w:right w:type="dxa" w:w="100"/>
            </w:tcMar>
            <w:vAlign w:val="top"/>
          </w:tcPr>
          <w:p>
            <w:r>
              <w:rPr>
                <w:sz w:val="14"/>
                <w:szCs w:val="14"/>
              </w:rPr>
              <w:t xml:space="preserve">0.05 ± 0.10</w:t>
            </w:r>
          </w:p>
        </w:tc>
        <w:tc>
          <w:tcPr>
            <w:tcW w:type="dxa" w:w="1300"/>
            <w:shd w:fill="F7F9FC" w:color="auto" w:val="clear"/>
            <w:tcMar>
              <w:top w:type="dxa" w:w="60"/>
              <w:left w:type="dxa" w:w="100"/>
              <w:bottom w:type="dxa" w:w="60"/>
              <w:right w:type="dxa" w:w="100"/>
            </w:tcMar>
            <w:vAlign w:val="top"/>
          </w:tcPr>
          <w:p>
            <w:r>
              <w:rPr>
                <w:sz w:val="14"/>
                <w:szCs w:val="14"/>
              </w:rPr>
              <w:t xml:space="preserve">1,000</w:t>
            </w:r>
          </w:p>
        </w:tc>
        <w:tc>
          <w:tcPr>
            <w:tcW w:type="dxa" w:w="1450"/>
            <w:shd w:fill="F7F9FC" w:color="auto" w:val="clear"/>
            <w:tcMar>
              <w:top w:type="dxa" w:w="60"/>
              <w:left w:type="dxa" w:w="100"/>
              <w:bottom w:type="dxa" w:w="60"/>
              <w:right w:type="dxa" w:w="100"/>
            </w:tcMar>
            <w:vAlign w:val="top"/>
          </w:tcPr>
          <w:p>
            <w:r>
              <w:rPr>
                <w:sz w:val="14"/>
                <w:szCs w:val="14"/>
              </w:rPr>
              <w:t xml:space="preserve">10,000</w:t>
            </w:r>
          </w:p>
        </w:tc>
        <w:tc>
          <w:tcPr>
            <w:tcW w:type="dxa" w:w="2288"/>
            <w:shd w:fill="F7F9FC" w:color="auto" w:val="clear"/>
            <w:tcMar>
              <w:top w:type="dxa" w:w="60"/>
              <w:left w:type="dxa" w:w="100"/>
              <w:bottom w:type="dxa" w:w="60"/>
              <w:right w:type="dxa" w:w="100"/>
            </w:tcMar>
            <w:vAlign w:val="top"/>
          </w:tcPr>
          <w:p>
            <w:r>
              <w:rPr>
                <w:sz w:val="14"/>
                <w:szCs w:val="14"/>
              </w:rPr>
              <w:t xml:space="preserve">1.25, 0.15, 0.90 (0.080)</w:t>
            </w:r>
          </w:p>
        </w:tc>
      </w:tr>
      <w:tr>
        <w:trPr>
          <w:cantSplit/>
        </w:trPr>
        <w:tc>
          <w:tcPr>
            <w:tcW w:type="dxa" w:w="2300"/>
            <w:tcMar>
              <w:top w:type="dxa" w:w="60"/>
              <w:left w:type="dxa" w:w="100"/>
              <w:bottom w:type="dxa" w:w="60"/>
              <w:right w:type="dxa" w:w="100"/>
            </w:tcMar>
            <w:vAlign w:val="top"/>
          </w:tcPr>
          <w:p>
            <w:r>
              <w:rPr>
                <w:sz w:val="14"/>
                <w:szCs w:val="14"/>
              </w:rPr>
              <w:t xml:space="preserve">Extreme drought</w:t>
            </w:r>
          </w:p>
        </w:tc>
        <w:tc>
          <w:tcPr>
            <w:tcW w:type="dxa" w:w="1050"/>
            <w:tcMar>
              <w:top w:type="dxa" w:w="60"/>
              <w:left w:type="dxa" w:w="100"/>
              <w:bottom w:type="dxa" w:w="60"/>
              <w:right w:type="dxa" w:w="100"/>
            </w:tcMar>
            <w:vAlign w:val="top"/>
          </w:tcPr>
          <w:p>
            <w:r>
              <w:rPr>
                <w:sz w:val="14"/>
                <w:szCs w:val="14"/>
              </w:rPr>
              <w:t xml:space="preserve">0.50</w:t>
            </w:r>
          </w:p>
        </w:tc>
        <w:tc>
          <w:tcPr>
            <w:tcW w:type="dxa" w:w="1250"/>
            <w:tcMar>
              <w:top w:type="dxa" w:w="60"/>
              <w:left w:type="dxa" w:w="100"/>
              <w:bottom w:type="dxa" w:w="60"/>
              <w:right w:type="dxa" w:w="100"/>
            </w:tcMar>
            <w:vAlign w:val="top"/>
          </w:tcPr>
          <w:p>
            <w:r>
              <w:rPr>
                <w:sz w:val="14"/>
                <w:szCs w:val="14"/>
              </w:rPr>
              <w:t xml:space="preserve">0.10 ± 0.15</w:t>
            </w:r>
          </w:p>
        </w:tc>
        <w:tc>
          <w:tcPr>
            <w:tcW w:type="dxa" w:w="1300"/>
            <w:tcMar>
              <w:top w:type="dxa" w:w="60"/>
              <w:left w:type="dxa" w:w="100"/>
              <w:bottom w:type="dxa" w:w="60"/>
              <w:right w:type="dxa" w:w="100"/>
            </w:tcMar>
            <w:vAlign w:val="top"/>
          </w:tcPr>
          <w:p>
            <w:r>
              <w:rPr>
                <w:sz w:val="14"/>
                <w:szCs w:val="14"/>
              </w:rPr>
              <w:t xml:space="preserve">2,000</w:t>
            </w:r>
          </w:p>
        </w:tc>
        <w:tc>
          <w:tcPr>
            <w:tcW w:type="dxa" w:w="1450"/>
            <w:tcMar>
              <w:top w:type="dxa" w:w="60"/>
              <w:left w:type="dxa" w:w="100"/>
              <w:bottom w:type="dxa" w:w="60"/>
              <w:right w:type="dxa" w:w="100"/>
            </w:tcMar>
            <w:vAlign w:val="top"/>
          </w:tcPr>
          <w:p>
            <w:r>
              <w:rPr>
                <w:sz w:val="14"/>
                <w:szCs w:val="14"/>
              </w:rPr>
              <w:t xml:space="preserve">5,000</w:t>
            </w:r>
          </w:p>
        </w:tc>
        <w:tc>
          <w:tcPr>
            <w:tcW w:type="dxa" w:w="2288"/>
            <w:tcMar>
              <w:top w:type="dxa" w:w="60"/>
              <w:left w:type="dxa" w:w="100"/>
              <w:bottom w:type="dxa" w:w="60"/>
              <w:right w:type="dxa" w:w="100"/>
            </w:tcMar>
            <w:vAlign w:val="top"/>
          </w:tcPr>
          <w:p>
            <w:r>
              <w:rPr>
                <w:sz w:val="14"/>
                <w:szCs w:val="14"/>
              </w:rPr>
              <w:t xml:space="preserve">1.50, 0.30, 0.80 (0.059)</w:t>
            </w:r>
          </w:p>
        </w:tc>
      </w:tr>
      <w:tr>
        <w:trPr>
          <w:cantSplit/>
        </w:trPr>
        <w:tc>
          <w:tcPr>
            <w:tcW w:type="dxa" w:w="2300"/>
            <w:shd w:fill="F7F9FC" w:color="auto" w:val="clear"/>
            <w:tcMar>
              <w:top w:type="dxa" w:w="60"/>
              <w:left w:type="dxa" w:w="100"/>
              <w:bottom w:type="dxa" w:w="60"/>
              <w:right w:type="dxa" w:w="100"/>
            </w:tcMar>
            <w:vAlign w:val="top"/>
          </w:tcPr>
          <w:p>
            <w:r>
              <w:rPr>
                <w:sz w:val="14"/>
                <w:szCs w:val="14"/>
              </w:rPr>
              <w:t xml:space="preserve">Extreme drought with heatwave</w:t>
            </w:r>
          </w:p>
        </w:tc>
        <w:tc>
          <w:tcPr>
            <w:tcW w:type="dxa" w:w="1050"/>
            <w:shd w:fill="F7F9FC" w:color="auto" w:val="clear"/>
            <w:tcMar>
              <w:top w:type="dxa" w:w="60"/>
              <w:left w:type="dxa" w:w="100"/>
              <w:bottom w:type="dxa" w:w="60"/>
              <w:right w:type="dxa" w:w="100"/>
            </w:tcMar>
            <w:vAlign w:val="top"/>
          </w:tcPr>
          <w:p>
            <w:r>
              <w:rPr>
                <w:sz w:val="14"/>
                <w:szCs w:val="14"/>
              </w:rPr>
              <w:t xml:space="preserve">0.50</w:t>
            </w:r>
          </w:p>
        </w:tc>
        <w:tc>
          <w:tcPr>
            <w:tcW w:type="dxa" w:w="1250"/>
            <w:shd w:fill="F7F9FC" w:color="auto" w:val="clear"/>
            <w:tcMar>
              <w:top w:type="dxa" w:w="60"/>
              <w:left w:type="dxa" w:w="100"/>
              <w:bottom w:type="dxa" w:w="60"/>
              <w:right w:type="dxa" w:w="100"/>
            </w:tcMar>
            <w:vAlign w:val="top"/>
          </w:tcPr>
          <w:p>
            <w:r>
              <w:rPr>
                <w:sz w:val="14"/>
                <w:szCs w:val="14"/>
              </w:rPr>
              <w:t xml:space="preserve">0.20 ± 0.25</w:t>
            </w:r>
          </w:p>
        </w:tc>
        <w:tc>
          <w:tcPr>
            <w:tcW w:type="dxa" w:w="1300"/>
            <w:shd w:fill="F7F9FC" w:color="auto" w:val="clear"/>
            <w:tcMar>
              <w:top w:type="dxa" w:w="60"/>
              <w:left w:type="dxa" w:w="100"/>
              <w:bottom w:type="dxa" w:w="60"/>
              <w:right w:type="dxa" w:w="100"/>
            </w:tcMar>
            <w:vAlign w:val="top"/>
          </w:tcPr>
          <w:p>
            <w:r>
              <w:rPr>
                <w:sz w:val="14"/>
                <w:szCs w:val="14"/>
              </w:rPr>
              <w:t xml:space="preserve">4,000</w:t>
            </w:r>
          </w:p>
        </w:tc>
        <w:tc>
          <w:tcPr>
            <w:tcW w:type="dxa" w:w="1450"/>
            <w:shd w:fill="F7F9FC" w:color="auto" w:val="clear"/>
            <w:tcMar>
              <w:top w:type="dxa" w:w="60"/>
              <w:left w:type="dxa" w:w="100"/>
              <w:bottom w:type="dxa" w:w="60"/>
              <w:right w:type="dxa" w:w="100"/>
            </w:tcMar>
            <w:vAlign w:val="top"/>
          </w:tcPr>
          <w:p>
            <w:r>
              <w:rPr>
                <w:sz w:val="14"/>
                <w:szCs w:val="14"/>
              </w:rPr>
              <w:t xml:space="preserve">5,000</w:t>
            </w:r>
          </w:p>
        </w:tc>
        <w:tc>
          <w:tcPr>
            <w:tcW w:type="dxa" w:w="2288"/>
            <w:shd w:fill="F7F9FC" w:color="auto" w:val="clear"/>
            <w:tcMar>
              <w:top w:type="dxa" w:w="60"/>
              <w:left w:type="dxa" w:w="100"/>
              <w:bottom w:type="dxa" w:w="60"/>
              <w:right w:type="dxa" w:w="100"/>
            </w:tcMar>
            <w:vAlign w:val="top"/>
          </w:tcPr>
          <w:p>
            <w:r>
              <w:rPr>
                <w:sz w:val="14"/>
                <w:szCs w:val="14"/>
              </w:rPr>
              <w:t xml:space="preserve">2.00, 0.50, 0.70 (0.037)</w:t>
            </w:r>
          </w:p>
        </w:tc>
      </w:tr>
    </w:tbl>
    <w:p>
      <w:pPr>
        <w:spacing w:after="160"/>
      </w:pPr>
    </w:p>
    <w:p>
      <w:pPr>
        <w:spacing w:after="120"/>
      </w:pPr>
      <w:r>
        <w:rPr>
          <w:i/>
          <w:iCs/>
          <w:color w:val="5B6573"/>
          <w:sz w:val="18"/>
          <w:szCs w:val="18"/>
        </w:rPr>
        <w:t xml:space="preserve">Table 9.1. The four weather regimes. The crisis parameters act only on the decision taken in the crisis (IC); </w:t>
      </w:r>
      <m:oMath>
        <m:sSub>
          <m:e>
            <m:r>
              <m:t>α</m:t>
            </m:r>
          </m:e>
          <m:sub>
            <m:r>
              <m:t>γ</m:t>
            </m:r>
          </m:sub>
        </m:sSub>
      </m:oMath>
      <w:r>
        <w:rPr>
          <w:i/>
          <w:iCs/>
          <w:color w:val="5B6573"/>
          <w:sz w:val="18"/>
          <w:szCs w:val="18"/>
        </w:rPr>
        <w:t xml:space="preserve"> is the equivalent limit of Proposition S2.</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500"/>
        <w:gridCol w:w="2100"/>
        <w:gridCol w:w="800"/>
        <w:gridCol w:w="1100"/>
        <w:gridCol w:w="1100"/>
        <w:gridCol w:w="850"/>
        <w:gridCol w:w="1100"/>
        <w:gridCol w:w="1088"/>
      </w:tblGrid>
      <w:tr>
        <w:trPr>
          <w:cantSplit/>
          <w:tblHeader/>
        </w:trPr>
        <w:tc>
          <w:tcPr>
            <w:tcW w:type="dxa" w:w="1500"/>
            <w:shd w:fill="1F3864" w:color="auto" w:val="clear"/>
            <w:tcMar>
              <w:top w:type="dxa" w:w="60"/>
              <w:left w:type="dxa" w:w="100"/>
              <w:bottom w:type="dxa" w:w="60"/>
              <w:right w:type="dxa" w:w="100"/>
            </w:tcMar>
            <w:vAlign w:val="top"/>
          </w:tcPr>
          <w:p>
            <w:r>
              <w:rPr>
                <w:b/>
                <w:bCs/>
                <w:color w:val="FFFFFF"/>
                <w:sz w:val="14"/>
                <w:szCs w:val="14"/>
              </w:rPr>
              <w:t xml:space="preserve">Regime</w:t>
            </w:r>
          </w:p>
        </w:tc>
        <w:tc>
          <w:tcPr>
            <w:tcW w:type="dxa" w:w="2100"/>
            <w:shd w:fill="1F3864" w:color="auto" w:val="clear"/>
            <w:tcMar>
              <w:top w:type="dxa" w:w="60"/>
              <w:left w:type="dxa" w:w="100"/>
              <w:bottom w:type="dxa" w:w="60"/>
              <w:right w:type="dxa" w:w="100"/>
            </w:tcMar>
            <w:vAlign w:val="top"/>
          </w:tcPr>
          <w:p>
            <w:r>
              <w:rPr>
                <w:b/>
                <w:bCs/>
                <w:color w:val="FFFFFF"/>
                <w:sz w:val="14"/>
                <w:szCs w:val="14"/>
              </w:rPr>
              <w:t xml:space="preserve">Rule</w:t>
            </w:r>
          </w:p>
        </w:tc>
        <w:tc>
          <w:tcPr>
            <w:tcW w:type="dxa" w:w="800"/>
            <w:shd w:fill="1F3864" w:color="auto" w:val="clear"/>
            <w:tcMar>
              <w:top w:type="dxa" w:w="60"/>
              <w:left w:type="dxa" w:w="100"/>
              <w:bottom w:type="dxa" w:w="60"/>
              <w:right w:type="dxa" w:w="100"/>
            </w:tcMar>
            <w:vAlign w:val="top"/>
          </w:tcPr>
          <w:p>
            <w:r>
              <w:rPr>
                <w:b/>
                <w:bCs/>
                <w:color w:val="FFFFFF"/>
                <w:sz w:val="14"/>
                <w:szCs w:val="14"/>
              </w:rPr>
              <w:t xml:space="preserve">Pumping scale s</w:t>
            </w:r>
          </w:p>
        </w:tc>
        <w:tc>
          <w:tcPr>
            <w:tcW w:type="dxa" w:w="1100"/>
            <w:shd w:fill="1F3864" w:color="auto" w:val="clear"/>
            <w:tcMar>
              <w:top w:type="dxa" w:w="60"/>
              <w:left w:type="dxa" w:w="100"/>
              <w:bottom w:type="dxa" w:w="60"/>
              <w:right w:type="dxa" w:w="100"/>
            </w:tcMar>
            <w:vAlign w:val="top"/>
          </w:tcPr>
          <w:p>
            <w:r>
              <w:rPr>
                <w:b/>
                <w:bCs/>
                <w:color w:val="FFFFFF"/>
                <w:sz w:val="14"/>
                <w:szCs w:val="14"/>
              </w:rPr>
              <w:t xml:space="preserve">Licensed pumping (m³/d)</w:t>
            </w:r>
          </w:p>
        </w:tc>
        <w:tc>
          <w:tcPr>
            <w:tcW w:type="dxa" w:w="1100"/>
            <w:shd w:fill="1F3864" w:color="auto" w:val="clear"/>
            <w:tcMar>
              <w:top w:type="dxa" w:w="60"/>
              <w:left w:type="dxa" w:w="100"/>
              <w:bottom w:type="dxa" w:w="60"/>
              <w:right w:type="dxa" w:w="100"/>
            </w:tcMar>
            <w:vAlign w:val="top"/>
          </w:tcPr>
          <w:p>
            <w:r>
              <w:rPr>
                <w:b/>
                <w:bCs/>
                <w:color w:val="FFFFFF"/>
                <w:sz w:val="14"/>
                <w:szCs w:val="14"/>
              </w:rPr>
              <w:t xml:space="preserve">Recharge (m³/d per site)</w:t>
            </w:r>
          </w:p>
        </w:tc>
        <w:tc>
          <w:tcPr>
            <w:tcW w:type="dxa" w:w="850"/>
            <w:shd w:fill="1F3864" w:color="auto" w:val="clear"/>
            <w:tcMar>
              <w:top w:type="dxa" w:w="60"/>
              <w:left w:type="dxa" w:w="100"/>
              <w:bottom w:type="dxa" w:w="60"/>
              <w:right w:type="dxa" w:w="100"/>
            </w:tcMar>
            <w:vAlign w:val="top"/>
          </w:tcPr>
          <w:p>
            <w:r>
              <w:rPr>
                <w:b/>
                <w:bCs/>
                <w:color w:val="FFFFFF"/>
                <w:sz w:val="14"/>
                <w:szCs w:val="14"/>
              </w:rPr>
              <w:t xml:space="preserve">Emergency stop</w:t>
            </w:r>
          </w:p>
        </w:tc>
        <w:tc>
          <w:tcPr>
            <w:tcW w:type="dxa" w:w="1100"/>
            <w:shd w:fill="1F3864" w:color="auto" w:val="clear"/>
            <w:tcMar>
              <w:top w:type="dxa" w:w="60"/>
              <w:left w:type="dxa" w:w="100"/>
              <w:bottom w:type="dxa" w:w="60"/>
              <w:right w:type="dxa" w:w="100"/>
            </w:tcMar>
            <w:vAlign w:val="top"/>
          </w:tcPr>
          <w:p>
            <w:r>
              <w:rPr>
                <w:b/>
                <w:bCs/>
                <w:color w:val="FFFFFF"/>
                <w:sz w:val="14"/>
                <w:szCs w:val="14"/>
              </w:rPr>
              <w:t xml:space="preserve">Realised risk (± se)</w:t>
            </w:r>
          </w:p>
        </w:tc>
        <w:tc>
          <w:tcPr>
            <w:tcW w:type="dxa" w:w="1088"/>
            <w:shd w:fill="1F3864" w:color="auto" w:val="clear"/>
            <w:tcMar>
              <w:top w:type="dxa" w:w="60"/>
              <w:left w:type="dxa" w:w="100"/>
              <w:bottom w:type="dxa" w:w="60"/>
              <w:right w:type="dxa" w:w="100"/>
            </w:tcMar>
            <w:vAlign w:val="top"/>
          </w:tcPr>
          <w:p>
            <w:r>
              <w:rPr>
                <w:b/>
                <w:bCs/>
                <w:color w:val="FFFFFF"/>
                <w:sz w:val="14"/>
                <w:szCs w:val="14"/>
              </w:rPr>
              <w:t xml:space="preserve">Most cautious stakeholder (± se)</w:t>
            </w:r>
          </w:p>
        </w:tc>
      </w:tr>
      <w:tr>
        <w:trPr>
          <w:cantSplit/>
        </w:trPr>
        <w:tc>
          <w:tcPr>
            <w:tcW w:type="dxa" w:w="1500"/>
            <w:tcMar>
              <w:top w:type="dxa" w:w="60"/>
              <w:left w:type="dxa" w:w="100"/>
              <w:bottom w:type="dxa" w:w="60"/>
              <w:right w:type="dxa" w:w="100"/>
            </w:tcMar>
            <w:vAlign w:val="top"/>
          </w:tcPr>
          <w:p>
            <w:r>
              <w:rPr>
                <w:sz w:val="14"/>
                <w:szCs w:val="14"/>
              </w:rPr>
              <w:t xml:space="preserve">Normal year</w:t>
            </w:r>
          </w:p>
        </w:tc>
        <w:tc>
          <w:tcPr>
            <w:tcW w:type="dxa" w:w="2100"/>
            <w:tcMar>
              <w:top w:type="dxa" w:w="60"/>
              <w:left w:type="dxa" w:w="100"/>
              <w:bottom w:type="dxa" w:w="60"/>
              <w:right w:type="dxa" w:w="100"/>
            </w:tcMar>
            <w:vAlign w:val="top"/>
          </w:tcPr>
          <w:p>
            <w:r>
              <w:rPr>
                <w:sz w:val="14"/>
                <w:szCs w:val="14"/>
              </w:rPr>
              <w:t xml:space="preserve">All four rules</w:t>
            </w:r>
          </w:p>
        </w:tc>
        <w:tc>
          <w:tcPr>
            <w:tcW w:type="dxa" w:w="800"/>
            <w:tcMar>
              <w:top w:type="dxa" w:w="60"/>
              <w:left w:type="dxa" w:w="100"/>
              <w:bottom w:type="dxa" w:w="60"/>
              <w:right w:type="dxa" w:w="100"/>
            </w:tcMar>
            <w:vAlign w:val="top"/>
          </w:tcPr>
          <w:p>
            <w:r>
              <w:rPr>
                <w:sz w:val="14"/>
                <w:szCs w:val="14"/>
              </w:rPr>
              <w:t xml:space="preserve">0.80</w:t>
            </w:r>
          </w:p>
        </w:tc>
        <w:tc>
          <w:tcPr>
            <w:tcW w:type="dxa" w:w="1100"/>
            <w:tcMar>
              <w:top w:type="dxa" w:w="60"/>
              <w:left w:type="dxa" w:w="100"/>
              <w:bottom w:type="dxa" w:w="60"/>
              <w:right w:type="dxa" w:w="100"/>
            </w:tcMar>
            <w:vAlign w:val="top"/>
          </w:tcPr>
          <w:p>
            <w:r>
              <w:rPr>
                <w:sz w:val="14"/>
                <w:szCs w:val="14"/>
              </w:rPr>
              <w:t xml:space="preserve">9,648</w:t>
            </w:r>
          </w:p>
        </w:tc>
        <w:tc>
          <w:tcPr>
            <w:tcW w:type="dxa" w:w="1100"/>
            <w:tcMar>
              <w:top w:type="dxa" w:w="60"/>
              <w:left w:type="dxa" w:w="100"/>
              <w:bottom w:type="dxa" w:w="60"/>
              <w:right w:type="dxa" w:w="100"/>
            </w:tcMar>
            <w:vAlign w:val="top"/>
          </w:tcPr>
          <w:p>
            <w:r>
              <w:rPr>
                <w:sz w:val="14"/>
                <w:szCs w:val="14"/>
              </w:rPr>
              <w:t xml:space="preserve">5,000</w:t>
            </w:r>
          </w:p>
        </w:tc>
        <w:tc>
          <w:tcPr>
            <w:tcW w:type="dxa" w:w="850"/>
            <w:tcMar>
              <w:top w:type="dxa" w:w="60"/>
              <w:left w:type="dxa" w:w="100"/>
              <w:bottom w:type="dxa" w:w="60"/>
              <w:right w:type="dxa" w:w="100"/>
            </w:tcMar>
            <w:vAlign w:val="top"/>
          </w:tcPr>
          <w:p>
            <w:r>
              <w:rPr>
                <w:sz w:val="14"/>
                <w:szCs w:val="14"/>
              </w:rPr>
              <w:t xml:space="preserve">no</w:t>
            </w:r>
          </w:p>
        </w:tc>
        <w:tc>
          <w:tcPr>
            <w:tcW w:type="dxa" w:w="1100"/>
            <w:tcMar>
              <w:top w:type="dxa" w:w="60"/>
              <w:left w:type="dxa" w:w="100"/>
              <w:bottom w:type="dxa" w:w="60"/>
              <w:right w:type="dxa" w:w="100"/>
            </w:tcMar>
            <w:vAlign w:val="top"/>
          </w:tcPr>
          <w:p>
            <w:r>
              <w:rPr>
                <w:sz w:val="14"/>
                <w:szCs w:val="14"/>
              </w:rPr>
              <w:t xml:space="preserve">0.044 ± 0.005</w:t>
            </w:r>
          </w:p>
        </w:tc>
        <w:tc>
          <w:tcPr>
            <w:tcW w:type="dxa" w:w="1088"/>
            <w:tcMar>
              <w:top w:type="dxa" w:w="60"/>
              <w:left w:type="dxa" w:w="100"/>
              <w:bottom w:type="dxa" w:w="60"/>
              <w:right w:type="dxa" w:w="100"/>
            </w:tcMar>
            <w:vAlign w:val="top"/>
          </w:tcPr>
          <w:p>
            <w:r>
              <w:rPr>
                <w:sz w:val="14"/>
                <w:szCs w:val="14"/>
              </w:rPr>
              <w:t xml:space="preserve">0.094 ± 0.012</w:t>
            </w:r>
          </w:p>
        </w:tc>
      </w:tr>
      <w:tr>
        <w:trPr>
          <w:cantSplit/>
        </w:trPr>
        <w:tc>
          <w:tcPr>
            <w:tcW w:type="dxa" w:w="1500"/>
            <w:shd w:fill="F7F9FC" w:color="auto" w:val="clear"/>
            <w:tcMar>
              <w:top w:type="dxa" w:w="60"/>
              <w:left w:type="dxa" w:w="100"/>
              <w:bottom w:type="dxa" w:w="60"/>
              <w:right w:type="dxa" w:w="100"/>
            </w:tcMar>
            <w:vAlign w:val="top"/>
          </w:tcPr>
          <w:p>
            <w:r>
              <w:rPr>
                <w:sz w:val="14"/>
                <w:szCs w:val="14"/>
              </w:rPr>
              <w:t xml:space="preserve">Dry year</w:t>
            </w:r>
          </w:p>
        </w:tc>
        <w:tc>
          <w:tcPr>
            <w:tcW w:type="dxa" w:w="2100"/>
            <w:shd w:fill="F7F9FC" w:color="auto" w:val="clear"/>
            <w:tcMar>
              <w:top w:type="dxa" w:w="60"/>
              <w:left w:type="dxa" w:w="100"/>
              <w:bottom w:type="dxa" w:w="60"/>
              <w:right w:type="dxa" w:w="100"/>
            </w:tcMar>
            <w:vAlign w:val="top"/>
          </w:tcPr>
          <w:p>
            <w:r>
              <w:rPr>
                <w:sz w:val="14"/>
                <w:szCs w:val="14"/>
              </w:rPr>
              <w:t xml:space="preserve">Fair-weather plan (FW)</w:t>
            </w:r>
          </w:p>
        </w:tc>
        <w:tc>
          <w:tcPr>
            <w:tcW w:type="dxa" w:w="800"/>
            <w:shd w:fill="F7F9FC" w:color="auto" w:val="clear"/>
            <w:tcMar>
              <w:top w:type="dxa" w:w="60"/>
              <w:left w:type="dxa" w:w="100"/>
              <w:bottom w:type="dxa" w:w="60"/>
              <w:right w:type="dxa" w:w="100"/>
            </w:tcMar>
            <w:vAlign w:val="top"/>
          </w:tcPr>
          <w:p>
            <w:r>
              <w:rPr>
                <w:sz w:val="14"/>
                <w:szCs w:val="14"/>
              </w:rPr>
              <w:t xml:space="preserve">0.80</w:t>
            </w:r>
          </w:p>
        </w:tc>
        <w:tc>
          <w:tcPr>
            <w:tcW w:type="dxa" w:w="1100"/>
            <w:shd w:fill="F7F9FC" w:color="auto" w:val="clear"/>
            <w:tcMar>
              <w:top w:type="dxa" w:w="60"/>
              <w:left w:type="dxa" w:w="100"/>
              <w:bottom w:type="dxa" w:w="60"/>
              <w:right w:type="dxa" w:w="100"/>
            </w:tcMar>
            <w:vAlign w:val="top"/>
          </w:tcPr>
          <w:p>
            <w:r>
              <w:rPr>
                <w:sz w:val="14"/>
                <w:szCs w:val="14"/>
              </w:rPr>
              <w:t xml:space="preserve">9,648</w:t>
            </w:r>
          </w:p>
        </w:tc>
        <w:tc>
          <w:tcPr>
            <w:tcW w:type="dxa" w:w="1100"/>
            <w:shd w:fill="F7F9FC" w:color="auto" w:val="clear"/>
            <w:tcMar>
              <w:top w:type="dxa" w:w="60"/>
              <w:left w:type="dxa" w:w="100"/>
              <w:bottom w:type="dxa" w:w="60"/>
              <w:right w:type="dxa" w:w="100"/>
            </w:tcMar>
            <w:vAlign w:val="top"/>
          </w:tcPr>
          <w:p>
            <w:r>
              <w:rPr>
                <w:sz w:val="14"/>
                <w:szCs w:val="14"/>
              </w:rPr>
              <w:t xml:space="preserve">5,000</w:t>
            </w:r>
          </w:p>
        </w:tc>
        <w:tc>
          <w:tcPr>
            <w:tcW w:type="dxa" w:w="850"/>
            <w:shd w:fill="F7F9FC" w:color="auto" w:val="clear"/>
            <w:tcMar>
              <w:top w:type="dxa" w:w="60"/>
              <w:left w:type="dxa" w:w="100"/>
              <w:bottom w:type="dxa" w:w="60"/>
              <w:right w:type="dxa" w:w="100"/>
            </w:tcMar>
            <w:vAlign w:val="top"/>
          </w:tcPr>
          <w:p>
            <w:r>
              <w:rPr>
                <w:sz w:val="14"/>
                <w:szCs w:val="14"/>
              </w:rPr>
              <w:t xml:space="preserve">no</w:t>
            </w:r>
          </w:p>
        </w:tc>
        <w:tc>
          <w:tcPr>
            <w:tcW w:type="dxa" w:w="1100"/>
            <w:shd w:fill="F7F9FC" w:color="auto" w:val="clear"/>
            <w:tcMar>
              <w:top w:type="dxa" w:w="60"/>
              <w:left w:type="dxa" w:w="100"/>
              <w:bottom w:type="dxa" w:w="60"/>
              <w:right w:type="dxa" w:w="100"/>
            </w:tcMar>
            <w:vAlign w:val="top"/>
          </w:tcPr>
          <w:p>
            <w:r>
              <w:rPr>
                <w:sz w:val="14"/>
                <w:szCs w:val="14"/>
              </w:rPr>
              <w:t xml:space="preserve">0.231 ± 0.009</w:t>
            </w:r>
          </w:p>
        </w:tc>
        <w:tc>
          <w:tcPr>
            <w:tcW w:type="dxa" w:w="1088"/>
            <w:shd w:fill="F7F9FC" w:color="auto" w:val="clear"/>
            <w:tcMar>
              <w:top w:type="dxa" w:w="60"/>
              <w:left w:type="dxa" w:w="100"/>
              <w:bottom w:type="dxa" w:w="60"/>
              <w:right w:type="dxa" w:w="100"/>
            </w:tcMar>
            <w:vAlign w:val="top"/>
          </w:tcPr>
          <w:p>
            <w:r>
              <w:rPr>
                <w:sz w:val="14"/>
                <w:szCs w:val="14"/>
              </w:rPr>
              <w:t xml:space="preserve">0.400 ± 0.016</w:t>
            </w:r>
          </w:p>
        </w:tc>
      </w:tr>
      <w:tr>
        <w:trPr>
          <w:cantSplit/>
        </w:trPr>
        <w:tc>
          <w:tcPr>
            <w:tcW w:type="dxa" w:w="1500"/>
            <w:tcMar>
              <w:top w:type="dxa" w:w="60"/>
              <w:left w:type="dxa" w:w="100"/>
              <w:bottom w:type="dxa" w:w="60"/>
              <w:right w:type="dxa" w:w="100"/>
            </w:tcMar>
            <w:vAlign w:val="top"/>
          </w:tcPr>
          <w:p/>
        </w:tc>
        <w:tc>
          <w:tcPr>
            <w:tcW w:type="dxa" w:w="2100"/>
            <w:tcMar>
              <w:top w:type="dxa" w:w="60"/>
              <w:left w:type="dxa" w:w="100"/>
              <w:bottom w:type="dxa" w:w="60"/>
              <w:right w:type="dxa" w:w="100"/>
            </w:tcMar>
            <w:vAlign w:val="top"/>
          </w:tcPr>
          <w:p>
            <w:r>
              <w:rPr>
                <w:sz w:val="14"/>
                <w:szCs w:val="14"/>
              </w:rPr>
              <w:t xml:space="preserve">Decided in the crisis (IC)</w:t>
            </w:r>
          </w:p>
        </w:tc>
        <w:tc>
          <w:tcPr>
            <w:tcW w:type="dxa" w:w="800"/>
            <w:tcMar>
              <w:top w:type="dxa" w:w="60"/>
              <w:left w:type="dxa" w:w="100"/>
              <w:bottom w:type="dxa" w:w="60"/>
              <w:right w:type="dxa" w:w="100"/>
            </w:tcMar>
            <w:vAlign w:val="top"/>
          </w:tcPr>
          <w:p>
            <w:r>
              <w:rPr>
                <w:sz w:val="14"/>
                <w:szCs w:val="14"/>
              </w:rPr>
              <w:t xml:space="preserve">0.00</w:t>
            </w:r>
          </w:p>
        </w:tc>
        <w:tc>
          <w:tcPr>
            <w:tcW w:type="dxa" w:w="1100"/>
            <w:tcMar>
              <w:top w:type="dxa" w:w="60"/>
              <w:left w:type="dxa" w:w="100"/>
              <w:bottom w:type="dxa" w:w="60"/>
              <w:right w:type="dxa" w:w="100"/>
            </w:tcMar>
            <w:vAlign w:val="top"/>
          </w:tcPr>
          <w:p>
            <w:r>
              <w:rPr>
                <w:sz w:val="14"/>
                <w:szCs w:val="14"/>
              </w:rPr>
              <w:t xml:space="preserve">0</w:t>
            </w:r>
          </w:p>
        </w:tc>
        <w:tc>
          <w:tcPr>
            <w:tcW w:type="dxa" w:w="1100"/>
            <w:tcMar>
              <w:top w:type="dxa" w:w="60"/>
              <w:left w:type="dxa" w:w="100"/>
              <w:bottom w:type="dxa" w:w="60"/>
              <w:right w:type="dxa" w:w="100"/>
            </w:tcMar>
            <w:vAlign w:val="top"/>
          </w:tcPr>
          <w:p>
            <w:r>
              <w:rPr>
                <w:sz w:val="14"/>
                <w:szCs w:val="14"/>
              </w:rPr>
              <w:t xml:space="preserve">10,000</w:t>
            </w:r>
          </w:p>
        </w:tc>
        <w:tc>
          <w:tcPr>
            <w:tcW w:type="dxa" w:w="850"/>
            <w:tcMar>
              <w:top w:type="dxa" w:w="60"/>
              <w:left w:type="dxa" w:w="100"/>
              <w:bottom w:type="dxa" w:w="60"/>
              <w:right w:type="dxa" w:w="100"/>
            </w:tcMar>
            <w:vAlign w:val="top"/>
          </w:tcPr>
          <w:p>
            <w:r>
              <w:rPr>
                <w:sz w:val="14"/>
                <w:szCs w:val="14"/>
              </w:rPr>
              <w:t xml:space="preserve">no</w:t>
            </w:r>
          </w:p>
        </w:tc>
        <w:tc>
          <w:tcPr>
            <w:tcW w:type="dxa" w:w="1100"/>
            <w:tcMar>
              <w:top w:type="dxa" w:w="60"/>
              <w:left w:type="dxa" w:w="100"/>
              <w:bottom w:type="dxa" w:w="60"/>
              <w:right w:type="dxa" w:w="100"/>
            </w:tcMar>
            <w:vAlign w:val="top"/>
          </w:tcPr>
          <w:p>
            <w:r>
              <w:rPr>
                <w:sz w:val="14"/>
                <w:szCs w:val="14"/>
              </w:rPr>
              <w:t xml:space="preserve">0.027 ± 0.004</w:t>
            </w:r>
          </w:p>
        </w:tc>
        <w:tc>
          <w:tcPr>
            <w:tcW w:type="dxa" w:w="1088"/>
            <w:tcMar>
              <w:top w:type="dxa" w:w="60"/>
              <w:left w:type="dxa" w:w="100"/>
              <w:bottom w:type="dxa" w:w="60"/>
              <w:right w:type="dxa" w:w="100"/>
            </w:tcMar>
            <w:vAlign w:val="top"/>
          </w:tcPr>
          <w:p>
            <w:r>
              <w:rPr>
                <w:sz w:val="14"/>
                <w:szCs w:val="14"/>
              </w:rPr>
              <w:t xml:space="preserve">0.052 ± 0.007</w:t>
            </w:r>
          </w:p>
        </w:tc>
      </w:tr>
      <w:tr>
        <w:trPr>
          <w:cantSplit/>
        </w:trPr>
        <w:tc>
          <w:tcPr>
            <w:tcW w:type="dxa" w:w="1500"/>
            <w:shd w:fill="F7F9FC" w:color="auto" w:val="clear"/>
            <w:tcMar>
              <w:top w:type="dxa" w:w="60"/>
              <w:left w:type="dxa" w:w="100"/>
              <w:bottom w:type="dxa" w:w="60"/>
              <w:right w:type="dxa" w:w="100"/>
            </w:tcMar>
            <w:vAlign w:val="top"/>
          </w:tcPr>
          <w:p/>
        </w:tc>
        <w:tc>
          <w:tcPr>
            <w:tcW w:type="dxa" w:w="2100"/>
            <w:shd w:fill="F7F9FC" w:color="auto" w:val="clear"/>
            <w:tcMar>
              <w:top w:type="dxa" w:w="60"/>
              <w:left w:type="dxa" w:w="100"/>
              <w:bottom w:type="dxa" w:w="60"/>
              <w:right w:type="dxa" w:w="100"/>
            </w:tcMar>
            <w:vAlign w:val="top"/>
          </w:tcPr>
          <w:p>
            <w:r>
              <w:rPr>
                <w:sz w:val="14"/>
                <w:szCs w:val="14"/>
              </w:rPr>
              <w:t xml:space="preserve">Plan, physics only (PC0)</w:t>
            </w:r>
          </w:p>
        </w:tc>
        <w:tc>
          <w:tcPr>
            <w:tcW w:type="dxa" w:w="800"/>
            <w:shd w:fill="F7F9FC" w:color="auto" w:val="clear"/>
            <w:tcMar>
              <w:top w:type="dxa" w:w="60"/>
              <w:left w:type="dxa" w:w="100"/>
              <w:bottom w:type="dxa" w:w="60"/>
              <w:right w:type="dxa" w:w="100"/>
            </w:tcMar>
            <w:vAlign w:val="top"/>
          </w:tcPr>
          <w:p>
            <w:r>
              <w:rPr>
                <w:sz w:val="14"/>
                <w:szCs w:val="14"/>
              </w:rPr>
              <w:t xml:space="preserve">0.75</w:t>
            </w:r>
          </w:p>
        </w:tc>
        <w:tc>
          <w:tcPr>
            <w:tcW w:type="dxa" w:w="1100"/>
            <w:shd w:fill="F7F9FC" w:color="auto" w:val="clear"/>
            <w:tcMar>
              <w:top w:type="dxa" w:w="60"/>
              <w:left w:type="dxa" w:w="100"/>
              <w:bottom w:type="dxa" w:w="60"/>
              <w:right w:type="dxa" w:w="100"/>
            </w:tcMar>
            <w:vAlign w:val="top"/>
          </w:tcPr>
          <w:p>
            <w:r>
              <w:rPr>
                <w:sz w:val="14"/>
                <w:szCs w:val="14"/>
              </w:rPr>
              <w:t xml:space="preserve">9,045</w:t>
            </w:r>
          </w:p>
        </w:tc>
        <w:tc>
          <w:tcPr>
            <w:tcW w:type="dxa" w:w="1100"/>
            <w:shd w:fill="F7F9FC" w:color="auto" w:val="clear"/>
            <w:tcMar>
              <w:top w:type="dxa" w:w="60"/>
              <w:left w:type="dxa" w:w="100"/>
              <w:bottom w:type="dxa" w:w="60"/>
              <w:right w:type="dxa" w:w="100"/>
            </w:tcMar>
            <w:vAlign w:val="top"/>
          </w:tcPr>
          <w:p>
            <w:r>
              <w:rPr>
                <w:sz w:val="14"/>
                <w:szCs w:val="14"/>
              </w:rPr>
              <w:t xml:space="preserve">10,000</w:t>
            </w:r>
          </w:p>
        </w:tc>
        <w:tc>
          <w:tcPr>
            <w:tcW w:type="dxa" w:w="850"/>
            <w:shd w:fill="F7F9FC" w:color="auto" w:val="clear"/>
            <w:tcMar>
              <w:top w:type="dxa" w:w="60"/>
              <w:left w:type="dxa" w:w="100"/>
              <w:bottom w:type="dxa" w:w="60"/>
              <w:right w:type="dxa" w:w="100"/>
            </w:tcMar>
            <w:vAlign w:val="top"/>
          </w:tcPr>
          <w:p>
            <w:r>
              <w:rPr>
                <w:sz w:val="14"/>
                <w:szCs w:val="14"/>
              </w:rPr>
              <w:t xml:space="preserve">no</w:t>
            </w:r>
          </w:p>
        </w:tc>
        <w:tc>
          <w:tcPr>
            <w:tcW w:type="dxa" w:w="1100"/>
            <w:shd w:fill="F7F9FC" w:color="auto" w:val="clear"/>
            <w:tcMar>
              <w:top w:type="dxa" w:w="60"/>
              <w:left w:type="dxa" w:w="100"/>
              <w:bottom w:type="dxa" w:w="60"/>
              <w:right w:type="dxa" w:w="100"/>
            </w:tcMar>
            <w:vAlign w:val="top"/>
          </w:tcPr>
          <w:p>
            <w:r>
              <w:rPr>
                <w:sz w:val="14"/>
                <w:szCs w:val="14"/>
              </w:rPr>
              <w:t xml:space="preserve">0.056 ± 0.005</w:t>
            </w:r>
          </w:p>
        </w:tc>
        <w:tc>
          <w:tcPr>
            <w:tcW w:type="dxa" w:w="1088"/>
            <w:shd w:fill="F7F9FC" w:color="auto" w:val="clear"/>
            <w:tcMar>
              <w:top w:type="dxa" w:w="60"/>
              <w:left w:type="dxa" w:w="100"/>
              <w:bottom w:type="dxa" w:w="60"/>
              <w:right w:type="dxa" w:w="100"/>
            </w:tcMar>
            <w:vAlign w:val="top"/>
          </w:tcPr>
          <w:p>
            <w:r>
              <w:rPr>
                <w:sz w:val="14"/>
                <w:szCs w:val="14"/>
              </w:rPr>
              <w:t xml:space="preserve">0.100 ± 0.009</w:t>
            </w:r>
          </w:p>
        </w:tc>
      </w:tr>
      <w:tr>
        <w:trPr>
          <w:cantSplit/>
        </w:trPr>
        <w:tc>
          <w:tcPr>
            <w:tcW w:type="dxa" w:w="1500"/>
            <w:tcMar>
              <w:top w:type="dxa" w:w="60"/>
              <w:left w:type="dxa" w:w="100"/>
              <w:bottom w:type="dxa" w:w="60"/>
              <w:right w:type="dxa" w:w="100"/>
            </w:tcMar>
            <w:vAlign w:val="top"/>
          </w:tcPr>
          <w:p/>
        </w:tc>
        <w:tc>
          <w:tcPr>
            <w:tcW w:type="dxa" w:w="2100"/>
            <w:tcMar>
              <w:top w:type="dxa" w:w="60"/>
              <w:left w:type="dxa" w:w="100"/>
              <w:bottom w:type="dxa" w:w="60"/>
              <w:right w:type="dxa" w:w="100"/>
            </w:tcMar>
            <w:vAlign w:val="top"/>
          </w:tcPr>
          <w:p>
            <w:r>
              <w:rPr>
                <w:sz w:val="14"/>
                <w:szCs w:val="14"/>
              </w:rPr>
              <w:t xml:space="preserve">Plan of MOTI-GO (PC)</w:t>
            </w:r>
          </w:p>
        </w:tc>
        <w:tc>
          <w:tcPr>
            <w:tcW w:type="dxa" w:w="800"/>
            <w:tcMar>
              <w:top w:type="dxa" w:w="60"/>
              <w:left w:type="dxa" w:w="100"/>
              <w:bottom w:type="dxa" w:w="60"/>
              <w:right w:type="dxa" w:w="100"/>
            </w:tcMar>
            <w:vAlign w:val="top"/>
          </w:tcPr>
          <w:p>
            <w:r>
              <w:rPr>
                <w:sz w:val="14"/>
                <w:szCs w:val="14"/>
              </w:rPr>
              <w:t xml:space="preserve">0.70</w:t>
            </w:r>
          </w:p>
        </w:tc>
        <w:tc>
          <w:tcPr>
            <w:tcW w:type="dxa" w:w="1100"/>
            <w:tcMar>
              <w:top w:type="dxa" w:w="60"/>
              <w:left w:type="dxa" w:w="100"/>
              <w:bottom w:type="dxa" w:w="60"/>
              <w:right w:type="dxa" w:w="100"/>
            </w:tcMar>
            <w:vAlign w:val="top"/>
          </w:tcPr>
          <w:p>
            <w:r>
              <w:rPr>
                <w:sz w:val="14"/>
                <w:szCs w:val="14"/>
              </w:rPr>
              <w:t xml:space="preserve">8,442</w:t>
            </w:r>
          </w:p>
        </w:tc>
        <w:tc>
          <w:tcPr>
            <w:tcW w:type="dxa" w:w="1100"/>
            <w:tcMar>
              <w:top w:type="dxa" w:w="60"/>
              <w:left w:type="dxa" w:w="100"/>
              <w:bottom w:type="dxa" w:w="60"/>
              <w:right w:type="dxa" w:w="100"/>
            </w:tcMar>
            <w:vAlign w:val="top"/>
          </w:tcPr>
          <w:p>
            <w:r>
              <w:rPr>
                <w:sz w:val="14"/>
                <w:szCs w:val="14"/>
              </w:rPr>
              <w:t xml:space="preserve">10,000</w:t>
            </w:r>
          </w:p>
        </w:tc>
        <w:tc>
          <w:tcPr>
            <w:tcW w:type="dxa" w:w="850"/>
            <w:tcMar>
              <w:top w:type="dxa" w:w="60"/>
              <w:left w:type="dxa" w:w="100"/>
              <w:bottom w:type="dxa" w:w="60"/>
              <w:right w:type="dxa" w:w="100"/>
            </w:tcMar>
            <w:vAlign w:val="top"/>
          </w:tcPr>
          <w:p>
            <w:r>
              <w:rPr>
                <w:sz w:val="14"/>
                <w:szCs w:val="14"/>
              </w:rPr>
              <w:t xml:space="preserve">no</w:t>
            </w:r>
          </w:p>
        </w:tc>
        <w:tc>
          <w:tcPr>
            <w:tcW w:type="dxa" w:w="1100"/>
            <w:tcMar>
              <w:top w:type="dxa" w:w="60"/>
              <w:left w:type="dxa" w:w="100"/>
              <w:bottom w:type="dxa" w:w="60"/>
              <w:right w:type="dxa" w:w="100"/>
            </w:tcMar>
            <w:vAlign w:val="top"/>
          </w:tcPr>
          <w:p>
            <w:r>
              <w:rPr>
                <w:sz w:val="14"/>
                <w:szCs w:val="14"/>
              </w:rPr>
              <w:t xml:space="preserve">0.052 ± 0.005</w:t>
            </w:r>
          </w:p>
        </w:tc>
        <w:tc>
          <w:tcPr>
            <w:tcW w:type="dxa" w:w="1088"/>
            <w:tcMar>
              <w:top w:type="dxa" w:w="60"/>
              <w:left w:type="dxa" w:w="100"/>
              <w:bottom w:type="dxa" w:w="60"/>
              <w:right w:type="dxa" w:w="100"/>
            </w:tcMar>
            <w:vAlign w:val="top"/>
          </w:tcPr>
          <w:p>
            <w:r>
              <w:rPr>
                <w:sz w:val="14"/>
                <w:szCs w:val="14"/>
              </w:rPr>
              <w:t xml:space="preserve">0.094 ± 0.009</w:t>
            </w:r>
          </w:p>
        </w:tc>
      </w:tr>
      <w:tr>
        <w:trPr>
          <w:cantSplit/>
        </w:trPr>
        <w:tc>
          <w:tcPr>
            <w:tcW w:type="dxa" w:w="1500"/>
            <w:shd w:fill="F7F9FC" w:color="auto" w:val="clear"/>
            <w:tcMar>
              <w:top w:type="dxa" w:w="60"/>
              <w:left w:type="dxa" w:w="100"/>
              <w:bottom w:type="dxa" w:w="60"/>
              <w:right w:type="dxa" w:w="100"/>
            </w:tcMar>
            <w:vAlign w:val="top"/>
          </w:tcPr>
          <w:p>
            <w:r>
              <w:rPr>
                <w:sz w:val="14"/>
                <w:szCs w:val="14"/>
              </w:rPr>
              <w:t xml:space="preserve">Extreme drought</w:t>
            </w:r>
          </w:p>
        </w:tc>
        <w:tc>
          <w:tcPr>
            <w:tcW w:type="dxa" w:w="2100"/>
            <w:shd w:fill="F7F9FC" w:color="auto" w:val="clear"/>
            <w:tcMar>
              <w:top w:type="dxa" w:w="60"/>
              <w:left w:type="dxa" w:w="100"/>
              <w:bottom w:type="dxa" w:w="60"/>
              <w:right w:type="dxa" w:w="100"/>
            </w:tcMar>
            <w:vAlign w:val="top"/>
          </w:tcPr>
          <w:p>
            <w:r>
              <w:rPr>
                <w:sz w:val="14"/>
                <w:szCs w:val="14"/>
              </w:rPr>
              <w:t xml:space="preserve">Fair-weather plan (FW)</w:t>
            </w:r>
          </w:p>
        </w:tc>
        <w:tc>
          <w:tcPr>
            <w:tcW w:type="dxa" w:w="800"/>
            <w:shd w:fill="F7F9FC" w:color="auto" w:val="clear"/>
            <w:tcMar>
              <w:top w:type="dxa" w:w="60"/>
              <w:left w:type="dxa" w:w="100"/>
              <w:bottom w:type="dxa" w:w="60"/>
              <w:right w:type="dxa" w:w="100"/>
            </w:tcMar>
            <w:vAlign w:val="top"/>
          </w:tcPr>
          <w:p>
            <w:r>
              <w:rPr>
                <w:sz w:val="14"/>
                <w:szCs w:val="14"/>
              </w:rPr>
              <w:t xml:space="preserve">0.80</w:t>
            </w:r>
          </w:p>
        </w:tc>
        <w:tc>
          <w:tcPr>
            <w:tcW w:type="dxa" w:w="1100"/>
            <w:shd w:fill="F7F9FC" w:color="auto" w:val="clear"/>
            <w:tcMar>
              <w:top w:type="dxa" w:w="60"/>
              <w:left w:type="dxa" w:w="100"/>
              <w:bottom w:type="dxa" w:w="60"/>
              <w:right w:type="dxa" w:w="100"/>
            </w:tcMar>
            <w:vAlign w:val="top"/>
          </w:tcPr>
          <w:p>
            <w:r>
              <w:rPr>
                <w:sz w:val="14"/>
                <w:szCs w:val="14"/>
              </w:rPr>
              <w:t xml:space="preserve">9,648</w:t>
            </w:r>
          </w:p>
        </w:tc>
        <w:tc>
          <w:tcPr>
            <w:tcW w:type="dxa" w:w="1100"/>
            <w:shd w:fill="F7F9FC" w:color="auto" w:val="clear"/>
            <w:tcMar>
              <w:top w:type="dxa" w:w="60"/>
              <w:left w:type="dxa" w:w="100"/>
              <w:bottom w:type="dxa" w:w="60"/>
              <w:right w:type="dxa" w:w="100"/>
            </w:tcMar>
            <w:vAlign w:val="top"/>
          </w:tcPr>
          <w:p>
            <w:r>
              <w:rPr>
                <w:sz w:val="14"/>
                <w:szCs w:val="14"/>
              </w:rPr>
              <w:t xml:space="preserve">5,000</w:t>
            </w:r>
          </w:p>
        </w:tc>
        <w:tc>
          <w:tcPr>
            <w:tcW w:type="dxa" w:w="850"/>
            <w:shd w:fill="F7F9FC" w:color="auto" w:val="clear"/>
            <w:tcMar>
              <w:top w:type="dxa" w:w="60"/>
              <w:left w:type="dxa" w:w="100"/>
              <w:bottom w:type="dxa" w:w="60"/>
              <w:right w:type="dxa" w:w="100"/>
            </w:tcMar>
            <w:vAlign w:val="top"/>
          </w:tcPr>
          <w:p>
            <w:r>
              <w:rPr>
                <w:sz w:val="14"/>
                <w:szCs w:val="14"/>
              </w:rPr>
              <w:t xml:space="preserve">no</w:t>
            </w:r>
          </w:p>
        </w:tc>
        <w:tc>
          <w:tcPr>
            <w:tcW w:type="dxa" w:w="1100"/>
            <w:shd w:fill="F7F9FC" w:color="auto" w:val="clear"/>
            <w:tcMar>
              <w:top w:type="dxa" w:w="60"/>
              <w:left w:type="dxa" w:w="100"/>
              <w:bottom w:type="dxa" w:w="60"/>
              <w:right w:type="dxa" w:w="100"/>
            </w:tcMar>
            <w:vAlign w:val="top"/>
          </w:tcPr>
          <w:p>
            <w:r>
              <w:rPr>
                <w:sz w:val="14"/>
                <w:szCs w:val="14"/>
              </w:rPr>
              <w:t xml:space="preserve">0.739 ± 0.010</w:t>
            </w:r>
          </w:p>
        </w:tc>
        <w:tc>
          <w:tcPr>
            <w:tcW w:type="dxa" w:w="1088"/>
            <w:shd w:fill="F7F9FC" w:color="auto" w:val="clear"/>
            <w:tcMar>
              <w:top w:type="dxa" w:w="60"/>
              <w:left w:type="dxa" w:w="100"/>
              <w:bottom w:type="dxa" w:w="60"/>
              <w:right w:type="dxa" w:w="100"/>
            </w:tcMar>
            <w:vAlign w:val="top"/>
          </w:tcPr>
          <w:p>
            <w:r>
              <w:rPr>
                <w:sz w:val="14"/>
                <w:szCs w:val="14"/>
              </w:rPr>
              <w:t xml:space="preserve">0.892 ± 0.006</w:t>
            </w:r>
          </w:p>
        </w:tc>
      </w:tr>
      <w:tr>
        <w:trPr>
          <w:cantSplit/>
        </w:trPr>
        <w:tc>
          <w:tcPr>
            <w:tcW w:type="dxa" w:w="1500"/>
            <w:tcMar>
              <w:top w:type="dxa" w:w="60"/>
              <w:left w:type="dxa" w:w="100"/>
              <w:bottom w:type="dxa" w:w="60"/>
              <w:right w:type="dxa" w:w="100"/>
            </w:tcMar>
            <w:vAlign w:val="top"/>
          </w:tcPr>
          <w:p/>
        </w:tc>
        <w:tc>
          <w:tcPr>
            <w:tcW w:type="dxa" w:w="2100"/>
            <w:tcMar>
              <w:top w:type="dxa" w:w="60"/>
              <w:left w:type="dxa" w:w="100"/>
              <w:bottom w:type="dxa" w:w="60"/>
              <w:right w:type="dxa" w:w="100"/>
            </w:tcMar>
            <w:vAlign w:val="top"/>
          </w:tcPr>
          <w:p>
            <w:r>
              <w:rPr>
                <w:sz w:val="14"/>
                <w:szCs w:val="14"/>
              </w:rPr>
              <w:t xml:space="preserve">IC, PC0 and PC</w:t>
            </w:r>
          </w:p>
        </w:tc>
        <w:tc>
          <w:tcPr>
            <w:tcW w:type="dxa" w:w="800"/>
            <w:tcMar>
              <w:top w:type="dxa" w:w="60"/>
              <w:left w:type="dxa" w:w="100"/>
              <w:bottom w:type="dxa" w:w="60"/>
              <w:right w:type="dxa" w:w="100"/>
            </w:tcMar>
            <w:vAlign w:val="top"/>
          </w:tcPr>
          <w:p>
            <w:r>
              <w:rPr>
                <w:sz w:val="14"/>
                <w:szCs w:val="14"/>
              </w:rPr>
              <w:t xml:space="preserve">0.00</w:t>
            </w:r>
          </w:p>
        </w:tc>
        <w:tc>
          <w:tcPr>
            <w:tcW w:type="dxa" w:w="1100"/>
            <w:tcMar>
              <w:top w:type="dxa" w:w="60"/>
              <w:left w:type="dxa" w:w="100"/>
              <w:bottom w:type="dxa" w:w="60"/>
              <w:right w:type="dxa" w:w="100"/>
            </w:tcMar>
            <w:vAlign w:val="top"/>
          </w:tcPr>
          <w:p>
            <w:r>
              <w:rPr>
                <w:sz w:val="14"/>
                <w:szCs w:val="14"/>
              </w:rPr>
              <w:t xml:space="preserve">0</w:t>
            </w:r>
          </w:p>
        </w:tc>
        <w:tc>
          <w:tcPr>
            <w:tcW w:type="dxa" w:w="1100"/>
            <w:tcMar>
              <w:top w:type="dxa" w:w="60"/>
              <w:left w:type="dxa" w:w="100"/>
              <w:bottom w:type="dxa" w:w="60"/>
              <w:right w:type="dxa" w:w="100"/>
            </w:tcMar>
            <w:vAlign w:val="top"/>
          </w:tcPr>
          <w:p>
            <w:r>
              <w:rPr>
                <w:sz w:val="14"/>
                <w:szCs w:val="14"/>
              </w:rPr>
              <w:t xml:space="preserve">5,000</w:t>
            </w:r>
          </w:p>
        </w:tc>
        <w:tc>
          <w:tcPr>
            <w:tcW w:type="dxa" w:w="850"/>
            <w:tcMar>
              <w:top w:type="dxa" w:w="60"/>
              <w:left w:type="dxa" w:w="100"/>
              <w:bottom w:type="dxa" w:w="60"/>
              <w:right w:type="dxa" w:w="100"/>
            </w:tcMar>
            <w:vAlign w:val="top"/>
          </w:tcPr>
          <w:p>
            <w:r>
              <w:rPr>
                <w:sz w:val="14"/>
                <w:szCs w:val="14"/>
              </w:rPr>
              <w:t xml:space="preserve">yes</w:t>
            </w:r>
          </w:p>
        </w:tc>
        <w:tc>
          <w:tcPr>
            <w:tcW w:type="dxa" w:w="1100"/>
            <w:tcMar>
              <w:top w:type="dxa" w:w="60"/>
              <w:left w:type="dxa" w:w="100"/>
              <w:bottom w:type="dxa" w:w="60"/>
              <w:right w:type="dxa" w:w="100"/>
            </w:tcMar>
            <w:vAlign w:val="top"/>
          </w:tcPr>
          <w:p>
            <w:r>
              <w:rPr>
                <w:sz w:val="14"/>
                <w:szCs w:val="14"/>
              </w:rPr>
              <w:t xml:space="preserve">0.288 ± 0.010</w:t>
            </w:r>
          </w:p>
        </w:tc>
        <w:tc>
          <w:tcPr>
            <w:tcW w:type="dxa" w:w="1088"/>
            <w:tcMar>
              <w:top w:type="dxa" w:w="60"/>
              <w:left w:type="dxa" w:w="100"/>
              <w:bottom w:type="dxa" w:w="60"/>
              <w:right w:type="dxa" w:w="100"/>
            </w:tcMar>
            <w:vAlign w:val="top"/>
          </w:tcPr>
          <w:p>
            <w:r>
              <w:rPr>
                <w:sz w:val="14"/>
                <w:szCs w:val="14"/>
              </w:rPr>
              <w:t xml:space="preserve">0.418 ± 0.012</w:t>
            </w:r>
          </w:p>
        </w:tc>
      </w:tr>
      <w:tr>
        <w:trPr>
          <w:cantSplit/>
        </w:trPr>
        <w:tc>
          <w:tcPr>
            <w:tcW w:type="dxa" w:w="1500"/>
            <w:shd w:fill="F7F9FC" w:color="auto" w:val="clear"/>
            <w:tcMar>
              <w:top w:type="dxa" w:w="60"/>
              <w:left w:type="dxa" w:w="100"/>
              <w:bottom w:type="dxa" w:w="60"/>
              <w:right w:type="dxa" w:w="100"/>
            </w:tcMar>
            <w:vAlign w:val="top"/>
          </w:tcPr>
          <w:p>
            <w:r>
              <w:rPr>
                <w:sz w:val="14"/>
                <w:szCs w:val="14"/>
              </w:rPr>
              <w:t xml:space="preserve">Extreme drought with heatwave</w:t>
            </w:r>
          </w:p>
        </w:tc>
        <w:tc>
          <w:tcPr>
            <w:tcW w:type="dxa" w:w="2100"/>
            <w:shd w:fill="F7F9FC" w:color="auto" w:val="clear"/>
            <w:tcMar>
              <w:top w:type="dxa" w:w="60"/>
              <w:left w:type="dxa" w:w="100"/>
              <w:bottom w:type="dxa" w:w="60"/>
              <w:right w:type="dxa" w:w="100"/>
            </w:tcMar>
            <w:vAlign w:val="top"/>
          </w:tcPr>
          <w:p>
            <w:r>
              <w:rPr>
                <w:sz w:val="14"/>
                <w:szCs w:val="14"/>
              </w:rPr>
              <w:t xml:space="preserve">Fair-weather plan (FW)</w:t>
            </w:r>
          </w:p>
        </w:tc>
        <w:tc>
          <w:tcPr>
            <w:tcW w:type="dxa" w:w="800"/>
            <w:shd w:fill="F7F9FC" w:color="auto" w:val="clear"/>
            <w:tcMar>
              <w:top w:type="dxa" w:w="60"/>
              <w:left w:type="dxa" w:w="100"/>
              <w:bottom w:type="dxa" w:w="60"/>
              <w:right w:type="dxa" w:w="100"/>
            </w:tcMar>
            <w:vAlign w:val="top"/>
          </w:tcPr>
          <w:p>
            <w:r>
              <w:rPr>
                <w:sz w:val="14"/>
                <w:szCs w:val="14"/>
              </w:rPr>
              <w:t xml:space="preserve">0.80</w:t>
            </w:r>
          </w:p>
        </w:tc>
        <w:tc>
          <w:tcPr>
            <w:tcW w:type="dxa" w:w="1100"/>
            <w:shd w:fill="F7F9FC" w:color="auto" w:val="clear"/>
            <w:tcMar>
              <w:top w:type="dxa" w:w="60"/>
              <w:left w:type="dxa" w:w="100"/>
              <w:bottom w:type="dxa" w:w="60"/>
              <w:right w:type="dxa" w:w="100"/>
            </w:tcMar>
            <w:vAlign w:val="top"/>
          </w:tcPr>
          <w:p>
            <w:r>
              <w:rPr>
                <w:sz w:val="14"/>
                <w:szCs w:val="14"/>
              </w:rPr>
              <w:t xml:space="preserve">9,648</w:t>
            </w:r>
          </w:p>
        </w:tc>
        <w:tc>
          <w:tcPr>
            <w:tcW w:type="dxa" w:w="1100"/>
            <w:shd w:fill="F7F9FC" w:color="auto" w:val="clear"/>
            <w:tcMar>
              <w:top w:type="dxa" w:w="60"/>
              <w:left w:type="dxa" w:w="100"/>
              <w:bottom w:type="dxa" w:w="60"/>
              <w:right w:type="dxa" w:w="100"/>
            </w:tcMar>
            <w:vAlign w:val="top"/>
          </w:tcPr>
          <w:p>
            <w:r>
              <w:rPr>
                <w:sz w:val="14"/>
                <w:szCs w:val="14"/>
              </w:rPr>
              <w:t xml:space="preserve">5,000</w:t>
            </w:r>
          </w:p>
        </w:tc>
        <w:tc>
          <w:tcPr>
            <w:tcW w:type="dxa" w:w="850"/>
            <w:shd w:fill="F7F9FC" w:color="auto" w:val="clear"/>
            <w:tcMar>
              <w:top w:type="dxa" w:w="60"/>
              <w:left w:type="dxa" w:w="100"/>
              <w:bottom w:type="dxa" w:w="60"/>
              <w:right w:type="dxa" w:w="100"/>
            </w:tcMar>
            <w:vAlign w:val="top"/>
          </w:tcPr>
          <w:p>
            <w:r>
              <w:rPr>
                <w:sz w:val="14"/>
                <w:szCs w:val="14"/>
              </w:rPr>
              <w:t xml:space="preserve">no</w:t>
            </w:r>
          </w:p>
        </w:tc>
        <w:tc>
          <w:tcPr>
            <w:tcW w:type="dxa" w:w="1100"/>
            <w:shd w:fill="F7F9FC" w:color="auto" w:val="clear"/>
            <w:tcMar>
              <w:top w:type="dxa" w:w="60"/>
              <w:left w:type="dxa" w:w="100"/>
              <w:bottom w:type="dxa" w:w="60"/>
              <w:right w:type="dxa" w:w="100"/>
            </w:tcMar>
            <w:vAlign w:val="top"/>
          </w:tcPr>
          <w:p>
            <w:r>
              <w:rPr>
                <w:sz w:val="14"/>
                <w:szCs w:val="14"/>
              </w:rPr>
              <w:t xml:space="preserve">0.822 ± 0.009</w:t>
            </w:r>
          </w:p>
        </w:tc>
        <w:tc>
          <w:tcPr>
            <w:tcW w:type="dxa" w:w="1088"/>
            <w:shd w:fill="F7F9FC" w:color="auto" w:val="clear"/>
            <w:tcMar>
              <w:top w:type="dxa" w:w="60"/>
              <w:left w:type="dxa" w:w="100"/>
              <w:bottom w:type="dxa" w:w="60"/>
              <w:right w:type="dxa" w:w="100"/>
            </w:tcMar>
            <w:vAlign w:val="top"/>
          </w:tcPr>
          <w:p>
            <w:r>
              <w:rPr>
                <w:sz w:val="14"/>
                <w:szCs w:val="14"/>
              </w:rPr>
              <w:t xml:space="preserve">0.930 ± 0.005</w:t>
            </w:r>
          </w:p>
        </w:tc>
      </w:tr>
      <w:tr>
        <w:trPr>
          <w:cantSplit/>
        </w:trPr>
        <w:tc>
          <w:tcPr>
            <w:tcW w:type="dxa" w:w="1500"/>
            <w:tcMar>
              <w:top w:type="dxa" w:w="60"/>
              <w:left w:type="dxa" w:w="100"/>
              <w:bottom w:type="dxa" w:w="60"/>
              <w:right w:type="dxa" w:w="100"/>
            </w:tcMar>
            <w:vAlign w:val="top"/>
          </w:tcPr>
          <w:p/>
        </w:tc>
        <w:tc>
          <w:tcPr>
            <w:tcW w:type="dxa" w:w="2100"/>
            <w:tcMar>
              <w:top w:type="dxa" w:w="60"/>
              <w:left w:type="dxa" w:w="100"/>
              <w:bottom w:type="dxa" w:w="60"/>
              <w:right w:type="dxa" w:w="100"/>
            </w:tcMar>
            <w:vAlign w:val="top"/>
          </w:tcPr>
          <w:p>
            <w:r>
              <w:rPr>
                <w:sz w:val="14"/>
                <w:szCs w:val="14"/>
              </w:rPr>
              <w:t xml:space="preserve">IC, PC0 and PC</w:t>
            </w:r>
          </w:p>
        </w:tc>
        <w:tc>
          <w:tcPr>
            <w:tcW w:type="dxa" w:w="800"/>
            <w:tcMar>
              <w:top w:type="dxa" w:w="60"/>
              <w:left w:type="dxa" w:w="100"/>
              <w:bottom w:type="dxa" w:w="60"/>
              <w:right w:type="dxa" w:w="100"/>
            </w:tcMar>
            <w:vAlign w:val="top"/>
          </w:tcPr>
          <w:p>
            <w:r>
              <w:rPr>
                <w:sz w:val="14"/>
                <w:szCs w:val="14"/>
              </w:rPr>
              <w:t xml:space="preserve">0.00</w:t>
            </w:r>
          </w:p>
        </w:tc>
        <w:tc>
          <w:tcPr>
            <w:tcW w:type="dxa" w:w="1100"/>
            <w:tcMar>
              <w:top w:type="dxa" w:w="60"/>
              <w:left w:type="dxa" w:w="100"/>
              <w:bottom w:type="dxa" w:w="60"/>
              <w:right w:type="dxa" w:w="100"/>
            </w:tcMar>
            <w:vAlign w:val="top"/>
          </w:tcPr>
          <w:p>
            <w:r>
              <w:rPr>
                <w:sz w:val="14"/>
                <w:szCs w:val="14"/>
              </w:rPr>
              <w:t xml:space="preserve">0</w:t>
            </w:r>
          </w:p>
        </w:tc>
        <w:tc>
          <w:tcPr>
            <w:tcW w:type="dxa" w:w="1100"/>
            <w:tcMar>
              <w:top w:type="dxa" w:w="60"/>
              <w:left w:type="dxa" w:w="100"/>
              <w:bottom w:type="dxa" w:w="60"/>
              <w:right w:type="dxa" w:w="100"/>
            </w:tcMar>
            <w:vAlign w:val="top"/>
          </w:tcPr>
          <w:p>
            <w:r>
              <w:rPr>
                <w:sz w:val="14"/>
                <w:szCs w:val="14"/>
              </w:rPr>
              <w:t xml:space="preserve">5,000</w:t>
            </w:r>
          </w:p>
        </w:tc>
        <w:tc>
          <w:tcPr>
            <w:tcW w:type="dxa" w:w="850"/>
            <w:tcMar>
              <w:top w:type="dxa" w:w="60"/>
              <w:left w:type="dxa" w:w="100"/>
              <w:bottom w:type="dxa" w:w="60"/>
              <w:right w:type="dxa" w:w="100"/>
            </w:tcMar>
            <w:vAlign w:val="top"/>
          </w:tcPr>
          <w:p>
            <w:r>
              <w:rPr>
                <w:sz w:val="14"/>
                <w:szCs w:val="14"/>
              </w:rPr>
              <w:t xml:space="preserve">yes</w:t>
            </w:r>
          </w:p>
        </w:tc>
        <w:tc>
          <w:tcPr>
            <w:tcW w:type="dxa" w:w="1100"/>
            <w:tcMar>
              <w:top w:type="dxa" w:w="60"/>
              <w:left w:type="dxa" w:w="100"/>
              <w:bottom w:type="dxa" w:w="60"/>
              <w:right w:type="dxa" w:w="100"/>
            </w:tcMar>
            <w:vAlign w:val="top"/>
          </w:tcPr>
          <w:p>
            <w:r>
              <w:rPr>
                <w:sz w:val="14"/>
                <w:szCs w:val="14"/>
              </w:rPr>
              <w:t xml:space="preserve">0.311 ± 0.010</w:t>
            </w:r>
          </w:p>
        </w:tc>
        <w:tc>
          <w:tcPr>
            <w:tcW w:type="dxa" w:w="1088"/>
            <w:tcMar>
              <w:top w:type="dxa" w:w="60"/>
              <w:left w:type="dxa" w:w="100"/>
              <w:bottom w:type="dxa" w:w="60"/>
              <w:right w:type="dxa" w:w="100"/>
            </w:tcMar>
            <w:vAlign w:val="top"/>
          </w:tcPr>
          <w:p>
            <w:r>
              <w:rPr>
                <w:sz w:val="14"/>
                <w:szCs w:val="14"/>
              </w:rPr>
              <w:t xml:space="preserve">0.446 ± 0.012</w:t>
            </w:r>
          </w:p>
        </w:tc>
      </w:tr>
    </w:tbl>
    <w:p>
      <w:pPr>
        <w:spacing w:after="160"/>
      </w:pPr>
    </w:p>
    <w:p>
      <w:pPr>
        <w:spacing w:after="120"/>
      </w:pPr>
      <w:r>
        <w:rPr>
          <w:i/>
          <w:iCs/>
          <w:color w:val="5B6573"/>
          <w:sz w:val="18"/>
          <w:szCs w:val="18"/>
        </w:rPr>
        <w:t xml:space="preserve">Table 9.2. Action and realised risk of each rule in each regime (2,000 truths, with the operators' overshoot and the unlicensed pumping of the regime); rules that take the same action share a row (FW: fair-weather plan; IC: decided in the crisis; PC0: plan with physics only; PC: plan of MOTI-GO). The agreed limit is 0.10.</w:t>
      </w:r>
    </w:p>
    <w:p>
      <w:pPr>
        <w:keepNext/>
        <w:spacing w:after="60" w:before="120"/>
        <w:jc w:val="center"/>
      </w:pPr>
      <w:r>
        <w:drawing>
          <wp:inline distT="0" distB="0" distL="0" distR="0">
            <wp:extent cx="5943600" cy="4248150"/>
            <wp:effectExtent t="0" r="0" b="0" l="0"/>
            <wp:docPr id="1" name="Four panels: realised risk of three rules in four weather regimes, licensed pumping, the rule curve of the pumping cap against the recharge factor, and the Shapley attribution of the fair-weather plan risk" descr="Four panels: realised risk of three rules in four weather regimes, licensed pumping, the rule curve of the pumping cap against the recharge factor, and the Shapley attribution of the fair-weather plan risk" title="Four panels: realised risk of three rules in four weather regimes, licensed pumping, the rule curve of the pumping cap against the recharge factor, and the Shapley attribution of the fair-weather plan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248150"/>
                    </a:xfrm>
                    <a:prstGeom prst="rect">
                      <a:avLst/>
                    </a:prstGeom>
                  </pic:spPr>
                </pic:pic>
              </a:graphicData>
            </a:graphic>
          </wp:inline>
        </w:drawing>
      </w:r>
    </w:p>
    <w:p>
      <w:pPr>
        <w:spacing w:after="200"/>
        <w:jc w:val="both"/>
      </w:pPr>
      <w:r>
        <w:rPr>
          <w:b/>
          <w:bCs/>
          <w:color w:val="3A4350"/>
          <w:sz w:val="18"/>
          <w:szCs w:val="18"/>
        </w:rPr>
        <w:t xml:space="preserve">Figure M1.</w:t>
      </w:r>
      <w:r>
        <w:rPr>
          <w:color w:val="3A4350"/>
          <w:sz w:val="18"/>
          <w:szCs w:val="18"/>
        </w:rPr>
        <w:t xml:space="preserve"> (a) Realised risk of the fair-weather plan, the decision taken in the crisis and the plan of MOTI-GO in each regime (ticks: the most cautious stakeholder). (b) Licensed pumping. (c) The rule curve: the largest licensed pumping that every stakeholder accepts against the recharge factor, for three recharge levels, without (solid) and with (dashed) a heatwave; where a line ends, no pumping is admissible at that recharge. (d) Shapley attribution of the fair-weather plan's risk to the drought, the operators' overshoot and the unlicensed pumping [B20].</w:t>
      </w:r>
    </w:p>
    <w:p>
      <w:pPr>
        <w:pStyle w:val="Heading3"/>
      </w:pPr>
      <w:r>
        <w:rPr>
          <w:color w:val="1F3864"/>
        </w:rPr>
        <w:t xml:space="preserve">9.7 What the test shows</w:t>
      </w:r>
    </w:p>
    <w:p>
      <w:pPr>
        <w:pStyle w:val="ListParagraph"/>
        <w:numPr>
          <w:ilvl w:val="0"/>
          <w:numId w:val="2"/>
        </w:numPr>
        <w:spacing w:after="60"/>
        <w:jc w:val="both"/>
      </w:pPr>
      <w:r>
        <w:rPr>
          <w:b/>
          <w:bCs/>
        </w:rPr>
        <w:t xml:space="preserve">A plan for a normal year is not a plan for a dry one.</w:t>
      </w:r>
      <w:r>
        <w:t xml:space="preserve"> In a normal year all four rules take the choice of review 57 (pumping scale 0.8, recharge of 5,000 m³/d per site), with realised risk 0.044. Kept into a dry year, the same choice gives 0.231 (0.400 for the most cautious stakeholder), and 0.739 and 0.822 in the two extreme regimes (Table 9.2, Figure M1a). The Shapley attribution (Figure M1d) puts most of the excess on the drought (0.161 of the 0.185 excess in a dry year), but the objective human factors, overshoot and unlicensed pumping, carry 13% of it in a dry year and 17% in the heatwave, where both surge.</w:t>
      </w:r>
    </w:p>
    <w:p>
      <w:pPr>
        <w:pStyle w:val="ListParagraph"/>
        <w:numPr>
          <w:ilvl w:val="0"/>
          <w:numId w:val="2"/>
        </w:numPr>
        <w:spacing w:after="60"/>
        <w:jc w:val="both"/>
      </w:pPr>
      <w:r>
        <w:rPr>
          <w:b/>
          <w:bCs/>
        </w:rPr>
        <w:t xml:space="preserve">The plan holds the limit in a dry year, and the margins are cheap.</w:t>
      </w:r>
      <w:r>
        <w:t xml:space="preserve"> The plan of MOTI-GO doubles the recharge to 10,000 m³/d per site and licenses scale 0.70 (8,442 m³/d): realised risk 0.052, 0.094 for the most cautious stakeholder. The allowance for overshoot and unlicensed pumping (S1) costs 603 m³/d against the plan with physics only, which keeps the limit only narrowly (0.100).</w:t>
      </w:r>
    </w:p>
    <w:p>
      <w:pPr>
        <w:pStyle w:val="ListParagraph"/>
        <w:numPr>
          <w:ilvl w:val="0"/>
          <w:numId w:val="2"/>
        </w:numPr>
        <w:spacing w:after="60"/>
        <w:jc w:val="both"/>
      </w:pPr>
      <w:r>
        <w:rPr>
          <w:b/>
          <w:bCs/>
        </w:rPr>
        <w:t xml:space="preserve">Deciding in the crisis wastes water, as Proposition S2 predicts.</w:t>
      </w:r>
      <w:r>
        <w:t xml:space="preserve"> With crisis beliefs and perceived risks, the same stakeholders, using the same rule, stop all supply pumping in a dry year (scale 0, recharge 10,000 m³/d per site): realised risk 0.027, far below the limit, and 8,442 m³/d of supply lost. Each subjective factor alone also cuts the licence: polarisation to 0.60, salience to 0.55 and probability weighting, the strongest, to 0.40, the effect of a limit of 0.080 instead of 0.10. Over a year the crisis decisions look safer (0.078 against 0.084) because they over-react in dry years; the plan delivers the same safety where it is possible and the water where it is safe.</w:t>
      </w:r>
    </w:p>
    <w:p>
      <w:pPr>
        <w:pStyle w:val="ListParagraph"/>
        <w:numPr>
          <w:ilvl w:val="0"/>
          <w:numId w:val="2"/>
        </w:numPr>
        <w:spacing w:after="60"/>
        <w:jc w:val="both"/>
      </w:pPr>
      <w:r>
        <w:rPr>
          <w:b/>
          <w:bCs/>
        </w:rPr>
        <w:t xml:space="preserve">In an extreme drought no local decision is safe, and the plan says so in advance.</w:t>
      </w:r>
      <w:r>
        <w:t xml:space="preserve"> In both extreme regimes every adaptive rule ends in the emergency stop, with the 5,000 m³/d of recharge per site the source water allows: realised risk 0.288 and 0.311, 0.418 and 0.446 for the most cautious stakeholder. Banning the unlicensed coastal pumping during the stop lowers it to 0.263. Proposition S4 gives the threshold and the remedy (Table 9.3): a stop is safe only above the recharge factor </w:t>
      </w:r>
      <m:oMath>
        <m:sSup>
          <m:e>
            <m:r>
              <m:t>f</m:t>
            </m:r>
          </m:e>
          <m:sup>
            <m:r>
              <m:rPr>
                <m:sty m:val="p"/>
              </m:rPr>
              <m:t>⋆</m:t>
            </m:r>
          </m:sup>
        </m:sSup>
      </m:oMath>
      <w:r>
        <w:t xml:space="preserve">, 0.797 with 5,000 m³/d per site and 0.613 with 10,000; without recharge no stop is safe even in a normal year (</w:t>
      </w:r>
      <m:oMath>
        <m:sSup>
          <m:e>
            <m:r>
              <m:t>f</m:t>
            </m:r>
          </m:e>
          <m:sup>
            <m:r>
              <m:rPr>
                <m:sty m:val="p"/>
              </m:rPr>
              <m:t>⋆</m:t>
            </m:r>
          </m:sup>
        </m:sSup>
        <m:r>
          <m:rPr>
            <m:sty m:val="p"/>
          </m:rPr>
          <m:t>=</m:t>
        </m:r>
        <m:r>
          <m:t>1.011</m:t>
        </m:r>
      </m:oMath>
      <w:r>
        <w:t xml:space="preserve">). Checked directly, the risk of the stop is 0.115 just below </w:t>
      </w:r>
      <m:oMath>
        <m:sSup>
          <m:e>
            <m:r>
              <m:t>f</m:t>
            </m:r>
          </m:e>
          <m:sup>
            <m:r>
              <m:rPr>
                <m:sty m:val="p"/>
              </m:rPr>
              <m:t>⋆</m:t>
            </m:r>
          </m:sup>
        </m:sSup>
      </m:oMath>
      <w:r>
        <w:t xml:space="preserve"> and 0.087 just above it. A safe stop at half the normal recharge needs 13,973–14,714 m³/d per site (with the certified margin); with it the realised risk of the stop is 0.060, 0.107 ± 0.009 for the most cautious stakeholder.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500"/>
        <w:gridCol w:w="1250"/>
        <w:gridCol w:w="1350"/>
        <w:gridCol w:w="1350"/>
        <w:gridCol w:w="1500"/>
        <w:gridCol w:w="1300"/>
        <w:gridCol w:w="1388"/>
      </w:tblGrid>
      <w:tr>
        <w:trPr>
          <w:cantSplit/>
          <w:tblHeader/>
        </w:trPr>
        <w:tc>
          <w:tcPr>
            <w:tcW w:type="dxa" w:w="1500"/>
            <w:shd w:fill="1F3864" w:color="auto" w:val="clear"/>
            <w:tcMar>
              <w:top w:type="dxa" w:w="60"/>
              <w:left w:type="dxa" w:w="100"/>
              <w:bottom w:type="dxa" w:w="60"/>
              <w:right w:type="dxa" w:w="100"/>
            </w:tcMar>
            <w:vAlign w:val="top"/>
          </w:tcPr>
          <w:p>
            <w:r>
              <w:rPr>
                <w:b/>
                <w:bCs/>
                <w:color w:val="FFFFFF"/>
                <w:sz w:val="14"/>
                <w:szCs w:val="14"/>
              </w:rPr>
              <w:t xml:space="preserve">Unlicensed pumping (m³/d)</w:t>
            </w:r>
          </w:p>
        </w:tc>
        <w:tc>
          <w:tcPr>
            <w:tcW w:type="dxa" w:w="1250"/>
            <w:shd w:fill="1F3864" w:color="auto" w:val="clear"/>
            <w:tcMar>
              <w:top w:type="dxa" w:w="60"/>
              <w:left w:type="dxa" w:w="100"/>
              <w:bottom w:type="dxa" w:w="60"/>
              <w:right w:type="dxa" w:w="100"/>
            </w:tcMar>
            <w:vAlign w:val="top"/>
          </w:tcPr>
          <w:p>
            <w:r>
              <w:rPr>
                <w:b/>
                <w:bCs/>
                <w:color w:val="FFFFFF"/>
                <w:sz w:val="14"/>
                <w:szCs w:val="14"/>
              </w:rPr>
              <w:t xml:space="preserve">Stop threshold, no recharge</w:t>
            </w:r>
          </w:p>
        </w:tc>
        <w:tc>
          <w:tcPr>
            <w:tcW w:type="dxa" w:w="1350"/>
            <w:shd w:fill="1F3864" w:color="auto" w:val="clear"/>
            <w:tcMar>
              <w:top w:type="dxa" w:w="60"/>
              <w:left w:type="dxa" w:w="100"/>
              <w:bottom w:type="dxa" w:w="60"/>
              <w:right w:type="dxa" w:w="100"/>
            </w:tcMar>
            <w:vAlign w:val="top"/>
          </w:tcPr>
          <w:p>
            <w:r>
              <w:rPr>
                <w:b/>
                <w:bCs/>
                <w:color w:val="FFFFFF"/>
                <w:sz w:val="14"/>
                <w:szCs w:val="14"/>
              </w:rPr>
              <w:t xml:space="preserve">Stop threshold, 5,000 m³/d per site</w:t>
            </w:r>
          </w:p>
        </w:tc>
        <w:tc>
          <w:tcPr>
            <w:tcW w:type="dxa" w:w="1350"/>
            <w:shd w:fill="1F3864" w:color="auto" w:val="clear"/>
            <w:tcMar>
              <w:top w:type="dxa" w:w="60"/>
              <w:left w:type="dxa" w:w="100"/>
              <w:bottom w:type="dxa" w:w="60"/>
              <w:right w:type="dxa" w:w="100"/>
            </w:tcMar>
            <w:vAlign w:val="top"/>
          </w:tcPr>
          <w:p>
            <w:r>
              <w:rPr>
                <w:b/>
                <w:bCs/>
                <w:color w:val="FFFFFF"/>
                <w:sz w:val="14"/>
                <w:szCs w:val="14"/>
              </w:rPr>
              <w:t xml:space="preserve">Stop threshold, 10,000 m³/d per site</w:t>
            </w:r>
          </w:p>
        </w:tc>
        <w:tc>
          <w:tcPr>
            <w:tcW w:type="dxa" w:w="1500"/>
            <w:shd w:fill="1F3864" w:color="auto" w:val="clear"/>
            <w:tcMar>
              <w:top w:type="dxa" w:w="60"/>
              <w:left w:type="dxa" w:w="100"/>
              <w:bottom w:type="dxa" w:w="60"/>
              <w:right w:type="dxa" w:w="100"/>
            </w:tcMar>
            <w:vAlign w:val="top"/>
          </w:tcPr>
          <w:p>
            <w:r>
              <w:rPr>
                <w:b/>
                <w:bCs/>
                <w:color w:val="FFFFFF"/>
                <w:sz w:val="14"/>
                <w:szCs w:val="14"/>
              </w:rPr>
              <w:t xml:space="preserve">Recharge for a safe stop at f = 0.5</w:t>
            </w:r>
          </w:p>
        </w:tc>
        <w:tc>
          <w:tcPr>
            <w:tcW w:type="dxa" w:w="1300"/>
            <w:shd w:fill="1F3864" w:color="auto" w:val="clear"/>
            <w:tcMar>
              <w:top w:type="dxa" w:w="60"/>
              <w:left w:type="dxa" w:w="100"/>
              <w:bottom w:type="dxa" w:w="60"/>
              <w:right w:type="dxa" w:w="100"/>
            </w:tcMar>
            <w:vAlign w:val="top"/>
          </w:tcPr>
          <w:p>
            <w:r>
              <w:rPr>
                <w:b/>
                <w:bCs/>
                <w:color w:val="FFFFFF"/>
                <w:sz w:val="14"/>
                <w:szCs w:val="14"/>
              </w:rPr>
              <w:t xml:space="preserve">at f = 0.6</w:t>
            </w:r>
          </w:p>
        </w:tc>
        <w:tc>
          <w:tcPr>
            <w:tcW w:type="dxa" w:w="1388"/>
            <w:shd w:fill="1F3864" w:color="auto" w:val="clear"/>
            <w:tcMar>
              <w:top w:type="dxa" w:w="60"/>
              <w:left w:type="dxa" w:w="100"/>
              <w:bottom w:type="dxa" w:w="60"/>
              <w:right w:type="dxa" w:w="100"/>
            </w:tcMar>
            <w:vAlign w:val="top"/>
          </w:tcPr>
          <w:p>
            <w:r>
              <w:rPr>
                <w:b/>
                <w:bCs/>
                <w:color w:val="FFFFFF"/>
                <w:sz w:val="14"/>
                <w:szCs w:val="14"/>
              </w:rPr>
              <w:t xml:space="preserve">at f = 0.75</w:t>
            </w:r>
          </w:p>
        </w:tc>
      </w:tr>
      <w:tr>
        <w:trPr>
          <w:cantSplit/>
        </w:trPr>
        <w:tc>
          <w:tcPr>
            <w:tcW w:type="dxa" w:w="1500"/>
            <w:tcMar>
              <w:top w:type="dxa" w:w="60"/>
              <w:left w:type="dxa" w:w="100"/>
              <w:bottom w:type="dxa" w:w="60"/>
              <w:right w:type="dxa" w:w="100"/>
            </w:tcMar>
            <w:vAlign w:val="top"/>
          </w:tcPr>
          <w:p>
            <w:r>
              <w:rPr>
                <w:sz w:val="14"/>
                <w:szCs w:val="14"/>
              </w:rPr>
              <w:t xml:space="preserve">0</w:t>
            </w:r>
          </w:p>
        </w:tc>
        <w:tc>
          <w:tcPr>
            <w:tcW w:type="dxa" w:w="1250"/>
            <w:tcMar>
              <w:top w:type="dxa" w:w="60"/>
              <w:left w:type="dxa" w:w="100"/>
              <w:bottom w:type="dxa" w:w="60"/>
              <w:right w:type="dxa" w:w="100"/>
            </w:tcMar>
            <w:vAlign w:val="top"/>
          </w:tcPr>
          <w:p>
            <w:r>
              <w:rPr>
                <w:sz w:val="14"/>
                <w:szCs w:val="14"/>
              </w:rPr>
              <w:t xml:space="preserve">1.011</w:t>
            </w:r>
          </w:p>
        </w:tc>
        <w:tc>
          <w:tcPr>
            <w:tcW w:type="dxa" w:w="1350"/>
            <w:tcMar>
              <w:top w:type="dxa" w:w="60"/>
              <w:left w:type="dxa" w:w="100"/>
              <w:bottom w:type="dxa" w:w="60"/>
              <w:right w:type="dxa" w:w="100"/>
            </w:tcMar>
            <w:vAlign w:val="top"/>
          </w:tcPr>
          <w:p>
            <w:r>
              <w:rPr>
                <w:sz w:val="14"/>
                <w:szCs w:val="14"/>
              </w:rPr>
              <w:t xml:space="preserve">0.781</w:t>
            </w:r>
          </w:p>
        </w:tc>
        <w:tc>
          <w:tcPr>
            <w:tcW w:type="dxa" w:w="1350"/>
            <w:tcMar>
              <w:top w:type="dxa" w:w="60"/>
              <w:left w:type="dxa" w:w="100"/>
              <w:bottom w:type="dxa" w:w="60"/>
              <w:right w:type="dxa" w:w="100"/>
            </w:tcMar>
            <w:vAlign w:val="top"/>
          </w:tcPr>
          <w:p>
            <w:r>
              <w:rPr>
                <w:sz w:val="14"/>
                <w:szCs w:val="14"/>
              </w:rPr>
              <w:t xml:space="preserve">0.601</w:t>
            </w:r>
          </w:p>
        </w:tc>
        <w:tc>
          <w:tcPr>
            <w:tcW w:type="dxa" w:w="1500"/>
            <w:tcMar>
              <w:top w:type="dxa" w:w="60"/>
              <w:left w:type="dxa" w:w="100"/>
              <w:bottom w:type="dxa" w:w="60"/>
              <w:right w:type="dxa" w:w="100"/>
            </w:tcMar>
            <w:vAlign w:val="top"/>
          </w:tcPr>
          <w:p>
            <w:r>
              <w:rPr>
                <w:sz w:val="14"/>
                <w:szCs w:val="14"/>
              </w:rPr>
              <w:t xml:space="preserve">13,973</w:t>
            </w:r>
          </w:p>
        </w:tc>
        <w:tc>
          <w:tcPr>
            <w:tcW w:type="dxa" w:w="1300"/>
            <w:tcMar>
              <w:top w:type="dxa" w:w="60"/>
              <w:left w:type="dxa" w:w="100"/>
              <w:bottom w:type="dxa" w:w="60"/>
              <w:right w:type="dxa" w:w="100"/>
            </w:tcMar>
            <w:vAlign w:val="top"/>
          </w:tcPr>
          <w:p>
            <w:r>
              <w:rPr>
                <w:sz w:val="14"/>
                <w:szCs w:val="14"/>
              </w:rPr>
              <w:t xml:space="preserve">10,865</w:t>
            </w:r>
          </w:p>
        </w:tc>
        <w:tc>
          <w:tcPr>
            <w:tcW w:type="dxa" w:w="1388"/>
            <w:tcMar>
              <w:top w:type="dxa" w:w="60"/>
              <w:left w:type="dxa" w:w="100"/>
              <w:bottom w:type="dxa" w:w="60"/>
              <w:right w:type="dxa" w:w="100"/>
            </w:tcMar>
            <w:vAlign w:val="top"/>
          </w:tcPr>
          <w:p>
            <w:r>
              <w:rPr>
                <w:sz w:val="14"/>
                <w:szCs w:val="14"/>
              </w:rPr>
              <w:t xml:space="preserve">6,345</w:t>
            </w:r>
          </w:p>
        </w:tc>
      </w:tr>
      <w:tr>
        <w:trPr>
          <w:cantSplit/>
        </w:trPr>
        <w:tc>
          <w:tcPr>
            <w:tcW w:type="dxa" w:w="1500"/>
            <w:shd w:fill="F7F9FC" w:color="auto" w:val="clear"/>
            <w:tcMar>
              <w:top w:type="dxa" w:w="60"/>
              <w:left w:type="dxa" w:w="100"/>
              <w:bottom w:type="dxa" w:w="60"/>
              <w:right w:type="dxa" w:w="100"/>
            </w:tcMar>
            <w:vAlign w:val="top"/>
          </w:tcPr>
          <w:p>
            <w:r>
              <w:rPr>
                <w:sz w:val="14"/>
                <w:szCs w:val="14"/>
              </w:rPr>
              <w:t xml:space="preserve">2,000</w:t>
            </w:r>
          </w:p>
        </w:tc>
        <w:tc>
          <w:tcPr>
            <w:tcW w:type="dxa" w:w="1250"/>
            <w:shd w:fill="F7F9FC" w:color="auto" w:val="clear"/>
            <w:tcMar>
              <w:top w:type="dxa" w:w="60"/>
              <w:left w:type="dxa" w:w="100"/>
              <w:bottom w:type="dxa" w:w="60"/>
              <w:right w:type="dxa" w:w="100"/>
            </w:tcMar>
            <w:vAlign w:val="top"/>
          </w:tcPr>
          <w:p>
            <w:r>
              <w:rPr>
                <w:sz w:val="14"/>
                <w:szCs w:val="14"/>
              </w:rPr>
              <w:t xml:space="preserve">1.034</w:t>
            </w:r>
          </w:p>
        </w:tc>
        <w:tc>
          <w:tcPr>
            <w:tcW w:type="dxa" w:w="1350"/>
            <w:shd w:fill="F7F9FC" w:color="auto" w:val="clear"/>
            <w:tcMar>
              <w:top w:type="dxa" w:w="60"/>
              <w:left w:type="dxa" w:w="100"/>
              <w:bottom w:type="dxa" w:w="60"/>
              <w:right w:type="dxa" w:w="100"/>
            </w:tcMar>
            <w:vAlign w:val="top"/>
          </w:tcPr>
          <w:p>
            <w:r>
              <w:rPr>
                <w:sz w:val="14"/>
                <w:szCs w:val="14"/>
              </w:rPr>
              <w:t xml:space="preserve">0.797</w:t>
            </w:r>
          </w:p>
        </w:tc>
        <w:tc>
          <w:tcPr>
            <w:tcW w:type="dxa" w:w="1350"/>
            <w:shd w:fill="F7F9FC" w:color="auto" w:val="clear"/>
            <w:tcMar>
              <w:top w:type="dxa" w:w="60"/>
              <w:left w:type="dxa" w:w="100"/>
              <w:bottom w:type="dxa" w:w="60"/>
              <w:right w:type="dxa" w:w="100"/>
            </w:tcMar>
            <w:vAlign w:val="top"/>
          </w:tcPr>
          <w:p>
            <w:r>
              <w:rPr>
                <w:sz w:val="14"/>
                <w:szCs w:val="14"/>
              </w:rPr>
              <w:t xml:space="preserve">0.613</w:t>
            </w:r>
          </w:p>
        </w:tc>
        <w:tc>
          <w:tcPr>
            <w:tcW w:type="dxa" w:w="1500"/>
            <w:shd w:fill="F7F9FC" w:color="auto" w:val="clear"/>
            <w:tcMar>
              <w:top w:type="dxa" w:w="60"/>
              <w:left w:type="dxa" w:w="100"/>
              <w:bottom w:type="dxa" w:w="60"/>
              <w:right w:type="dxa" w:w="100"/>
            </w:tcMar>
            <w:vAlign w:val="top"/>
          </w:tcPr>
          <w:p>
            <w:r>
              <w:rPr>
                <w:sz w:val="14"/>
                <w:szCs w:val="14"/>
              </w:rPr>
              <w:t xml:space="preserve">14,343</w:t>
            </w:r>
          </w:p>
        </w:tc>
        <w:tc>
          <w:tcPr>
            <w:tcW w:type="dxa" w:w="1300"/>
            <w:shd w:fill="F7F9FC" w:color="auto" w:val="clear"/>
            <w:tcMar>
              <w:top w:type="dxa" w:w="60"/>
              <w:left w:type="dxa" w:w="100"/>
              <w:bottom w:type="dxa" w:w="60"/>
              <w:right w:type="dxa" w:w="100"/>
            </w:tcMar>
            <w:vAlign w:val="top"/>
          </w:tcPr>
          <w:p>
            <w:r>
              <w:rPr>
                <w:sz w:val="14"/>
                <w:szCs w:val="14"/>
              </w:rPr>
              <w:t xml:space="preserve">11,245</w:t>
            </w:r>
          </w:p>
        </w:tc>
        <w:tc>
          <w:tcPr>
            <w:tcW w:type="dxa" w:w="1388"/>
            <w:shd w:fill="F7F9FC" w:color="auto" w:val="clear"/>
            <w:tcMar>
              <w:top w:type="dxa" w:w="60"/>
              <w:left w:type="dxa" w:w="100"/>
              <w:bottom w:type="dxa" w:w="60"/>
              <w:right w:type="dxa" w:w="100"/>
            </w:tcMar>
            <w:vAlign w:val="top"/>
          </w:tcPr>
          <w:p>
            <w:r>
              <w:rPr>
                <w:sz w:val="14"/>
                <w:szCs w:val="14"/>
              </w:rPr>
              <w:t xml:space="preserve">6,715</w:t>
            </w:r>
          </w:p>
        </w:tc>
      </w:tr>
      <w:tr>
        <w:trPr>
          <w:cantSplit/>
        </w:trPr>
        <w:tc>
          <w:tcPr>
            <w:tcW w:type="dxa" w:w="1500"/>
            <w:tcMar>
              <w:top w:type="dxa" w:w="60"/>
              <w:left w:type="dxa" w:w="100"/>
              <w:bottom w:type="dxa" w:w="60"/>
              <w:right w:type="dxa" w:w="100"/>
            </w:tcMar>
            <w:vAlign w:val="top"/>
          </w:tcPr>
          <w:p>
            <w:r>
              <w:rPr>
                <w:sz w:val="14"/>
                <w:szCs w:val="14"/>
              </w:rPr>
              <w:t xml:space="preserve">4,000</w:t>
            </w:r>
          </w:p>
        </w:tc>
        <w:tc>
          <w:tcPr>
            <w:tcW w:type="dxa" w:w="1250"/>
            <w:tcMar>
              <w:top w:type="dxa" w:w="60"/>
              <w:left w:type="dxa" w:w="100"/>
              <w:bottom w:type="dxa" w:w="60"/>
              <w:right w:type="dxa" w:w="100"/>
            </w:tcMar>
            <w:vAlign w:val="top"/>
          </w:tcPr>
          <w:p>
            <w:r>
              <w:rPr>
                <w:sz w:val="14"/>
                <w:szCs w:val="14"/>
              </w:rPr>
              <w:t xml:space="preserve">1.055</w:t>
            </w:r>
          </w:p>
        </w:tc>
        <w:tc>
          <w:tcPr>
            <w:tcW w:type="dxa" w:w="1350"/>
            <w:tcMar>
              <w:top w:type="dxa" w:w="60"/>
              <w:left w:type="dxa" w:w="100"/>
              <w:bottom w:type="dxa" w:w="60"/>
              <w:right w:type="dxa" w:w="100"/>
            </w:tcMar>
            <w:vAlign w:val="top"/>
          </w:tcPr>
          <w:p>
            <w:r>
              <w:rPr>
                <w:sz w:val="14"/>
                <w:szCs w:val="14"/>
              </w:rPr>
              <w:t xml:space="preserve">0.813</w:t>
            </w:r>
          </w:p>
        </w:tc>
        <w:tc>
          <w:tcPr>
            <w:tcW w:type="dxa" w:w="1350"/>
            <w:tcMar>
              <w:top w:type="dxa" w:w="60"/>
              <w:left w:type="dxa" w:w="100"/>
              <w:bottom w:type="dxa" w:w="60"/>
              <w:right w:type="dxa" w:w="100"/>
            </w:tcMar>
            <w:vAlign w:val="top"/>
          </w:tcPr>
          <w:p>
            <w:r>
              <w:rPr>
                <w:sz w:val="14"/>
                <w:szCs w:val="14"/>
              </w:rPr>
              <w:t xml:space="preserve">0.626</w:t>
            </w:r>
          </w:p>
        </w:tc>
        <w:tc>
          <w:tcPr>
            <w:tcW w:type="dxa" w:w="1500"/>
            <w:tcMar>
              <w:top w:type="dxa" w:w="60"/>
              <w:left w:type="dxa" w:w="100"/>
              <w:bottom w:type="dxa" w:w="60"/>
              <w:right w:type="dxa" w:w="100"/>
            </w:tcMar>
            <w:vAlign w:val="top"/>
          </w:tcPr>
          <w:p>
            <w:r>
              <w:rPr>
                <w:sz w:val="14"/>
                <w:szCs w:val="14"/>
              </w:rPr>
              <w:t xml:space="preserve">14,714</w:t>
            </w:r>
          </w:p>
        </w:tc>
        <w:tc>
          <w:tcPr>
            <w:tcW w:type="dxa" w:w="1300"/>
            <w:tcMar>
              <w:top w:type="dxa" w:w="60"/>
              <w:left w:type="dxa" w:w="100"/>
              <w:bottom w:type="dxa" w:w="60"/>
              <w:right w:type="dxa" w:w="100"/>
            </w:tcMar>
            <w:vAlign w:val="top"/>
          </w:tcPr>
          <w:p>
            <w:r>
              <w:rPr>
                <w:sz w:val="14"/>
                <w:szCs w:val="14"/>
              </w:rPr>
              <w:t xml:space="preserve">11,625</w:t>
            </w:r>
          </w:p>
        </w:tc>
        <w:tc>
          <w:tcPr>
            <w:tcW w:type="dxa" w:w="1388"/>
            <w:tcMar>
              <w:top w:type="dxa" w:w="60"/>
              <w:left w:type="dxa" w:w="100"/>
              <w:bottom w:type="dxa" w:w="60"/>
              <w:right w:type="dxa" w:w="100"/>
            </w:tcMar>
            <w:vAlign w:val="top"/>
          </w:tcPr>
          <w:p>
            <w:r>
              <w:rPr>
                <w:sz w:val="14"/>
                <w:szCs w:val="14"/>
              </w:rPr>
              <w:t xml:space="preserve">7,083</w:t>
            </w:r>
          </w:p>
        </w:tc>
      </w:tr>
    </w:tbl>
    <w:p>
      <w:pPr>
        <w:spacing w:after="160"/>
      </w:pPr>
    </w:p>
    <w:p>
      <w:pPr>
        <w:spacing w:after="120"/>
      </w:pPr>
      <w:r>
        <w:rPr>
          <w:i/>
          <w:iCs/>
          <w:color w:val="5B6573"/>
          <w:sz w:val="18"/>
          <w:szCs w:val="18"/>
        </w:rPr>
        <w:t xml:space="preserve">Table 9.3. Emergency-stop threshold </w:t>
      </w:r>
      <m:oMath>
        <m:sSup>
          <m:e>
            <m:r>
              <m:t>f</m:t>
            </m:r>
          </m:e>
          <m:sup>
            <m:r>
              <m:rPr>
                <m:sty m:val="p"/>
              </m:rPr>
              <m:t>⋆</m:t>
            </m:r>
          </m:sup>
        </m:sSup>
      </m:oMath>
      <w:r>
        <w:rPr>
          <w:i/>
          <w:iCs/>
          <w:color w:val="5B6573"/>
          <w:sz w:val="18"/>
          <w:szCs w:val="18"/>
        </w:rPr>
        <w:t xml:space="preserve"> of Proposition S4 (the recharge factor above which a stop is safe for every stakeholder) and the recharge per site that makes a stop safe, with the certified Monte Carlo margin (m³/d).</w:t>
      </w:r>
    </w:p>
    <w:p>
      <w:pPr>
        <w:pStyle w:val="ListParagraph"/>
        <w:numPr>
          <w:ilvl w:val="0"/>
          <w:numId w:val="2"/>
        </w:numPr>
        <w:spacing w:after="60"/>
        <w:jc w:val="both"/>
      </w:pPr>
      <w:r>
        <w:rPr>
          <w:b/>
          <w:bCs/>
        </w:rPr>
        <w:t xml:space="preserve">The rule curve replaces the vote.</w:t>
      </w:r>
      <w:r>
        <w:t xml:space="preserve"> Figure M1c is the plan written as one curve per recharge level: the cap falls from 0.8 in a normal year to 0.70 at a recharge factor of 0.75 and 0.35 at 0.7, and every factor up to 0.60 means an emergency stop (0.65 with a heatwave, which also lowers the normal-year cap to 0.65). The regional water agency measures the factor in spring, reads the cap, and nobody needs to vote in July.</w:t>
      </w:r>
    </w:p>
    <w:p>
      <w:pPr>
        <w:pStyle w:val="ListParagraph"/>
        <w:numPr>
          <w:ilvl w:val="0"/>
          <w:numId w:val="2"/>
        </w:numPr>
        <w:spacing w:after="60"/>
        <w:jc w:val="both"/>
      </w:pPr>
      <w:r>
        <w:rPr>
          <w:b/>
          <w:bCs/>
        </w:rPr>
        <w:t xml:space="preserve">The year as a whole, and triggers that err.</w:t>
      </w:r>
      <w:r>
        <w:t xml:space="preserve"> With the present frequencies of the four regimes (60, 25, 10 and 5%), the fair-weather plan gives a yearly risk of 0.199 and the plan 0.084, still above the limit for the most cautious stakeholder (0.134) because the extreme years cannot be made safe locally (Table 9.4). A trigger that mistakes a regime for the next milder one in 20% of years raises the plan's risk to 0.100; one that errs towards severity lowers it to 0.078, as S3 says. With the emergency recharge of S4 the year as a whole meets the limit for every stakeholder (0.086), and still does in a drier future in which extreme years are more than twice as frequent as now (0.092); without it the plan's yearly risk rises to 0.135.</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600"/>
        <w:gridCol w:w="1300"/>
        <w:gridCol w:w="1600"/>
        <w:gridCol w:w="1700"/>
        <w:gridCol w:w="1438"/>
      </w:tblGrid>
      <w:tr>
        <w:trPr>
          <w:cantSplit/>
          <w:tblHeader/>
        </w:trPr>
        <w:tc>
          <w:tcPr>
            <w:tcW w:type="dxa" w:w="3600"/>
            <w:shd w:fill="1F3864" w:color="auto" w:val="clear"/>
            <w:tcMar>
              <w:top w:type="dxa" w:w="60"/>
              <w:left w:type="dxa" w:w="100"/>
              <w:bottom w:type="dxa" w:w="60"/>
              <w:right w:type="dxa" w:w="100"/>
            </w:tcMar>
            <w:vAlign w:val="top"/>
          </w:tcPr>
          <w:p>
            <w:r>
              <w:rPr>
                <w:b/>
                <w:bCs/>
                <w:color w:val="FFFFFF"/>
                <w:sz w:val="14"/>
                <w:szCs w:val="14"/>
              </w:rPr>
              <w:t xml:space="preserve">Rule</w:t>
            </w:r>
          </w:p>
        </w:tc>
        <w:tc>
          <w:tcPr>
            <w:tcW w:type="dxa" w:w="1300"/>
            <w:shd w:fill="1F3864" w:color="auto" w:val="clear"/>
            <w:tcMar>
              <w:top w:type="dxa" w:w="60"/>
              <w:left w:type="dxa" w:w="100"/>
              <w:bottom w:type="dxa" w:w="60"/>
              <w:right w:type="dxa" w:w="100"/>
            </w:tcMar>
            <w:vAlign w:val="top"/>
          </w:tcPr>
          <w:p>
            <w:r>
              <w:rPr>
                <w:b/>
                <w:bCs/>
                <w:color w:val="FFFFFF"/>
                <w:sz w:val="14"/>
                <w:szCs w:val="14"/>
              </w:rPr>
              <w:t xml:space="preserve">Yearly risk</w:t>
            </w:r>
          </w:p>
        </w:tc>
        <w:tc>
          <w:tcPr>
            <w:tcW w:type="dxa" w:w="1600"/>
            <w:shd w:fill="1F3864" w:color="auto" w:val="clear"/>
            <w:tcMar>
              <w:top w:type="dxa" w:w="60"/>
              <w:left w:type="dxa" w:w="100"/>
              <w:bottom w:type="dxa" w:w="60"/>
              <w:right w:type="dxa" w:w="100"/>
            </w:tcMar>
            <w:vAlign w:val="top"/>
          </w:tcPr>
          <w:p>
            <w:r>
              <w:rPr>
                <w:b/>
                <w:bCs/>
                <w:color w:val="FFFFFF"/>
                <w:sz w:val="14"/>
                <w:szCs w:val="14"/>
              </w:rPr>
              <w:t xml:space="preserve">Most cautious stakeholder</w:t>
            </w:r>
          </w:p>
        </w:tc>
        <w:tc>
          <w:tcPr>
            <w:tcW w:type="dxa" w:w="1700"/>
            <w:shd w:fill="1F3864" w:color="auto" w:val="clear"/>
            <w:tcMar>
              <w:top w:type="dxa" w:w="60"/>
              <w:left w:type="dxa" w:w="100"/>
              <w:bottom w:type="dxa" w:w="60"/>
              <w:right w:type="dxa" w:w="100"/>
            </w:tcMar>
            <w:vAlign w:val="top"/>
          </w:tcPr>
          <w:p>
            <w:r>
              <w:rPr>
                <w:b/>
                <w:bCs/>
                <w:color w:val="FFFFFF"/>
                <w:sz w:val="14"/>
                <w:szCs w:val="14"/>
              </w:rPr>
              <w:t xml:space="preserve">Mean licensed pumping (m³/d)</w:t>
            </w:r>
          </w:p>
        </w:tc>
        <w:tc>
          <w:tcPr>
            <w:tcW w:type="dxa" w:w="1438"/>
            <w:shd w:fill="1F3864" w:color="auto" w:val="clear"/>
            <w:tcMar>
              <w:top w:type="dxa" w:w="60"/>
              <w:left w:type="dxa" w:w="100"/>
              <w:bottom w:type="dxa" w:w="60"/>
              <w:right w:type="dxa" w:w="100"/>
            </w:tcMar>
            <w:vAlign w:val="top"/>
          </w:tcPr>
          <w:p>
            <w:r>
              <w:rPr>
                <w:b/>
                <w:bCs/>
                <w:color w:val="FFFFFF"/>
                <w:sz w:val="14"/>
                <w:szCs w:val="14"/>
              </w:rPr>
              <w:t xml:space="preserve">Years with emergency stop</w:t>
            </w:r>
          </w:p>
        </w:tc>
      </w:tr>
      <w:tr>
        <w:trPr>
          <w:cantSplit/>
        </w:trPr>
        <w:tc>
          <w:tcPr>
            <w:tcW w:type="dxa" w:w="3600"/>
            <w:tcMar>
              <w:top w:type="dxa" w:w="60"/>
              <w:left w:type="dxa" w:w="100"/>
              <w:bottom w:type="dxa" w:w="60"/>
              <w:right w:type="dxa" w:w="100"/>
            </w:tcMar>
            <w:vAlign w:val="top"/>
          </w:tcPr>
          <w:p>
            <w:r>
              <w:rPr>
                <w:sz w:val="14"/>
                <w:szCs w:val="14"/>
              </w:rPr>
              <w:t xml:space="preserve">Present climate (60/25/10/5%)</w:t>
            </w:r>
          </w:p>
        </w:tc>
        <w:tc>
          <w:tcPr>
            <w:tcW w:type="dxa" w:w="1300"/>
            <w:tcMar>
              <w:top w:type="dxa" w:w="60"/>
              <w:left w:type="dxa" w:w="100"/>
              <w:bottom w:type="dxa" w:w="60"/>
              <w:right w:type="dxa" w:w="100"/>
            </w:tcMar>
            <w:vAlign w:val="top"/>
          </w:tcPr>
          <w:p/>
        </w:tc>
        <w:tc>
          <w:tcPr>
            <w:tcW w:type="dxa" w:w="1600"/>
            <w:tcMar>
              <w:top w:type="dxa" w:w="60"/>
              <w:left w:type="dxa" w:w="100"/>
              <w:bottom w:type="dxa" w:w="60"/>
              <w:right w:type="dxa" w:w="100"/>
            </w:tcMar>
            <w:vAlign w:val="top"/>
          </w:tcPr>
          <w:p/>
        </w:tc>
        <w:tc>
          <w:tcPr>
            <w:tcW w:type="dxa" w:w="1700"/>
            <w:tcMar>
              <w:top w:type="dxa" w:w="60"/>
              <w:left w:type="dxa" w:w="100"/>
              <w:bottom w:type="dxa" w:w="60"/>
              <w:right w:type="dxa" w:w="100"/>
            </w:tcMar>
            <w:vAlign w:val="top"/>
          </w:tcPr>
          <w:p/>
        </w:tc>
        <w:tc>
          <w:tcPr>
            <w:tcW w:type="dxa" w:w="1438"/>
            <w:tcMar>
              <w:top w:type="dxa" w:w="60"/>
              <w:left w:type="dxa" w:w="100"/>
              <w:bottom w:type="dxa" w:w="60"/>
              <w:right w:type="dxa" w:w="100"/>
            </w:tcMar>
            <w:vAlign w:val="top"/>
          </w:tcPr>
          <w:p/>
        </w:tc>
      </w:tr>
      <w:tr>
        <w:trPr>
          <w:cantSplit/>
        </w:trPr>
        <w:tc>
          <w:tcPr>
            <w:tcW w:type="dxa" w:w="3600"/>
            <w:shd w:fill="F7F9FC" w:color="auto" w:val="clear"/>
            <w:tcMar>
              <w:top w:type="dxa" w:w="60"/>
              <w:left w:type="dxa" w:w="100"/>
              <w:bottom w:type="dxa" w:w="60"/>
              <w:right w:type="dxa" w:w="100"/>
            </w:tcMar>
            <w:vAlign w:val="top"/>
          </w:tcPr>
          <w:p>
            <w:r>
              <w:rPr>
                <w:sz w:val="14"/>
                <w:szCs w:val="14"/>
              </w:rPr>
              <w:t xml:space="preserve">Fair-weather plan (FW)</w:t>
            </w:r>
          </w:p>
        </w:tc>
        <w:tc>
          <w:tcPr>
            <w:tcW w:type="dxa" w:w="1300"/>
            <w:shd w:fill="F7F9FC" w:color="auto" w:val="clear"/>
            <w:tcMar>
              <w:top w:type="dxa" w:w="60"/>
              <w:left w:type="dxa" w:w="100"/>
              <w:bottom w:type="dxa" w:w="60"/>
              <w:right w:type="dxa" w:w="100"/>
            </w:tcMar>
            <w:vAlign w:val="top"/>
          </w:tcPr>
          <w:p>
            <w:r>
              <w:rPr>
                <w:sz w:val="14"/>
                <w:szCs w:val="14"/>
              </w:rPr>
              <w:t xml:space="preserve">0.199</w:t>
            </w:r>
          </w:p>
        </w:tc>
        <w:tc>
          <w:tcPr>
            <w:tcW w:type="dxa" w:w="1600"/>
            <w:shd w:fill="F7F9FC" w:color="auto" w:val="clear"/>
            <w:tcMar>
              <w:top w:type="dxa" w:w="60"/>
              <w:left w:type="dxa" w:w="100"/>
              <w:bottom w:type="dxa" w:w="60"/>
              <w:right w:type="dxa" w:w="100"/>
            </w:tcMar>
            <w:vAlign w:val="top"/>
          </w:tcPr>
          <w:p>
            <w:r>
              <w:rPr>
                <w:sz w:val="14"/>
                <w:szCs w:val="14"/>
              </w:rPr>
              <w:t xml:space="preserve">0.292</w:t>
            </w:r>
          </w:p>
        </w:tc>
        <w:tc>
          <w:tcPr>
            <w:tcW w:type="dxa" w:w="1700"/>
            <w:shd w:fill="F7F9FC" w:color="auto" w:val="clear"/>
            <w:tcMar>
              <w:top w:type="dxa" w:w="60"/>
              <w:left w:type="dxa" w:w="100"/>
              <w:bottom w:type="dxa" w:w="60"/>
              <w:right w:type="dxa" w:w="100"/>
            </w:tcMar>
            <w:vAlign w:val="top"/>
          </w:tcPr>
          <w:p>
            <w:r>
              <w:rPr>
                <w:sz w:val="14"/>
                <w:szCs w:val="14"/>
              </w:rPr>
              <w:t xml:space="preserve">9,648</w:t>
            </w:r>
          </w:p>
        </w:tc>
        <w:tc>
          <w:tcPr>
            <w:tcW w:type="dxa" w:w="1438"/>
            <w:shd w:fill="F7F9FC" w:color="auto" w:val="clear"/>
            <w:tcMar>
              <w:top w:type="dxa" w:w="60"/>
              <w:left w:type="dxa" w:w="100"/>
              <w:bottom w:type="dxa" w:w="60"/>
              <w:right w:type="dxa" w:w="100"/>
            </w:tcMar>
            <w:vAlign w:val="top"/>
          </w:tcPr>
          <w:p>
            <w:r>
              <w:rPr>
                <w:sz w:val="14"/>
                <w:szCs w:val="14"/>
              </w:rPr>
              <w:t xml:space="preserve">0%</w:t>
            </w:r>
          </w:p>
        </w:tc>
      </w:tr>
      <w:tr>
        <w:trPr>
          <w:cantSplit/>
        </w:trPr>
        <w:tc>
          <w:tcPr>
            <w:tcW w:type="dxa" w:w="3600"/>
            <w:tcMar>
              <w:top w:type="dxa" w:w="60"/>
              <w:left w:type="dxa" w:w="100"/>
              <w:bottom w:type="dxa" w:w="60"/>
              <w:right w:type="dxa" w:w="100"/>
            </w:tcMar>
            <w:vAlign w:val="top"/>
          </w:tcPr>
          <w:p>
            <w:r>
              <w:rPr>
                <w:sz w:val="14"/>
                <w:szCs w:val="14"/>
              </w:rPr>
              <w:t xml:space="preserve">Decided in the crisis (IC)</w:t>
            </w:r>
          </w:p>
        </w:tc>
        <w:tc>
          <w:tcPr>
            <w:tcW w:type="dxa" w:w="1300"/>
            <w:tcMar>
              <w:top w:type="dxa" w:w="60"/>
              <w:left w:type="dxa" w:w="100"/>
              <w:bottom w:type="dxa" w:w="60"/>
              <w:right w:type="dxa" w:w="100"/>
            </w:tcMar>
            <w:vAlign w:val="top"/>
          </w:tcPr>
          <w:p>
            <w:r>
              <w:rPr>
                <w:sz w:val="14"/>
                <w:szCs w:val="14"/>
              </w:rPr>
              <w:t xml:space="preserve">0.078</w:t>
            </w:r>
          </w:p>
        </w:tc>
        <w:tc>
          <w:tcPr>
            <w:tcW w:type="dxa" w:w="1600"/>
            <w:tcMar>
              <w:top w:type="dxa" w:w="60"/>
              <w:left w:type="dxa" w:w="100"/>
              <w:bottom w:type="dxa" w:w="60"/>
              <w:right w:type="dxa" w:w="100"/>
            </w:tcMar>
            <w:vAlign w:val="top"/>
          </w:tcPr>
          <w:p>
            <w:r>
              <w:rPr>
                <w:sz w:val="14"/>
                <w:szCs w:val="14"/>
              </w:rPr>
              <w:t xml:space="preserve">0.123</w:t>
            </w:r>
          </w:p>
        </w:tc>
        <w:tc>
          <w:tcPr>
            <w:tcW w:type="dxa" w:w="1700"/>
            <w:tcMar>
              <w:top w:type="dxa" w:w="60"/>
              <w:left w:type="dxa" w:w="100"/>
              <w:bottom w:type="dxa" w:w="60"/>
              <w:right w:type="dxa" w:w="100"/>
            </w:tcMar>
            <w:vAlign w:val="top"/>
          </w:tcPr>
          <w:p>
            <w:r>
              <w:rPr>
                <w:sz w:val="14"/>
                <w:szCs w:val="14"/>
              </w:rPr>
              <w:t xml:space="preserve">5,789</w:t>
            </w:r>
          </w:p>
        </w:tc>
        <w:tc>
          <w:tcPr>
            <w:tcW w:type="dxa" w:w="1438"/>
            <w:tcMar>
              <w:top w:type="dxa" w:w="60"/>
              <w:left w:type="dxa" w:w="100"/>
              <w:bottom w:type="dxa" w:w="60"/>
              <w:right w:type="dxa" w:w="100"/>
            </w:tcMar>
            <w:vAlign w:val="top"/>
          </w:tcPr>
          <w:p>
            <w:r>
              <w:rPr>
                <w:sz w:val="14"/>
                <w:szCs w:val="14"/>
              </w:rPr>
              <w:t xml:space="preserve">15%</w:t>
            </w:r>
          </w:p>
        </w:tc>
      </w:tr>
      <w:tr>
        <w:trPr>
          <w:cantSplit/>
        </w:trPr>
        <w:tc>
          <w:tcPr>
            <w:tcW w:type="dxa" w:w="3600"/>
            <w:shd w:fill="F7F9FC" w:color="auto" w:val="clear"/>
            <w:tcMar>
              <w:top w:type="dxa" w:w="60"/>
              <w:left w:type="dxa" w:w="100"/>
              <w:bottom w:type="dxa" w:w="60"/>
              <w:right w:type="dxa" w:w="100"/>
            </w:tcMar>
            <w:vAlign w:val="top"/>
          </w:tcPr>
          <w:p>
            <w:r>
              <w:rPr>
                <w:sz w:val="14"/>
                <w:szCs w:val="14"/>
              </w:rPr>
              <w:t xml:space="preserve">Plan, physics only (PC0)</w:t>
            </w:r>
          </w:p>
        </w:tc>
        <w:tc>
          <w:tcPr>
            <w:tcW w:type="dxa" w:w="1300"/>
            <w:shd w:fill="F7F9FC" w:color="auto" w:val="clear"/>
            <w:tcMar>
              <w:top w:type="dxa" w:w="60"/>
              <w:left w:type="dxa" w:w="100"/>
              <w:bottom w:type="dxa" w:w="60"/>
              <w:right w:type="dxa" w:w="100"/>
            </w:tcMar>
            <w:vAlign w:val="top"/>
          </w:tcPr>
          <w:p>
            <w:r>
              <w:rPr>
                <w:sz w:val="14"/>
                <w:szCs w:val="14"/>
              </w:rPr>
              <w:t xml:space="preserve">0.085</w:t>
            </w:r>
          </w:p>
        </w:tc>
        <w:tc>
          <w:tcPr>
            <w:tcW w:type="dxa" w:w="1600"/>
            <w:shd w:fill="F7F9FC" w:color="auto" w:val="clear"/>
            <w:tcMar>
              <w:top w:type="dxa" w:w="60"/>
              <w:left w:type="dxa" w:w="100"/>
              <w:bottom w:type="dxa" w:w="60"/>
              <w:right w:type="dxa" w:w="100"/>
            </w:tcMar>
            <w:vAlign w:val="top"/>
          </w:tcPr>
          <w:p>
            <w:r>
              <w:rPr>
                <w:sz w:val="14"/>
                <w:szCs w:val="14"/>
              </w:rPr>
              <w:t xml:space="preserve">0.135</w:t>
            </w:r>
          </w:p>
        </w:tc>
        <w:tc>
          <w:tcPr>
            <w:tcW w:type="dxa" w:w="1700"/>
            <w:shd w:fill="F7F9FC" w:color="auto" w:val="clear"/>
            <w:tcMar>
              <w:top w:type="dxa" w:w="60"/>
              <w:left w:type="dxa" w:w="100"/>
              <w:bottom w:type="dxa" w:w="60"/>
              <w:right w:type="dxa" w:w="100"/>
            </w:tcMar>
            <w:vAlign w:val="top"/>
          </w:tcPr>
          <w:p>
            <w:r>
              <w:rPr>
                <w:sz w:val="14"/>
                <w:szCs w:val="14"/>
              </w:rPr>
              <w:t xml:space="preserve">8,050</w:t>
            </w:r>
          </w:p>
        </w:tc>
        <w:tc>
          <w:tcPr>
            <w:tcW w:type="dxa" w:w="1438"/>
            <w:shd w:fill="F7F9FC" w:color="auto" w:val="clear"/>
            <w:tcMar>
              <w:top w:type="dxa" w:w="60"/>
              <w:left w:type="dxa" w:w="100"/>
              <w:bottom w:type="dxa" w:w="60"/>
              <w:right w:type="dxa" w:w="100"/>
            </w:tcMar>
            <w:vAlign w:val="top"/>
          </w:tcPr>
          <w:p>
            <w:r>
              <w:rPr>
                <w:sz w:val="14"/>
                <w:szCs w:val="14"/>
              </w:rPr>
              <w:t xml:space="preserve">15%</w:t>
            </w:r>
          </w:p>
        </w:tc>
      </w:tr>
      <w:tr>
        <w:trPr>
          <w:cantSplit/>
        </w:trPr>
        <w:tc>
          <w:tcPr>
            <w:tcW w:type="dxa" w:w="3600"/>
            <w:tcMar>
              <w:top w:type="dxa" w:w="60"/>
              <w:left w:type="dxa" w:w="100"/>
              <w:bottom w:type="dxa" w:w="60"/>
              <w:right w:type="dxa" w:w="100"/>
            </w:tcMar>
            <w:vAlign w:val="top"/>
          </w:tcPr>
          <w:p>
            <w:r>
              <w:rPr>
                <w:sz w:val="14"/>
                <w:szCs w:val="14"/>
              </w:rPr>
              <w:t xml:space="preserve">Plan of MOTI-GO (PC)</w:t>
            </w:r>
          </w:p>
        </w:tc>
        <w:tc>
          <w:tcPr>
            <w:tcW w:type="dxa" w:w="1300"/>
            <w:tcMar>
              <w:top w:type="dxa" w:w="60"/>
              <w:left w:type="dxa" w:w="100"/>
              <w:bottom w:type="dxa" w:w="60"/>
              <w:right w:type="dxa" w:w="100"/>
            </w:tcMar>
            <w:vAlign w:val="top"/>
          </w:tcPr>
          <w:p>
            <w:r>
              <w:rPr>
                <w:sz w:val="14"/>
                <w:szCs w:val="14"/>
              </w:rPr>
              <w:t xml:space="preserve">0.084</w:t>
            </w:r>
          </w:p>
        </w:tc>
        <w:tc>
          <w:tcPr>
            <w:tcW w:type="dxa" w:w="1600"/>
            <w:tcMar>
              <w:top w:type="dxa" w:w="60"/>
              <w:left w:type="dxa" w:w="100"/>
              <w:bottom w:type="dxa" w:w="60"/>
              <w:right w:type="dxa" w:w="100"/>
            </w:tcMar>
            <w:vAlign w:val="top"/>
          </w:tcPr>
          <w:p>
            <w:r>
              <w:rPr>
                <w:sz w:val="14"/>
                <w:szCs w:val="14"/>
              </w:rPr>
              <w:t xml:space="preserve">0.134</w:t>
            </w:r>
          </w:p>
        </w:tc>
        <w:tc>
          <w:tcPr>
            <w:tcW w:type="dxa" w:w="1700"/>
            <w:tcMar>
              <w:top w:type="dxa" w:w="60"/>
              <w:left w:type="dxa" w:w="100"/>
              <w:bottom w:type="dxa" w:w="60"/>
              <w:right w:type="dxa" w:w="100"/>
            </w:tcMar>
            <w:vAlign w:val="top"/>
          </w:tcPr>
          <w:p>
            <w:r>
              <w:rPr>
                <w:sz w:val="14"/>
                <w:szCs w:val="14"/>
              </w:rPr>
              <w:t xml:space="preserve">7,899</w:t>
            </w:r>
          </w:p>
        </w:tc>
        <w:tc>
          <w:tcPr>
            <w:tcW w:type="dxa" w:w="1438"/>
            <w:tcMar>
              <w:top w:type="dxa" w:w="60"/>
              <w:left w:type="dxa" w:w="100"/>
              <w:bottom w:type="dxa" w:w="60"/>
              <w:right w:type="dxa" w:w="100"/>
            </w:tcMar>
            <w:vAlign w:val="top"/>
          </w:tcPr>
          <w:p>
            <w:r>
              <w:rPr>
                <w:sz w:val="14"/>
                <w:szCs w:val="14"/>
              </w:rPr>
              <w:t xml:space="preserve">15%</w:t>
            </w:r>
          </w:p>
        </w:tc>
      </w:tr>
      <w:tr>
        <w:trPr>
          <w:cantSplit/>
        </w:trPr>
        <w:tc>
          <w:tcPr>
            <w:tcW w:type="dxa" w:w="3600"/>
            <w:shd w:fill="F7F9FC" w:color="auto" w:val="clear"/>
            <w:tcMar>
              <w:top w:type="dxa" w:w="60"/>
              <w:left w:type="dxa" w:w="100"/>
              <w:bottom w:type="dxa" w:w="60"/>
              <w:right w:type="dxa" w:w="100"/>
            </w:tcMar>
            <w:vAlign w:val="top"/>
          </w:tcPr>
          <w:p>
            <w:r>
              <w:rPr>
                <w:sz w:val="14"/>
                <w:szCs w:val="14"/>
              </w:rPr>
              <w:t xml:space="preserve">Plan, trigger too mild in 20% of years</w:t>
            </w:r>
          </w:p>
        </w:tc>
        <w:tc>
          <w:tcPr>
            <w:tcW w:type="dxa" w:w="1300"/>
            <w:shd w:fill="F7F9FC" w:color="auto" w:val="clear"/>
            <w:tcMar>
              <w:top w:type="dxa" w:w="60"/>
              <w:left w:type="dxa" w:w="100"/>
              <w:bottom w:type="dxa" w:w="60"/>
              <w:right w:type="dxa" w:w="100"/>
            </w:tcMar>
            <w:vAlign w:val="top"/>
          </w:tcPr>
          <w:p>
            <w:r>
              <w:rPr>
                <w:sz w:val="14"/>
                <w:szCs w:val="14"/>
              </w:rPr>
              <w:t xml:space="preserve">0.100</w:t>
            </w:r>
          </w:p>
        </w:tc>
        <w:tc>
          <w:tcPr>
            <w:tcW w:type="dxa" w:w="1600"/>
            <w:shd w:fill="F7F9FC" w:color="auto" w:val="clear"/>
            <w:tcMar>
              <w:top w:type="dxa" w:w="60"/>
              <w:left w:type="dxa" w:w="100"/>
              <w:bottom w:type="dxa" w:w="60"/>
              <w:right w:type="dxa" w:w="100"/>
            </w:tcMar>
            <w:vAlign w:val="top"/>
          </w:tcPr>
          <w:p>
            <w:r>
              <w:rPr>
                <w:sz w:val="14"/>
                <w:szCs w:val="14"/>
              </w:rPr>
              <w:t xml:space="preserve">0.155</w:t>
            </w:r>
          </w:p>
        </w:tc>
        <w:tc>
          <w:tcPr>
            <w:tcW w:type="dxa" w:w="1700"/>
            <w:shd w:fill="F7F9FC" w:color="auto" w:val="clear"/>
            <w:tcMar>
              <w:top w:type="dxa" w:w="60"/>
              <w:left w:type="dxa" w:w="100"/>
              <w:bottom w:type="dxa" w:w="60"/>
              <w:right w:type="dxa" w:w="100"/>
            </w:tcMar>
            <w:vAlign w:val="top"/>
          </w:tcPr>
          <w:p>
            <w:r>
              <w:rPr>
                <w:sz w:val="14"/>
                <w:szCs w:val="14"/>
              </w:rPr>
              <w:t xml:space="preserve">8,128</w:t>
            </w:r>
          </w:p>
        </w:tc>
        <w:tc>
          <w:tcPr>
            <w:tcW w:type="dxa" w:w="1438"/>
            <w:shd w:fill="F7F9FC" w:color="auto" w:val="clear"/>
            <w:tcMar>
              <w:top w:type="dxa" w:w="60"/>
              <w:left w:type="dxa" w:w="100"/>
              <w:bottom w:type="dxa" w:w="60"/>
              <w:right w:type="dxa" w:w="100"/>
            </w:tcMar>
            <w:vAlign w:val="top"/>
          </w:tcPr>
          <w:p>
            <w:r>
              <w:rPr>
                <w:sz w:val="14"/>
                <w:szCs w:val="14"/>
              </w:rPr>
              <w:t xml:space="preserve">—</w:t>
            </w:r>
          </w:p>
        </w:tc>
      </w:tr>
      <w:tr>
        <w:trPr>
          <w:cantSplit/>
        </w:trPr>
        <w:tc>
          <w:tcPr>
            <w:tcW w:type="dxa" w:w="3600"/>
            <w:tcMar>
              <w:top w:type="dxa" w:w="60"/>
              <w:left w:type="dxa" w:w="100"/>
              <w:bottom w:type="dxa" w:w="60"/>
              <w:right w:type="dxa" w:w="100"/>
            </w:tcMar>
            <w:vAlign w:val="top"/>
          </w:tcPr>
          <w:p>
            <w:r>
              <w:rPr>
                <w:sz w:val="14"/>
                <w:szCs w:val="14"/>
              </w:rPr>
              <w:t xml:space="preserve">Plan, trigger too severe in 20% of years</w:t>
            </w:r>
          </w:p>
        </w:tc>
        <w:tc>
          <w:tcPr>
            <w:tcW w:type="dxa" w:w="1300"/>
            <w:tcMar>
              <w:top w:type="dxa" w:w="60"/>
              <w:left w:type="dxa" w:w="100"/>
              <w:bottom w:type="dxa" w:w="60"/>
              <w:right w:type="dxa" w:w="100"/>
            </w:tcMar>
            <w:vAlign w:val="top"/>
          </w:tcPr>
          <w:p>
            <w:r>
              <w:rPr>
                <w:sz w:val="14"/>
                <w:szCs w:val="14"/>
              </w:rPr>
              <w:t xml:space="preserve">0.078</w:t>
            </w:r>
          </w:p>
        </w:tc>
        <w:tc>
          <w:tcPr>
            <w:tcW w:type="dxa" w:w="1600"/>
            <w:tcMar>
              <w:top w:type="dxa" w:w="60"/>
              <w:left w:type="dxa" w:w="100"/>
              <w:bottom w:type="dxa" w:w="60"/>
              <w:right w:type="dxa" w:w="100"/>
            </w:tcMar>
            <w:vAlign w:val="top"/>
          </w:tcPr>
          <w:p>
            <w:r>
              <w:rPr>
                <w:sz w:val="14"/>
                <w:szCs w:val="14"/>
              </w:rPr>
              <w:t xml:space="preserve">0.124</w:t>
            </w:r>
          </w:p>
        </w:tc>
        <w:tc>
          <w:tcPr>
            <w:tcW w:type="dxa" w:w="1700"/>
            <w:tcMar>
              <w:top w:type="dxa" w:w="60"/>
              <w:left w:type="dxa" w:w="100"/>
              <w:bottom w:type="dxa" w:w="60"/>
              <w:right w:type="dxa" w:w="100"/>
            </w:tcMar>
            <w:vAlign w:val="top"/>
          </w:tcPr>
          <w:p>
            <w:r>
              <w:rPr>
                <w:sz w:val="14"/>
                <w:szCs w:val="14"/>
              </w:rPr>
              <w:t xml:space="preserve">7,332</w:t>
            </w:r>
          </w:p>
        </w:tc>
        <w:tc>
          <w:tcPr>
            <w:tcW w:type="dxa" w:w="1438"/>
            <w:tcMar>
              <w:top w:type="dxa" w:w="60"/>
              <w:left w:type="dxa" w:w="100"/>
              <w:bottom w:type="dxa" w:w="60"/>
              <w:right w:type="dxa" w:w="100"/>
            </w:tcMar>
            <w:vAlign w:val="top"/>
          </w:tcPr>
          <w:p>
            <w:r>
              <w:rPr>
                <w:sz w:val="14"/>
                <w:szCs w:val="14"/>
              </w:rPr>
              <w:t xml:space="preserve">—</w:t>
            </w:r>
          </w:p>
        </w:tc>
      </w:tr>
      <w:tr>
        <w:trPr>
          <w:cantSplit/>
        </w:trPr>
        <w:tc>
          <w:tcPr>
            <w:tcW w:type="dxa" w:w="3600"/>
            <w:shd w:fill="F7F9FC" w:color="auto" w:val="clear"/>
            <w:tcMar>
              <w:top w:type="dxa" w:w="60"/>
              <w:left w:type="dxa" w:w="100"/>
              <w:bottom w:type="dxa" w:w="60"/>
              <w:right w:type="dxa" w:w="100"/>
            </w:tcMar>
            <w:vAlign w:val="top"/>
          </w:tcPr>
          <w:p>
            <w:r>
              <w:rPr>
                <w:sz w:val="14"/>
                <w:szCs w:val="14"/>
              </w:rPr>
              <w:t xml:space="preserve">Plan with emergency recharge for a safe stop</w:t>
            </w:r>
          </w:p>
        </w:tc>
        <w:tc>
          <w:tcPr>
            <w:tcW w:type="dxa" w:w="1300"/>
            <w:shd w:fill="F7F9FC" w:color="auto" w:val="clear"/>
            <w:tcMar>
              <w:top w:type="dxa" w:w="60"/>
              <w:left w:type="dxa" w:w="100"/>
              <w:bottom w:type="dxa" w:w="60"/>
              <w:right w:type="dxa" w:w="100"/>
            </w:tcMar>
            <w:vAlign w:val="top"/>
          </w:tcPr>
          <w:p>
            <w:r>
              <w:rPr>
                <w:sz w:val="14"/>
                <w:szCs w:val="14"/>
              </w:rPr>
              <w:t xml:space="preserve">0.049</w:t>
            </w:r>
          </w:p>
        </w:tc>
        <w:tc>
          <w:tcPr>
            <w:tcW w:type="dxa" w:w="1600"/>
            <w:shd w:fill="F7F9FC" w:color="auto" w:val="clear"/>
            <w:tcMar>
              <w:top w:type="dxa" w:w="60"/>
              <w:left w:type="dxa" w:w="100"/>
              <w:bottom w:type="dxa" w:w="60"/>
              <w:right w:type="dxa" w:w="100"/>
            </w:tcMar>
            <w:vAlign w:val="top"/>
          </w:tcPr>
          <w:p>
            <w:r>
              <w:rPr>
                <w:sz w:val="14"/>
                <w:szCs w:val="14"/>
              </w:rPr>
              <w:t xml:space="preserve">0.086</w:t>
            </w:r>
          </w:p>
        </w:tc>
        <w:tc>
          <w:tcPr>
            <w:tcW w:type="dxa" w:w="1700"/>
            <w:shd w:fill="F7F9FC" w:color="auto" w:val="clear"/>
            <w:tcMar>
              <w:top w:type="dxa" w:w="60"/>
              <w:left w:type="dxa" w:w="100"/>
              <w:bottom w:type="dxa" w:w="60"/>
              <w:right w:type="dxa" w:w="100"/>
            </w:tcMar>
            <w:vAlign w:val="top"/>
          </w:tcPr>
          <w:p>
            <w:r>
              <w:rPr>
                <w:sz w:val="14"/>
                <w:szCs w:val="14"/>
              </w:rPr>
              <w:t xml:space="preserve">7,899</w:t>
            </w:r>
          </w:p>
        </w:tc>
        <w:tc>
          <w:tcPr>
            <w:tcW w:type="dxa" w:w="1438"/>
            <w:shd w:fill="F7F9FC" w:color="auto" w:val="clear"/>
            <w:tcMar>
              <w:top w:type="dxa" w:w="60"/>
              <w:left w:type="dxa" w:w="100"/>
              <w:bottom w:type="dxa" w:w="60"/>
              <w:right w:type="dxa" w:w="100"/>
            </w:tcMar>
            <w:vAlign w:val="top"/>
          </w:tcPr>
          <w:p>
            <w:r>
              <w:rPr>
                <w:sz w:val="14"/>
                <w:szCs w:val="14"/>
              </w:rPr>
              <w:t xml:space="preserve">15%</w:t>
            </w:r>
          </w:p>
        </w:tc>
      </w:tr>
      <w:tr>
        <w:trPr>
          <w:cantSplit/>
        </w:trPr>
        <w:tc>
          <w:tcPr>
            <w:tcW w:type="dxa" w:w="3600"/>
            <w:tcMar>
              <w:top w:type="dxa" w:w="60"/>
              <w:left w:type="dxa" w:w="100"/>
              <w:bottom w:type="dxa" w:w="60"/>
              <w:right w:type="dxa" w:w="100"/>
            </w:tcMar>
            <w:vAlign w:val="top"/>
          </w:tcPr>
          <w:p>
            <w:r>
              <w:rPr>
                <w:sz w:val="14"/>
                <w:szCs w:val="14"/>
              </w:rPr>
              <w:t xml:space="preserve">Drier future (35/30/20/15%)</w:t>
            </w:r>
          </w:p>
        </w:tc>
        <w:tc>
          <w:tcPr>
            <w:tcW w:type="dxa" w:w="1300"/>
            <w:tcMar>
              <w:top w:type="dxa" w:w="60"/>
              <w:left w:type="dxa" w:w="100"/>
              <w:bottom w:type="dxa" w:w="60"/>
              <w:right w:type="dxa" w:w="100"/>
            </w:tcMar>
            <w:vAlign w:val="top"/>
          </w:tcPr>
          <w:p/>
        </w:tc>
        <w:tc>
          <w:tcPr>
            <w:tcW w:type="dxa" w:w="1600"/>
            <w:tcMar>
              <w:top w:type="dxa" w:w="60"/>
              <w:left w:type="dxa" w:w="100"/>
              <w:bottom w:type="dxa" w:w="60"/>
              <w:right w:type="dxa" w:w="100"/>
            </w:tcMar>
            <w:vAlign w:val="top"/>
          </w:tcPr>
          <w:p/>
        </w:tc>
        <w:tc>
          <w:tcPr>
            <w:tcW w:type="dxa" w:w="1700"/>
            <w:tcMar>
              <w:top w:type="dxa" w:w="60"/>
              <w:left w:type="dxa" w:w="100"/>
              <w:bottom w:type="dxa" w:w="60"/>
              <w:right w:type="dxa" w:w="100"/>
            </w:tcMar>
            <w:vAlign w:val="top"/>
          </w:tcPr>
          <w:p/>
        </w:tc>
        <w:tc>
          <w:tcPr>
            <w:tcW w:type="dxa" w:w="1438"/>
            <w:tcMar>
              <w:top w:type="dxa" w:w="60"/>
              <w:left w:type="dxa" w:w="100"/>
              <w:bottom w:type="dxa" w:w="60"/>
              <w:right w:type="dxa" w:w="100"/>
            </w:tcMar>
            <w:vAlign w:val="top"/>
          </w:tcPr>
          <w:p/>
        </w:tc>
      </w:tr>
      <w:tr>
        <w:trPr>
          <w:cantSplit/>
        </w:trPr>
        <w:tc>
          <w:tcPr>
            <w:tcW w:type="dxa" w:w="3600"/>
            <w:shd w:fill="F7F9FC" w:color="auto" w:val="clear"/>
            <w:tcMar>
              <w:top w:type="dxa" w:w="60"/>
              <w:left w:type="dxa" w:w="100"/>
              <w:bottom w:type="dxa" w:w="60"/>
              <w:right w:type="dxa" w:w="100"/>
            </w:tcMar>
            <w:vAlign w:val="top"/>
          </w:tcPr>
          <w:p>
            <w:r>
              <w:rPr>
                <w:sz w:val="14"/>
                <w:szCs w:val="14"/>
              </w:rPr>
              <w:t xml:space="preserve">Fair-weather plan (FW)</w:t>
            </w:r>
          </w:p>
        </w:tc>
        <w:tc>
          <w:tcPr>
            <w:tcW w:type="dxa" w:w="1300"/>
            <w:shd w:fill="F7F9FC" w:color="auto" w:val="clear"/>
            <w:tcMar>
              <w:top w:type="dxa" w:w="60"/>
              <w:left w:type="dxa" w:w="100"/>
              <w:bottom w:type="dxa" w:w="60"/>
              <w:right w:type="dxa" w:w="100"/>
            </w:tcMar>
            <w:vAlign w:val="top"/>
          </w:tcPr>
          <w:p>
            <w:r>
              <w:rPr>
                <w:sz w:val="14"/>
                <w:szCs w:val="14"/>
              </w:rPr>
              <w:t xml:space="preserve">0.356</w:t>
            </w:r>
          </w:p>
        </w:tc>
        <w:tc>
          <w:tcPr>
            <w:tcW w:type="dxa" w:w="1600"/>
            <w:shd w:fill="F7F9FC" w:color="auto" w:val="clear"/>
            <w:tcMar>
              <w:top w:type="dxa" w:w="60"/>
              <w:left w:type="dxa" w:w="100"/>
              <w:bottom w:type="dxa" w:w="60"/>
              <w:right w:type="dxa" w:w="100"/>
            </w:tcMar>
            <w:vAlign w:val="top"/>
          </w:tcPr>
          <w:p>
            <w:r>
              <w:rPr>
                <w:sz w:val="14"/>
                <w:szCs w:val="14"/>
              </w:rPr>
              <w:t xml:space="preserve">0.471</w:t>
            </w:r>
          </w:p>
        </w:tc>
        <w:tc>
          <w:tcPr>
            <w:tcW w:type="dxa" w:w="1700"/>
            <w:shd w:fill="F7F9FC" w:color="auto" w:val="clear"/>
            <w:tcMar>
              <w:top w:type="dxa" w:w="60"/>
              <w:left w:type="dxa" w:w="100"/>
              <w:bottom w:type="dxa" w:w="60"/>
              <w:right w:type="dxa" w:w="100"/>
            </w:tcMar>
            <w:vAlign w:val="top"/>
          </w:tcPr>
          <w:p>
            <w:r>
              <w:rPr>
                <w:sz w:val="14"/>
                <w:szCs w:val="14"/>
              </w:rPr>
              <w:t xml:space="preserve">9,648</w:t>
            </w:r>
          </w:p>
        </w:tc>
        <w:tc>
          <w:tcPr>
            <w:tcW w:type="dxa" w:w="1438"/>
            <w:shd w:fill="F7F9FC" w:color="auto" w:val="clear"/>
            <w:tcMar>
              <w:top w:type="dxa" w:w="60"/>
              <w:left w:type="dxa" w:w="100"/>
              <w:bottom w:type="dxa" w:w="60"/>
              <w:right w:type="dxa" w:w="100"/>
            </w:tcMar>
            <w:vAlign w:val="top"/>
          </w:tcPr>
          <w:p>
            <w:r>
              <w:rPr>
                <w:sz w:val="14"/>
                <w:szCs w:val="14"/>
              </w:rPr>
              <w:t xml:space="preserve">0%</w:t>
            </w:r>
          </w:p>
        </w:tc>
      </w:tr>
      <w:tr>
        <w:trPr>
          <w:cantSplit/>
        </w:trPr>
        <w:tc>
          <w:tcPr>
            <w:tcW w:type="dxa" w:w="3600"/>
            <w:tcMar>
              <w:top w:type="dxa" w:w="60"/>
              <w:left w:type="dxa" w:w="100"/>
              <w:bottom w:type="dxa" w:w="60"/>
              <w:right w:type="dxa" w:w="100"/>
            </w:tcMar>
            <w:vAlign w:val="top"/>
          </w:tcPr>
          <w:p>
            <w:r>
              <w:rPr>
                <w:sz w:val="14"/>
                <w:szCs w:val="14"/>
              </w:rPr>
              <w:t xml:space="preserve">Decided in the crisis (IC)</w:t>
            </w:r>
          </w:p>
        </w:tc>
        <w:tc>
          <w:tcPr>
            <w:tcW w:type="dxa" w:w="1300"/>
            <w:tcMar>
              <w:top w:type="dxa" w:w="60"/>
              <w:left w:type="dxa" w:w="100"/>
              <w:bottom w:type="dxa" w:w="60"/>
              <w:right w:type="dxa" w:w="100"/>
            </w:tcMar>
            <w:vAlign w:val="top"/>
          </w:tcPr>
          <w:p>
            <w:r>
              <w:rPr>
                <w:sz w:val="14"/>
                <w:szCs w:val="14"/>
              </w:rPr>
              <w:t xml:space="preserve">0.128</w:t>
            </w:r>
          </w:p>
        </w:tc>
        <w:tc>
          <w:tcPr>
            <w:tcW w:type="dxa" w:w="1600"/>
            <w:tcMar>
              <w:top w:type="dxa" w:w="60"/>
              <w:left w:type="dxa" w:w="100"/>
              <w:bottom w:type="dxa" w:w="60"/>
              <w:right w:type="dxa" w:w="100"/>
            </w:tcMar>
            <w:vAlign w:val="top"/>
          </w:tcPr>
          <w:p>
            <w:r>
              <w:rPr>
                <w:sz w:val="14"/>
                <w:szCs w:val="14"/>
              </w:rPr>
              <w:t xml:space="preserve">0.193</w:t>
            </w:r>
          </w:p>
        </w:tc>
        <w:tc>
          <w:tcPr>
            <w:tcW w:type="dxa" w:w="1700"/>
            <w:tcMar>
              <w:top w:type="dxa" w:w="60"/>
              <w:left w:type="dxa" w:w="100"/>
              <w:bottom w:type="dxa" w:w="60"/>
              <w:right w:type="dxa" w:w="100"/>
            </w:tcMar>
            <w:vAlign w:val="top"/>
          </w:tcPr>
          <w:p>
            <w:r>
              <w:rPr>
                <w:sz w:val="14"/>
                <w:szCs w:val="14"/>
              </w:rPr>
              <w:t xml:space="preserve">3,377</w:t>
            </w:r>
          </w:p>
        </w:tc>
        <w:tc>
          <w:tcPr>
            <w:tcW w:type="dxa" w:w="1438"/>
            <w:tcMar>
              <w:top w:type="dxa" w:w="60"/>
              <w:left w:type="dxa" w:w="100"/>
              <w:bottom w:type="dxa" w:w="60"/>
              <w:right w:type="dxa" w:w="100"/>
            </w:tcMar>
            <w:vAlign w:val="top"/>
          </w:tcPr>
          <w:p>
            <w:r>
              <w:rPr>
                <w:sz w:val="14"/>
                <w:szCs w:val="14"/>
              </w:rPr>
              <w:t xml:space="preserve">35%</w:t>
            </w:r>
          </w:p>
        </w:tc>
      </w:tr>
      <w:tr>
        <w:trPr>
          <w:cantSplit/>
        </w:trPr>
        <w:tc>
          <w:tcPr>
            <w:tcW w:type="dxa" w:w="3600"/>
            <w:shd w:fill="F7F9FC" w:color="auto" w:val="clear"/>
            <w:tcMar>
              <w:top w:type="dxa" w:w="60"/>
              <w:left w:type="dxa" w:w="100"/>
              <w:bottom w:type="dxa" w:w="60"/>
              <w:right w:type="dxa" w:w="100"/>
            </w:tcMar>
            <w:vAlign w:val="top"/>
          </w:tcPr>
          <w:p>
            <w:r>
              <w:rPr>
                <w:sz w:val="14"/>
                <w:szCs w:val="14"/>
              </w:rPr>
              <w:t xml:space="preserve">Plan, physics only (PC0)</w:t>
            </w:r>
          </w:p>
        </w:tc>
        <w:tc>
          <w:tcPr>
            <w:tcW w:type="dxa" w:w="1300"/>
            <w:shd w:fill="F7F9FC" w:color="auto" w:val="clear"/>
            <w:tcMar>
              <w:top w:type="dxa" w:w="60"/>
              <w:left w:type="dxa" w:w="100"/>
              <w:bottom w:type="dxa" w:w="60"/>
              <w:right w:type="dxa" w:w="100"/>
            </w:tcMar>
            <w:vAlign w:val="top"/>
          </w:tcPr>
          <w:p>
            <w:r>
              <w:rPr>
                <w:sz w:val="14"/>
                <w:szCs w:val="14"/>
              </w:rPr>
              <w:t xml:space="preserve">0.137</w:t>
            </w:r>
          </w:p>
        </w:tc>
        <w:tc>
          <w:tcPr>
            <w:tcW w:type="dxa" w:w="1600"/>
            <w:shd w:fill="F7F9FC" w:color="auto" w:val="clear"/>
            <w:tcMar>
              <w:top w:type="dxa" w:w="60"/>
              <w:left w:type="dxa" w:w="100"/>
              <w:bottom w:type="dxa" w:w="60"/>
              <w:right w:type="dxa" w:w="100"/>
            </w:tcMar>
            <w:vAlign w:val="top"/>
          </w:tcPr>
          <w:p>
            <w:r>
              <w:rPr>
                <w:sz w:val="14"/>
                <w:szCs w:val="14"/>
              </w:rPr>
              <w:t xml:space="preserve">0.207</w:t>
            </w:r>
          </w:p>
        </w:tc>
        <w:tc>
          <w:tcPr>
            <w:tcW w:type="dxa" w:w="1700"/>
            <w:shd w:fill="F7F9FC" w:color="auto" w:val="clear"/>
            <w:tcMar>
              <w:top w:type="dxa" w:w="60"/>
              <w:left w:type="dxa" w:w="100"/>
              <w:bottom w:type="dxa" w:w="60"/>
              <w:right w:type="dxa" w:w="100"/>
            </w:tcMar>
            <w:vAlign w:val="top"/>
          </w:tcPr>
          <w:p>
            <w:r>
              <w:rPr>
                <w:sz w:val="14"/>
                <w:szCs w:val="14"/>
              </w:rPr>
              <w:t xml:space="preserve">6,090</w:t>
            </w:r>
          </w:p>
        </w:tc>
        <w:tc>
          <w:tcPr>
            <w:tcW w:type="dxa" w:w="1438"/>
            <w:shd w:fill="F7F9FC" w:color="auto" w:val="clear"/>
            <w:tcMar>
              <w:top w:type="dxa" w:w="60"/>
              <w:left w:type="dxa" w:w="100"/>
              <w:bottom w:type="dxa" w:w="60"/>
              <w:right w:type="dxa" w:w="100"/>
            </w:tcMar>
            <w:vAlign w:val="top"/>
          </w:tcPr>
          <w:p>
            <w:r>
              <w:rPr>
                <w:sz w:val="14"/>
                <w:szCs w:val="14"/>
              </w:rPr>
              <w:t xml:space="preserve">35%</w:t>
            </w:r>
          </w:p>
        </w:tc>
      </w:tr>
      <w:tr>
        <w:trPr>
          <w:cantSplit/>
        </w:trPr>
        <w:tc>
          <w:tcPr>
            <w:tcW w:type="dxa" w:w="3600"/>
            <w:tcMar>
              <w:top w:type="dxa" w:w="60"/>
              <w:left w:type="dxa" w:w="100"/>
              <w:bottom w:type="dxa" w:w="60"/>
              <w:right w:type="dxa" w:w="100"/>
            </w:tcMar>
            <w:vAlign w:val="top"/>
          </w:tcPr>
          <w:p>
            <w:r>
              <w:rPr>
                <w:sz w:val="14"/>
                <w:szCs w:val="14"/>
              </w:rPr>
              <w:t xml:space="preserve">Plan of MOTI-GO (PC)</w:t>
            </w:r>
          </w:p>
        </w:tc>
        <w:tc>
          <w:tcPr>
            <w:tcW w:type="dxa" w:w="1300"/>
            <w:tcMar>
              <w:top w:type="dxa" w:w="60"/>
              <w:left w:type="dxa" w:w="100"/>
              <w:bottom w:type="dxa" w:w="60"/>
              <w:right w:type="dxa" w:w="100"/>
            </w:tcMar>
            <w:vAlign w:val="top"/>
          </w:tcPr>
          <w:p>
            <w:r>
              <w:rPr>
                <w:sz w:val="14"/>
                <w:szCs w:val="14"/>
              </w:rPr>
              <w:t xml:space="preserve">0.135</w:t>
            </w:r>
          </w:p>
        </w:tc>
        <w:tc>
          <w:tcPr>
            <w:tcW w:type="dxa" w:w="1600"/>
            <w:tcMar>
              <w:top w:type="dxa" w:w="60"/>
              <w:left w:type="dxa" w:w="100"/>
              <w:bottom w:type="dxa" w:w="60"/>
              <w:right w:type="dxa" w:w="100"/>
            </w:tcMar>
            <w:vAlign w:val="top"/>
          </w:tcPr>
          <w:p>
            <w:r>
              <w:rPr>
                <w:sz w:val="14"/>
                <w:szCs w:val="14"/>
              </w:rPr>
              <w:t xml:space="preserve">0.206</w:t>
            </w:r>
          </w:p>
        </w:tc>
        <w:tc>
          <w:tcPr>
            <w:tcW w:type="dxa" w:w="1700"/>
            <w:tcMar>
              <w:top w:type="dxa" w:w="60"/>
              <w:left w:type="dxa" w:w="100"/>
              <w:bottom w:type="dxa" w:w="60"/>
              <w:right w:type="dxa" w:w="100"/>
            </w:tcMar>
            <w:vAlign w:val="top"/>
          </w:tcPr>
          <w:p>
            <w:r>
              <w:rPr>
                <w:sz w:val="14"/>
                <w:szCs w:val="14"/>
              </w:rPr>
              <w:t xml:space="preserve">5,909</w:t>
            </w:r>
          </w:p>
        </w:tc>
        <w:tc>
          <w:tcPr>
            <w:tcW w:type="dxa" w:w="1438"/>
            <w:tcMar>
              <w:top w:type="dxa" w:w="60"/>
              <w:left w:type="dxa" w:w="100"/>
              <w:bottom w:type="dxa" w:w="60"/>
              <w:right w:type="dxa" w:w="100"/>
            </w:tcMar>
            <w:vAlign w:val="top"/>
          </w:tcPr>
          <w:p>
            <w:r>
              <w:rPr>
                <w:sz w:val="14"/>
                <w:szCs w:val="14"/>
              </w:rPr>
              <w:t xml:space="preserve">35%</w:t>
            </w:r>
          </w:p>
        </w:tc>
      </w:tr>
      <w:tr>
        <w:trPr>
          <w:cantSplit/>
        </w:trPr>
        <w:tc>
          <w:tcPr>
            <w:tcW w:type="dxa" w:w="3600"/>
            <w:shd w:fill="F7F9FC" w:color="auto" w:val="clear"/>
            <w:tcMar>
              <w:top w:type="dxa" w:w="60"/>
              <w:left w:type="dxa" w:w="100"/>
              <w:bottom w:type="dxa" w:w="60"/>
              <w:right w:type="dxa" w:w="100"/>
            </w:tcMar>
            <w:vAlign w:val="top"/>
          </w:tcPr>
          <w:p>
            <w:r>
              <w:rPr>
                <w:sz w:val="14"/>
                <w:szCs w:val="14"/>
              </w:rPr>
              <w:t xml:space="preserve">Plan, trigger too mild in 20% of years</w:t>
            </w:r>
          </w:p>
        </w:tc>
        <w:tc>
          <w:tcPr>
            <w:tcW w:type="dxa" w:w="1300"/>
            <w:shd w:fill="F7F9FC" w:color="auto" w:val="clear"/>
            <w:tcMar>
              <w:top w:type="dxa" w:w="60"/>
              <w:left w:type="dxa" w:w="100"/>
              <w:bottom w:type="dxa" w:w="60"/>
              <w:right w:type="dxa" w:w="100"/>
            </w:tcMar>
            <w:vAlign w:val="top"/>
          </w:tcPr>
          <w:p>
            <w:r>
              <w:rPr>
                <w:sz w:val="14"/>
                <w:szCs w:val="14"/>
              </w:rPr>
              <w:t xml:space="preserve">0.160</w:t>
            </w:r>
          </w:p>
        </w:tc>
        <w:tc>
          <w:tcPr>
            <w:tcW w:type="dxa" w:w="1600"/>
            <w:shd w:fill="F7F9FC" w:color="auto" w:val="clear"/>
            <w:tcMar>
              <w:top w:type="dxa" w:w="60"/>
              <w:left w:type="dxa" w:w="100"/>
              <w:bottom w:type="dxa" w:w="60"/>
              <w:right w:type="dxa" w:w="100"/>
            </w:tcMar>
            <w:vAlign w:val="top"/>
          </w:tcPr>
          <w:p>
            <w:r>
              <w:rPr>
                <w:sz w:val="14"/>
                <w:szCs w:val="14"/>
              </w:rPr>
              <w:t xml:space="preserve">0.233</w:t>
            </w:r>
          </w:p>
        </w:tc>
        <w:tc>
          <w:tcPr>
            <w:tcW w:type="dxa" w:w="1700"/>
            <w:shd w:fill="F7F9FC" w:color="auto" w:val="clear"/>
            <w:tcMar>
              <w:top w:type="dxa" w:w="60"/>
              <w:left w:type="dxa" w:w="100"/>
              <w:bottom w:type="dxa" w:w="60"/>
              <w:right w:type="dxa" w:w="100"/>
            </w:tcMar>
            <w:vAlign w:val="top"/>
          </w:tcPr>
          <w:p>
            <w:r>
              <w:rPr>
                <w:sz w:val="14"/>
                <w:szCs w:val="14"/>
              </w:rPr>
              <w:t xml:space="preserve">6,319</w:t>
            </w:r>
          </w:p>
        </w:tc>
        <w:tc>
          <w:tcPr>
            <w:tcW w:type="dxa" w:w="1438"/>
            <w:shd w:fill="F7F9FC" w:color="auto" w:val="clear"/>
            <w:tcMar>
              <w:top w:type="dxa" w:w="60"/>
              <w:left w:type="dxa" w:w="100"/>
              <w:bottom w:type="dxa" w:w="60"/>
              <w:right w:type="dxa" w:w="100"/>
            </w:tcMar>
            <w:vAlign w:val="top"/>
          </w:tcPr>
          <w:p>
            <w:r>
              <w:rPr>
                <w:sz w:val="14"/>
                <w:szCs w:val="14"/>
              </w:rPr>
              <w:t xml:space="preserve">—</w:t>
            </w:r>
          </w:p>
        </w:tc>
      </w:tr>
      <w:tr>
        <w:trPr>
          <w:cantSplit/>
        </w:trPr>
        <w:tc>
          <w:tcPr>
            <w:tcW w:type="dxa" w:w="3600"/>
            <w:tcMar>
              <w:top w:type="dxa" w:w="60"/>
              <w:left w:type="dxa" w:w="100"/>
              <w:bottom w:type="dxa" w:w="60"/>
              <w:right w:type="dxa" w:w="100"/>
            </w:tcMar>
            <w:vAlign w:val="top"/>
          </w:tcPr>
          <w:p>
            <w:r>
              <w:rPr>
                <w:sz w:val="14"/>
                <w:szCs w:val="14"/>
              </w:rPr>
              <w:t xml:space="preserve">Plan, trigger too severe in 20% of years</w:t>
            </w:r>
          </w:p>
        </w:tc>
        <w:tc>
          <w:tcPr>
            <w:tcW w:type="dxa" w:w="1300"/>
            <w:tcMar>
              <w:top w:type="dxa" w:w="60"/>
              <w:left w:type="dxa" w:w="100"/>
              <w:bottom w:type="dxa" w:w="60"/>
              <w:right w:type="dxa" w:w="100"/>
            </w:tcMar>
            <w:vAlign w:val="top"/>
          </w:tcPr>
          <w:p>
            <w:r>
              <w:rPr>
                <w:sz w:val="14"/>
                <w:szCs w:val="14"/>
              </w:rPr>
              <w:t xml:space="preserve">0.131</w:t>
            </w:r>
          </w:p>
        </w:tc>
        <w:tc>
          <w:tcPr>
            <w:tcW w:type="dxa" w:w="1600"/>
            <w:tcMar>
              <w:top w:type="dxa" w:w="60"/>
              <w:left w:type="dxa" w:w="100"/>
              <w:bottom w:type="dxa" w:w="60"/>
              <w:right w:type="dxa" w:w="100"/>
            </w:tcMar>
            <w:vAlign w:val="top"/>
          </w:tcPr>
          <w:p>
            <w:r>
              <w:rPr>
                <w:sz w:val="14"/>
                <w:szCs w:val="14"/>
              </w:rPr>
              <w:t xml:space="preserve">0.199</w:t>
            </w:r>
          </w:p>
        </w:tc>
        <w:tc>
          <w:tcPr>
            <w:tcW w:type="dxa" w:w="1700"/>
            <w:tcMar>
              <w:top w:type="dxa" w:w="60"/>
              <w:left w:type="dxa" w:w="100"/>
              <w:bottom w:type="dxa" w:w="60"/>
              <w:right w:type="dxa" w:w="100"/>
            </w:tcMar>
            <w:vAlign w:val="top"/>
          </w:tcPr>
          <w:p>
            <w:r>
              <w:rPr>
                <w:sz w:val="14"/>
                <w:szCs w:val="14"/>
              </w:rPr>
              <w:t xml:space="preserve">5,318</w:t>
            </w:r>
          </w:p>
        </w:tc>
        <w:tc>
          <w:tcPr>
            <w:tcW w:type="dxa" w:w="1438"/>
            <w:tcMar>
              <w:top w:type="dxa" w:w="60"/>
              <w:left w:type="dxa" w:w="100"/>
              <w:bottom w:type="dxa" w:w="60"/>
              <w:right w:type="dxa" w:w="100"/>
            </w:tcMar>
            <w:vAlign w:val="top"/>
          </w:tcPr>
          <w:p>
            <w:r>
              <w:rPr>
                <w:sz w:val="14"/>
                <w:szCs w:val="14"/>
              </w:rPr>
              <w:t xml:space="preserve">—</w:t>
            </w:r>
          </w:p>
        </w:tc>
      </w:tr>
      <w:tr>
        <w:trPr>
          <w:cantSplit/>
        </w:trPr>
        <w:tc>
          <w:tcPr>
            <w:tcW w:type="dxa" w:w="3600"/>
            <w:shd w:fill="F7F9FC" w:color="auto" w:val="clear"/>
            <w:tcMar>
              <w:top w:type="dxa" w:w="60"/>
              <w:left w:type="dxa" w:w="100"/>
              <w:bottom w:type="dxa" w:w="60"/>
              <w:right w:type="dxa" w:w="100"/>
            </w:tcMar>
            <w:vAlign w:val="top"/>
          </w:tcPr>
          <w:p>
            <w:r>
              <w:rPr>
                <w:sz w:val="14"/>
                <w:szCs w:val="14"/>
              </w:rPr>
              <w:t xml:space="preserve">Plan with emergency recharge for a safe stop</w:t>
            </w:r>
          </w:p>
        </w:tc>
        <w:tc>
          <w:tcPr>
            <w:tcW w:type="dxa" w:w="1300"/>
            <w:shd w:fill="F7F9FC" w:color="auto" w:val="clear"/>
            <w:tcMar>
              <w:top w:type="dxa" w:w="60"/>
              <w:left w:type="dxa" w:w="100"/>
              <w:bottom w:type="dxa" w:w="60"/>
              <w:right w:type="dxa" w:w="100"/>
            </w:tcMar>
            <w:vAlign w:val="top"/>
          </w:tcPr>
          <w:p>
            <w:r>
              <w:rPr>
                <w:sz w:val="14"/>
                <w:szCs w:val="14"/>
              </w:rPr>
              <w:t xml:space="preserve">0.052</w:t>
            </w:r>
          </w:p>
        </w:tc>
        <w:tc>
          <w:tcPr>
            <w:tcW w:type="dxa" w:w="1600"/>
            <w:shd w:fill="F7F9FC" w:color="auto" w:val="clear"/>
            <w:tcMar>
              <w:top w:type="dxa" w:w="60"/>
              <w:left w:type="dxa" w:w="100"/>
              <w:bottom w:type="dxa" w:w="60"/>
              <w:right w:type="dxa" w:w="100"/>
            </w:tcMar>
            <w:vAlign w:val="top"/>
          </w:tcPr>
          <w:p>
            <w:r>
              <w:rPr>
                <w:sz w:val="14"/>
                <w:szCs w:val="14"/>
              </w:rPr>
              <w:t xml:space="preserve">0.092</w:t>
            </w:r>
          </w:p>
        </w:tc>
        <w:tc>
          <w:tcPr>
            <w:tcW w:type="dxa" w:w="1700"/>
            <w:shd w:fill="F7F9FC" w:color="auto" w:val="clear"/>
            <w:tcMar>
              <w:top w:type="dxa" w:w="60"/>
              <w:left w:type="dxa" w:w="100"/>
              <w:bottom w:type="dxa" w:w="60"/>
              <w:right w:type="dxa" w:w="100"/>
            </w:tcMar>
            <w:vAlign w:val="top"/>
          </w:tcPr>
          <w:p>
            <w:r>
              <w:rPr>
                <w:sz w:val="14"/>
                <w:szCs w:val="14"/>
              </w:rPr>
              <w:t xml:space="preserve">5,909</w:t>
            </w:r>
          </w:p>
        </w:tc>
        <w:tc>
          <w:tcPr>
            <w:tcW w:type="dxa" w:w="1438"/>
            <w:shd w:fill="F7F9FC" w:color="auto" w:val="clear"/>
            <w:tcMar>
              <w:top w:type="dxa" w:w="60"/>
              <w:left w:type="dxa" w:w="100"/>
              <w:bottom w:type="dxa" w:w="60"/>
              <w:right w:type="dxa" w:w="100"/>
            </w:tcMar>
            <w:vAlign w:val="top"/>
          </w:tcPr>
          <w:p>
            <w:r>
              <w:rPr>
                <w:sz w:val="14"/>
                <w:szCs w:val="14"/>
              </w:rPr>
              <w:t xml:space="preserve">35%</w:t>
            </w:r>
          </w:p>
        </w:tc>
      </w:tr>
    </w:tbl>
    <w:p>
      <w:pPr>
        <w:spacing w:after="160"/>
      </w:pPr>
    </w:p>
    <w:p>
      <w:pPr>
        <w:spacing w:after="120"/>
      </w:pPr>
      <w:r>
        <w:rPr>
          <w:i/>
          <w:iCs/>
          <w:color w:val="5B6573"/>
          <w:sz w:val="18"/>
          <w:szCs w:val="18"/>
        </w:rPr>
        <w:t xml:space="preserve">Table 9.4. Risk that A1 or P10 exceeds 250 mg/L in a year drawn from the climatology (frequencies of normal, dry, extreme and extreme-with-heatwave years). Errors of the trigger are towards the neighbouring regime.</w:t>
      </w:r>
    </w:p>
    <w:p>
      <w:pPr>
        <w:pStyle w:val="ListParagraph"/>
        <w:numPr>
          <w:ilvl w:val="0"/>
          <w:numId w:val="2"/>
        </w:numPr>
        <w:spacing w:after="60"/>
        <w:jc w:val="both"/>
      </w:pPr>
      <w:r>
        <w:rPr>
          <w:b/>
          <w:bCs/>
        </w:rPr>
        <w:t xml:space="preserve">The propositions hold numerically.</w:t>
      </w:r>
      <w:r>
        <w:t xml:space="preserve"> All risks are monotone in pumping, recharge and unlicensed pumping (S1 (i)); the bound S1 (ii) with </w:t>
      </w:r>
      <m:oMath>
        <m:r>
          <m:t>β</m:t>
        </m:r>
        <m:r>
          <m:rPr>
            <m:sty m:val="p"/>
          </m:rPr>
          <m:t>=</m:t>
        </m:r>
        <m:r>
          <m:t>0.05</m:t>
        </m:r>
      </m:oMath>
      <w:r>
        <w:t xml:space="preserve"> holds at every pumping scale tested in the dry year and the heatwave; the crisis decision with probability weighting alone gives exactly the caps of the calm rule with the limit </w:t>
      </w:r>
      <m:oMath>
        <m:sSub>
          <m:e>
            <m:r>
              <m:t>α</m:t>
            </m:r>
          </m:e>
          <m:sub>
            <m:r>
              <m:t>γ</m:t>
            </m:r>
          </m:sub>
        </m:sSub>
      </m:oMath>
      <w:r>
        <w:t xml:space="preserve"> (S2); the four plans are nested in every regime (S3); and </w:t>
      </w:r>
      <m:oMath>
        <m:sSup>
          <m:e>
            <m:r>
              <m:t>f</m:t>
            </m:r>
          </m:e>
          <m:sup>
            <m:r>
              <m:rPr>
                <m:sty m:val="p"/>
              </m:rPr>
              <m:t>⋆</m:t>
            </m:r>
          </m:sup>
        </m:sSup>
      </m:oMath>
      <w:r>
        <w:t xml:space="preserve"> falls with recharge and rises with unlicensed pumping (S4).</w:t>
      </w:r>
    </w:p>
    <w:p>
      <w:pPr>
        <w:pStyle w:val="Heading3"/>
      </w:pPr>
      <w:r>
        <w:rPr>
          <w:color w:val="1F3864"/>
        </w:rPr>
        <w:t xml:space="preserve">9.8 What it means for Fushë-Kuqe and for a COST Action, and the limits</w:t>
      </w:r>
    </w:p>
    <w:p>
      <w:pPr>
        <w:spacing w:after="120"/>
        <w:jc w:val="both"/>
      </w:pPr>
      <w:r>
        <w:t xml:space="preserve">For the stakeholders the change from reviews 57 and 58 is in time: the hard decision moves from July to the winter before. They agree the storylines, the margins for overshoot and unlicensed pumping (estimated from meters and inspections, as in [M2, O1]), the rule curve and the emergency threshold; the regional water agency measures the recharge factor; the curve gives the licence; and an emergency stop, when it comes, was announced a season ahead together with the recharge needed to make it safe. That number, about 14,300 m³/d per site at half the normal recharge, is an investment target: source water, storage or a desalination contingency.</w:t>
      </w:r>
    </w:p>
    <w:p>
      <w:pPr>
        <w:spacing w:after="120"/>
        <w:jc w:val="both"/>
      </w:pPr>
      <w:r>
        <w:t xml:space="preserve">MOTI-GO is new in three respects that we have not found combined in the work reviewed here or in reviews 57 and 58: one unanimous probability limit carried from normal years to compound extremes on a calibrated groundwater ensemble; objective human factors priced as explicit, testable margins in the same limit (S1, S3); and subjective crisis factors shown, in closed form, to act as a tighter limit whose cost is water rather than safety (S2), with a computable threshold beyond which local action cannot meet the limit (S4). Its interdisciplinarity fits a COST Action: climate scientists for the storylines and their frequencies [E1, ER1, O4]; hydrogeologists for the ensemble and the recharge; behavioural scientists for the overshoot, salience and perception parameters, measured in calm and in crisis [C1, C2, C4, E3, M2]; economists and political scientists for pre-commitment, coordination and risk pooling [M1, M4, E5]; and the stakeholders themselves. Each storyline parameter in Table 9.1 is a question a working group can answer with data, and each answer changes a number in the plan, which makes the plan testable across Mediterranean coastal aquifers.</w:t>
      </w:r>
    </w:p>
    <w:p>
      <w:pPr>
        <w:spacing w:after="120"/>
        <w:jc w:val="both"/>
      </w:pPr>
      <w:r>
        <w:t xml:space="preserve">The limits: the regime numbers are storylines, not estimates, and the most cautious stakeholder's risk is sensitive to them; the overshoot is independent of the aquifer state and the unlicensed pumping sits at four cells; the model is steady, so a single dry year is treated as if it lasted (a transient model with storage would soften short droughts and sharpen long ones); crisis beliefs are three distortions of the stated beliefs, and the plan deliberately ignores them, so a crisis fear that carries real information must enter through data and Bayes' rule (Proposition R3 of review 58) or it is lost; the emergency recharge of S4 does not exist yet; and, as before, all risks rest on a finite weighted ensemble.</w:t>
      </w:r>
    </w:p>
    <w:p>
      <w:pPr>
        <w:pStyle w:val="Heading1"/>
      </w:pPr>
      <w:r>
        <w:rPr>
          <w:color w:val="1F3864"/>
        </w:rPr>
        <w:t xml:space="preserve">10. References</w:t>
      </w:r>
    </w:p>
    <w:p>
      <w:pPr>
        <w:pStyle w:val="Heading3"/>
      </w:pPr>
      <w:r>
        <w:rPr>
          <w:color w:val="1F3864"/>
        </w:rPr>
        <w:t xml:space="preserve">References of Part I and section 9 (classical literature)</w:t>
      </w:r>
    </w:p>
    <w:p>
      <w:pPr>
        <w:tabs>
          <w:tab w:val="left" w:pos="567"/>
        </w:tabs>
        <w:spacing w:after="50"/>
        <w:ind w:left="567" w:hanging="567"/>
        <w:jc w:val="left"/>
      </w:pPr>
      <w:r>
        <w:rPr>
          <w:b/>
          <w:bCs/>
          <w:color w:val="1F3864"/>
          <w:sz w:val="17"/>
          <w:szCs w:val="17"/>
        </w:rPr>
        <w:t xml:space="preserve">[B1]	</w:t>
      </w:r>
      <w:r>
        <w:rPr>
          <w:sz w:val="17"/>
          <w:szCs w:val="17"/>
        </w:rPr>
        <w:t xml:space="preserve">Coles, S. (2001). </w:t>
      </w:r>
      <w:r>
        <w:rPr>
          <w:i/>
          <w:iCs/>
          <w:sz w:val="17"/>
          <w:szCs w:val="17"/>
        </w:rPr>
        <w:t xml:space="preserve">An Introduction to Statistical Modeling of Extreme Values</w:t>
      </w:r>
      <w:r>
        <w:rPr>
          <w:sz w:val="17"/>
          <w:szCs w:val="17"/>
        </w:rPr>
        <w:t xml:space="preserve">. Springer, London.</w:t>
      </w:r>
      <w:r>
        <w:rPr>
          <w:sz w:val="17"/>
          <w:szCs w:val="17"/>
        </w:rPr>
        <w:t xml:space="preserve"> </w:t>
      </w:r>
      <w:hyperlink w:history="1" r:id="rIddenfau-njatlytt7p1et-">
        <w:r>
          <w:rPr>
            <w:color w:val="1D4ED8"/>
            <w:sz w:val="17"/>
            <w:szCs w:val="17"/>
            <w:u w:val="single"/>
          </w:rPr>
          <w:t xml:space="preserve">https://doi.org/10.1007/978-1-4471-3675-0</w:t>
        </w:r>
      </w:hyperlink>
    </w:p>
    <w:p>
      <w:pPr>
        <w:tabs>
          <w:tab w:val="left" w:pos="567"/>
        </w:tabs>
        <w:spacing w:after="50"/>
        <w:ind w:left="567" w:hanging="567"/>
        <w:jc w:val="left"/>
      </w:pPr>
      <w:r>
        <w:rPr>
          <w:b/>
          <w:bCs/>
          <w:color w:val="1F3864"/>
          <w:sz w:val="17"/>
          <w:szCs w:val="17"/>
        </w:rPr>
        <w:t xml:space="preserve">[B2]	</w:t>
      </w:r>
      <w:r>
        <w:rPr>
          <w:sz w:val="17"/>
          <w:szCs w:val="17"/>
        </w:rPr>
        <w:t xml:space="preserve">Shepherd, T. G. et al. (2018). Storylines: an alternative approach to representing uncertainty in physical aspects of climate change. </w:t>
      </w:r>
      <w:r>
        <w:rPr>
          <w:i/>
          <w:iCs/>
          <w:sz w:val="17"/>
          <w:szCs w:val="17"/>
        </w:rPr>
        <w:t xml:space="preserve">Climatic Change</w:t>
      </w:r>
      <w:r>
        <w:rPr>
          <w:sz w:val="17"/>
          <w:szCs w:val="17"/>
        </w:rPr>
        <w:t xml:space="preserve">, 151(3–4), 555–571.</w:t>
      </w:r>
      <w:r>
        <w:rPr>
          <w:sz w:val="17"/>
          <w:szCs w:val="17"/>
        </w:rPr>
        <w:t xml:space="preserve"> </w:t>
      </w:r>
      <w:hyperlink w:history="1" r:id="rIdkzyirifap7zd40xudhswj">
        <w:r>
          <w:rPr>
            <w:color w:val="1D4ED8"/>
            <w:sz w:val="17"/>
            <w:szCs w:val="17"/>
            <w:u w:val="single"/>
          </w:rPr>
          <w:t xml:space="preserve">https://doi.org/10.1007/s10584-018-2317-9</w:t>
        </w:r>
      </w:hyperlink>
    </w:p>
    <w:p>
      <w:pPr>
        <w:tabs>
          <w:tab w:val="left" w:pos="567"/>
        </w:tabs>
        <w:spacing w:after="50"/>
        <w:ind w:left="567" w:hanging="567"/>
        <w:jc w:val="left"/>
      </w:pPr>
      <w:r>
        <w:rPr>
          <w:b/>
          <w:bCs/>
          <w:color w:val="1F3864"/>
          <w:sz w:val="17"/>
          <w:szCs w:val="17"/>
        </w:rPr>
        <w:t xml:space="preserve">[B3]	</w:t>
      </w:r>
      <w:r>
        <w:rPr>
          <w:sz w:val="17"/>
          <w:szCs w:val="17"/>
        </w:rPr>
        <w:t xml:space="preserve">Zscheischler, J. et al. (2018). Future climate risk from compound events. </w:t>
      </w:r>
      <w:r>
        <w:rPr>
          <w:i/>
          <w:iCs/>
          <w:sz w:val="17"/>
          <w:szCs w:val="17"/>
        </w:rPr>
        <w:t xml:space="preserve">Nature Climate Change</w:t>
      </w:r>
      <w:r>
        <w:rPr>
          <w:sz w:val="17"/>
          <w:szCs w:val="17"/>
        </w:rPr>
        <w:t xml:space="preserve">, 8(6), 469–477.</w:t>
      </w:r>
      <w:r>
        <w:rPr>
          <w:sz w:val="17"/>
          <w:szCs w:val="17"/>
        </w:rPr>
        <w:t xml:space="preserve"> </w:t>
      </w:r>
      <w:hyperlink w:history="1" r:id="rIdci1j0w3qh5oedko_oau5v">
        <w:r>
          <w:rPr>
            <w:color w:val="1D4ED8"/>
            <w:sz w:val="17"/>
            <w:szCs w:val="17"/>
            <w:u w:val="single"/>
          </w:rPr>
          <w:t xml:space="preserve">https://doi.org/10.1038/s41558-018-0156-3</w:t>
        </w:r>
      </w:hyperlink>
    </w:p>
    <w:p>
      <w:pPr>
        <w:tabs>
          <w:tab w:val="left" w:pos="567"/>
        </w:tabs>
        <w:spacing w:after="50"/>
        <w:ind w:left="567" w:hanging="567"/>
        <w:jc w:val="left"/>
      </w:pPr>
      <w:r>
        <w:rPr>
          <w:b/>
          <w:bCs/>
          <w:color w:val="1F3864"/>
          <w:sz w:val="17"/>
          <w:szCs w:val="17"/>
        </w:rPr>
        <w:t xml:space="preserve">[B4]	</w:t>
      </w:r>
      <w:r>
        <w:rPr>
          <w:sz w:val="17"/>
          <w:szCs w:val="17"/>
        </w:rPr>
        <w:t xml:space="preserve">Murphy, A. H. (1977). The value of climatological, categorical and probabilistic forecasts in the cost-loss ratio situation. </w:t>
      </w:r>
      <w:r>
        <w:rPr>
          <w:i/>
          <w:iCs/>
          <w:sz w:val="17"/>
          <w:szCs w:val="17"/>
        </w:rPr>
        <w:t xml:space="preserve">Monthly Weather Review</w:t>
      </w:r>
      <w:r>
        <w:rPr>
          <w:sz w:val="17"/>
          <w:szCs w:val="17"/>
        </w:rPr>
        <w:t xml:space="preserve">, 105(7), 803–816 (DOI not verified).</w:t>
      </w:r>
    </w:p>
    <w:p>
      <w:pPr>
        <w:tabs>
          <w:tab w:val="left" w:pos="567"/>
        </w:tabs>
        <w:spacing w:after="50"/>
        <w:ind w:left="567" w:hanging="567"/>
        <w:jc w:val="left"/>
      </w:pPr>
      <w:r>
        <w:rPr>
          <w:b/>
          <w:bCs/>
          <w:color w:val="1F3864"/>
          <w:sz w:val="17"/>
          <w:szCs w:val="17"/>
        </w:rPr>
        <w:t xml:space="preserve">[B5]	</w:t>
      </w:r>
      <w:r>
        <w:rPr>
          <w:sz w:val="17"/>
          <w:szCs w:val="17"/>
        </w:rPr>
        <w:t xml:space="preserve">Coughlan de Perez, E., van den Hurk, B., van Aalst, M. K., Jongman, B., Klose, T. &amp; Suarez, P. (2015). Forecast-based financing: an approach for catalyzing humanitarian action based on extreme weather and climate forecasts. </w:t>
      </w:r>
      <w:r>
        <w:rPr>
          <w:i/>
          <w:iCs/>
          <w:sz w:val="17"/>
          <w:szCs w:val="17"/>
        </w:rPr>
        <w:t xml:space="preserve">Natural Hazards and Earth System Sciences</w:t>
      </w:r>
      <w:r>
        <w:rPr>
          <w:sz w:val="17"/>
          <w:szCs w:val="17"/>
        </w:rPr>
        <w:t xml:space="preserve">, 15(4), 895–904.</w:t>
      </w:r>
      <w:r>
        <w:rPr>
          <w:sz w:val="17"/>
          <w:szCs w:val="17"/>
        </w:rPr>
        <w:t xml:space="preserve"> </w:t>
      </w:r>
      <w:hyperlink w:history="1" r:id="rIdf-dt96ll7kk9eswqlw80h">
        <w:r>
          <w:rPr>
            <w:color w:val="1D4ED8"/>
            <w:sz w:val="17"/>
            <w:szCs w:val="17"/>
            <w:u w:val="single"/>
          </w:rPr>
          <w:t xml:space="preserve">https://doi.org/10.5194/nhess-15-895-2015</w:t>
        </w:r>
      </w:hyperlink>
    </w:p>
    <w:p>
      <w:pPr>
        <w:tabs>
          <w:tab w:val="left" w:pos="567"/>
        </w:tabs>
        <w:spacing w:after="50"/>
        <w:ind w:left="567" w:hanging="567"/>
        <w:jc w:val="left"/>
      </w:pPr>
      <w:r>
        <w:rPr>
          <w:b/>
          <w:bCs/>
          <w:color w:val="1F3864"/>
          <w:sz w:val="17"/>
          <w:szCs w:val="17"/>
        </w:rPr>
        <w:t xml:space="preserve">[B6]	</w:t>
      </w:r>
      <w:r>
        <w:rPr>
          <w:sz w:val="17"/>
          <w:szCs w:val="17"/>
        </w:rPr>
        <w:t xml:space="preserve">Simon, H. A. (1955). A behavioral model of rational choice. </w:t>
      </w:r>
      <w:r>
        <w:rPr>
          <w:i/>
          <w:iCs/>
          <w:sz w:val="17"/>
          <w:szCs w:val="17"/>
        </w:rPr>
        <w:t xml:space="preserve">Quarterly Journal of Economics</w:t>
      </w:r>
      <w:r>
        <w:rPr>
          <w:sz w:val="17"/>
          <w:szCs w:val="17"/>
        </w:rPr>
        <w:t xml:space="preserve">, 69(1), 99–118.</w:t>
      </w:r>
      <w:r>
        <w:rPr>
          <w:sz w:val="17"/>
          <w:szCs w:val="17"/>
        </w:rPr>
        <w:t xml:space="preserve"> </w:t>
      </w:r>
      <w:hyperlink w:history="1" r:id="rIdqun8mmf3_3fwc4a0e1zr0">
        <w:r>
          <w:rPr>
            <w:color w:val="1D4ED8"/>
            <w:sz w:val="17"/>
            <w:szCs w:val="17"/>
            <w:u w:val="single"/>
          </w:rPr>
          <w:t xml:space="preserve">https://doi.org/10.2307/1884852</w:t>
        </w:r>
      </w:hyperlink>
    </w:p>
    <w:p>
      <w:pPr>
        <w:tabs>
          <w:tab w:val="left" w:pos="567"/>
        </w:tabs>
        <w:spacing w:after="50"/>
        <w:ind w:left="567" w:hanging="567"/>
        <w:jc w:val="left"/>
      </w:pPr>
      <w:r>
        <w:rPr>
          <w:b/>
          <w:bCs/>
          <w:color w:val="1F3864"/>
          <w:sz w:val="17"/>
          <w:szCs w:val="17"/>
        </w:rPr>
        <w:t xml:space="preserve">[B7]	</w:t>
      </w:r>
      <w:r>
        <w:rPr>
          <w:sz w:val="17"/>
          <w:szCs w:val="17"/>
        </w:rPr>
        <w:t xml:space="preserve">Sims, C. A. (2003). Implications of rational inattention. </w:t>
      </w:r>
      <w:r>
        <w:rPr>
          <w:i/>
          <w:iCs/>
          <w:sz w:val="17"/>
          <w:szCs w:val="17"/>
        </w:rPr>
        <w:t xml:space="preserve">Journal of Monetary Economics</w:t>
      </w:r>
      <w:r>
        <w:rPr>
          <w:sz w:val="17"/>
          <w:szCs w:val="17"/>
        </w:rPr>
        <w:t xml:space="preserve">, 50(3), 665–690.</w:t>
      </w:r>
      <w:r>
        <w:rPr>
          <w:sz w:val="17"/>
          <w:szCs w:val="17"/>
        </w:rPr>
        <w:t xml:space="preserve"> </w:t>
      </w:r>
      <w:hyperlink w:history="1" r:id="rIdyxyja3syj9e7qkxn3qsqm">
        <w:r>
          <w:rPr>
            <w:color w:val="1D4ED8"/>
            <w:sz w:val="17"/>
            <w:szCs w:val="17"/>
            <w:u w:val="single"/>
          </w:rPr>
          <w:t xml:space="preserve">https://doi.org/10.1016/S0304-3932(03)00029-1</w:t>
        </w:r>
      </w:hyperlink>
    </w:p>
    <w:p>
      <w:pPr>
        <w:tabs>
          <w:tab w:val="left" w:pos="567"/>
        </w:tabs>
        <w:spacing w:after="50"/>
        <w:ind w:left="567" w:hanging="567"/>
        <w:jc w:val="left"/>
      </w:pPr>
      <w:r>
        <w:rPr>
          <w:b/>
          <w:bCs/>
          <w:color w:val="1F3864"/>
          <w:sz w:val="17"/>
          <w:szCs w:val="17"/>
        </w:rPr>
        <w:t xml:space="preserve">[B8]	</w:t>
      </w:r>
      <w:r>
        <w:rPr>
          <w:sz w:val="17"/>
          <w:szCs w:val="17"/>
        </w:rPr>
        <w:t xml:space="preserve">Matějka, F. &amp; McKay, A. (2015). Rational inattention to discrete choices: a new foundation for the multinomial logit model. </w:t>
      </w:r>
      <w:r>
        <w:rPr>
          <w:i/>
          <w:iCs/>
          <w:sz w:val="17"/>
          <w:szCs w:val="17"/>
        </w:rPr>
        <w:t xml:space="preserve">American Economic Review</w:t>
      </w:r>
      <w:r>
        <w:rPr>
          <w:sz w:val="17"/>
          <w:szCs w:val="17"/>
        </w:rPr>
        <w:t xml:space="preserve">, 105(1), 272–298.</w:t>
      </w:r>
      <w:r>
        <w:rPr>
          <w:sz w:val="17"/>
          <w:szCs w:val="17"/>
        </w:rPr>
        <w:t xml:space="preserve"> </w:t>
      </w:r>
      <w:hyperlink w:history="1" r:id="rIdta_cxgtefoegeiztlwe-i">
        <w:r>
          <w:rPr>
            <w:color w:val="1D4ED8"/>
            <w:sz w:val="17"/>
            <w:szCs w:val="17"/>
            <w:u w:val="single"/>
          </w:rPr>
          <w:t xml:space="preserve">https://doi.org/10.1257/aer.20130047</w:t>
        </w:r>
      </w:hyperlink>
    </w:p>
    <w:p>
      <w:pPr>
        <w:tabs>
          <w:tab w:val="left" w:pos="567"/>
        </w:tabs>
        <w:spacing w:after="50"/>
        <w:ind w:left="567" w:hanging="567"/>
        <w:jc w:val="left"/>
      </w:pPr>
      <w:r>
        <w:rPr>
          <w:b/>
          <w:bCs/>
          <w:color w:val="1F3864"/>
          <w:sz w:val="17"/>
          <w:szCs w:val="17"/>
        </w:rPr>
        <w:t xml:space="preserve">[B9]	</w:t>
      </w:r>
      <w:r>
        <w:rPr>
          <w:sz w:val="17"/>
          <w:szCs w:val="17"/>
        </w:rPr>
        <w:t xml:space="preserve">Reason, J. (1990). </w:t>
      </w:r>
      <w:r>
        <w:rPr>
          <w:i/>
          <w:iCs/>
          <w:sz w:val="17"/>
          <w:szCs w:val="17"/>
        </w:rPr>
        <w:t xml:space="preserve">Human Error</w:t>
      </w:r>
      <w:r>
        <w:rPr>
          <w:sz w:val="17"/>
          <w:szCs w:val="17"/>
        </w:rPr>
        <w:t xml:space="preserve">. Cambridge University Press.</w:t>
      </w:r>
      <w:r>
        <w:rPr>
          <w:sz w:val="17"/>
          <w:szCs w:val="17"/>
        </w:rPr>
        <w:t xml:space="preserve"> </w:t>
      </w:r>
      <w:hyperlink w:history="1" r:id="rId16uwng2c_bo-9oynss585">
        <w:r>
          <w:rPr>
            <w:color w:val="1D4ED8"/>
            <w:sz w:val="17"/>
            <w:szCs w:val="17"/>
            <w:u w:val="single"/>
          </w:rPr>
          <w:t xml:space="preserve">https://doi.org/10.1017/CBO9781139062367</w:t>
        </w:r>
      </w:hyperlink>
    </w:p>
    <w:p>
      <w:pPr>
        <w:tabs>
          <w:tab w:val="left" w:pos="567"/>
        </w:tabs>
        <w:spacing w:after="50"/>
        <w:ind w:left="567" w:hanging="567"/>
        <w:jc w:val="left"/>
      </w:pPr>
      <w:r>
        <w:rPr>
          <w:b/>
          <w:bCs/>
          <w:color w:val="1F3864"/>
          <w:sz w:val="17"/>
          <w:szCs w:val="17"/>
        </w:rPr>
        <w:t xml:space="preserve">[B10]	</w:t>
      </w:r>
      <w:r>
        <w:rPr>
          <w:sz w:val="17"/>
          <w:szCs w:val="17"/>
        </w:rPr>
        <w:t xml:space="preserve">Kahneman, D. &amp; Tversky, A. (1979). Prospect theory: an analysis of decision under risk. </w:t>
      </w:r>
      <w:r>
        <w:rPr>
          <w:i/>
          <w:iCs/>
          <w:sz w:val="17"/>
          <w:szCs w:val="17"/>
        </w:rPr>
        <w:t xml:space="preserve">Econometrica</w:t>
      </w:r>
      <w:r>
        <w:rPr>
          <w:sz w:val="17"/>
          <w:szCs w:val="17"/>
        </w:rPr>
        <w:t xml:space="preserve">, 47(2), 263–291.</w:t>
      </w:r>
      <w:r>
        <w:rPr>
          <w:sz w:val="17"/>
          <w:szCs w:val="17"/>
        </w:rPr>
        <w:t xml:space="preserve"> </w:t>
      </w:r>
      <w:hyperlink w:history="1" r:id="rIdbpe6pz7hysbxruzgckosp">
        <w:r>
          <w:rPr>
            <w:color w:val="1D4ED8"/>
            <w:sz w:val="17"/>
            <w:szCs w:val="17"/>
            <w:u w:val="single"/>
          </w:rPr>
          <w:t xml:space="preserve">https://doi.org/10.2307/1914185</w:t>
        </w:r>
      </w:hyperlink>
    </w:p>
    <w:p>
      <w:pPr>
        <w:tabs>
          <w:tab w:val="left" w:pos="567"/>
        </w:tabs>
        <w:spacing w:after="50"/>
        <w:ind w:left="567" w:hanging="567"/>
        <w:jc w:val="left"/>
      </w:pPr>
      <w:r>
        <w:rPr>
          <w:b/>
          <w:bCs/>
          <w:color w:val="1F3864"/>
          <w:sz w:val="17"/>
          <w:szCs w:val="17"/>
        </w:rPr>
        <w:t xml:space="preserve">[B11]	</w:t>
      </w:r>
      <w:r>
        <w:rPr>
          <w:sz w:val="17"/>
          <w:szCs w:val="17"/>
        </w:rPr>
        <w:t xml:space="preserve">Tversky, A. &amp; Kahneman, D. (1992). Advances in prospect theory: cumulative representation of uncertainty. </w:t>
      </w:r>
      <w:r>
        <w:rPr>
          <w:i/>
          <w:iCs/>
          <w:sz w:val="17"/>
          <w:szCs w:val="17"/>
        </w:rPr>
        <w:t xml:space="preserve">Journal of Risk and Uncertainty</w:t>
      </w:r>
      <w:r>
        <w:rPr>
          <w:sz w:val="17"/>
          <w:szCs w:val="17"/>
        </w:rPr>
        <w:t xml:space="preserve">, 5(4), 297–323.</w:t>
      </w:r>
      <w:r>
        <w:rPr>
          <w:sz w:val="17"/>
          <w:szCs w:val="17"/>
        </w:rPr>
        <w:t xml:space="preserve"> </w:t>
      </w:r>
      <w:hyperlink w:history="1" r:id="rIdycftikc3dgcqumzo3h51p">
        <w:r>
          <w:rPr>
            <w:color w:val="1D4ED8"/>
            <w:sz w:val="17"/>
            <w:szCs w:val="17"/>
            <w:u w:val="single"/>
          </w:rPr>
          <w:t xml:space="preserve">https://doi.org/10.1007/BF00122574</w:t>
        </w:r>
      </w:hyperlink>
    </w:p>
    <w:p>
      <w:pPr>
        <w:tabs>
          <w:tab w:val="left" w:pos="567"/>
        </w:tabs>
        <w:spacing w:after="50"/>
        <w:ind w:left="567" w:hanging="567"/>
        <w:jc w:val="left"/>
      </w:pPr>
      <w:r>
        <w:rPr>
          <w:b/>
          <w:bCs/>
          <w:color w:val="1F3864"/>
          <w:sz w:val="17"/>
          <w:szCs w:val="17"/>
        </w:rPr>
        <w:t xml:space="preserve">[B12]	</w:t>
      </w:r>
      <w:r>
        <w:rPr>
          <w:sz w:val="17"/>
          <w:szCs w:val="17"/>
        </w:rPr>
        <w:t xml:space="preserve">Prelec, D. (1998). The probability weighting function. </w:t>
      </w:r>
      <w:r>
        <w:rPr>
          <w:i/>
          <w:iCs/>
          <w:sz w:val="17"/>
          <w:szCs w:val="17"/>
        </w:rPr>
        <w:t xml:space="preserve">Econometrica</w:t>
      </w:r>
      <w:r>
        <w:rPr>
          <w:sz w:val="17"/>
          <w:szCs w:val="17"/>
        </w:rPr>
        <w:t xml:space="preserve">, 66(3), 497–527.</w:t>
      </w:r>
      <w:r>
        <w:rPr>
          <w:sz w:val="17"/>
          <w:szCs w:val="17"/>
        </w:rPr>
        <w:t xml:space="preserve"> </w:t>
      </w:r>
      <w:hyperlink w:history="1" r:id="rId2wdeber3xki2uaw8jcyku">
        <w:r>
          <w:rPr>
            <w:color w:val="1D4ED8"/>
            <w:sz w:val="17"/>
            <w:szCs w:val="17"/>
            <w:u w:val="single"/>
          </w:rPr>
          <w:t xml:space="preserve">https://doi.org/10.2307/2998573</w:t>
        </w:r>
      </w:hyperlink>
    </w:p>
    <w:p>
      <w:pPr>
        <w:tabs>
          <w:tab w:val="left" w:pos="567"/>
        </w:tabs>
        <w:spacing w:after="50"/>
        <w:ind w:left="567" w:hanging="567"/>
        <w:jc w:val="left"/>
      </w:pPr>
      <w:r>
        <w:rPr>
          <w:b/>
          <w:bCs/>
          <w:color w:val="1F3864"/>
          <w:sz w:val="17"/>
          <w:szCs w:val="17"/>
        </w:rPr>
        <w:t xml:space="preserve">[B13]	</w:t>
      </w:r>
      <w:r>
        <w:rPr>
          <w:sz w:val="17"/>
          <w:szCs w:val="17"/>
        </w:rPr>
        <w:t xml:space="preserve">Loewenstein, G. F., Weber, E. U., Hsee, C. K. &amp; Welch, N. (2001). Risk as feelings. </w:t>
      </w:r>
      <w:r>
        <w:rPr>
          <w:i/>
          <w:iCs/>
          <w:sz w:val="17"/>
          <w:szCs w:val="17"/>
        </w:rPr>
        <w:t xml:space="preserve">Psychological Bulletin</w:t>
      </w:r>
      <w:r>
        <w:rPr>
          <w:sz w:val="17"/>
          <w:szCs w:val="17"/>
        </w:rPr>
        <w:t xml:space="preserve">, 127(2), 267–286.</w:t>
      </w:r>
      <w:r>
        <w:rPr>
          <w:sz w:val="17"/>
          <w:szCs w:val="17"/>
        </w:rPr>
        <w:t xml:space="preserve"> </w:t>
      </w:r>
      <w:hyperlink w:history="1" r:id="rIdembkzvb0ddoodq6pz1yta">
        <w:r>
          <w:rPr>
            <w:color w:val="1D4ED8"/>
            <w:sz w:val="17"/>
            <w:szCs w:val="17"/>
            <w:u w:val="single"/>
          </w:rPr>
          <w:t xml:space="preserve">https://doi.org/10.1037/0033-2909.127.2.267</w:t>
        </w:r>
      </w:hyperlink>
    </w:p>
    <w:p>
      <w:pPr>
        <w:tabs>
          <w:tab w:val="left" w:pos="567"/>
        </w:tabs>
        <w:spacing w:after="50"/>
        <w:ind w:left="567" w:hanging="567"/>
        <w:jc w:val="left"/>
      </w:pPr>
      <w:r>
        <w:rPr>
          <w:b/>
          <w:bCs/>
          <w:color w:val="1F3864"/>
          <w:sz w:val="17"/>
          <w:szCs w:val="17"/>
        </w:rPr>
        <w:t xml:space="preserve">[B14]	</w:t>
      </w:r>
      <w:r>
        <w:rPr>
          <w:sz w:val="17"/>
          <w:szCs w:val="17"/>
        </w:rPr>
        <w:t xml:space="preserve">Slovic, P. (1987). Perception of risk. </w:t>
      </w:r>
      <w:r>
        <w:rPr>
          <w:i/>
          <w:iCs/>
          <w:sz w:val="17"/>
          <w:szCs w:val="17"/>
        </w:rPr>
        <w:t xml:space="preserve">Science</w:t>
      </w:r>
      <w:r>
        <w:rPr>
          <w:sz w:val="17"/>
          <w:szCs w:val="17"/>
        </w:rPr>
        <w:t xml:space="preserve">, 236(4799), 280–285.</w:t>
      </w:r>
      <w:r>
        <w:rPr>
          <w:sz w:val="17"/>
          <w:szCs w:val="17"/>
        </w:rPr>
        <w:t xml:space="preserve"> </w:t>
      </w:r>
      <w:hyperlink w:history="1" r:id="rIdtmewxwouvrdrgw8mkrv-b">
        <w:r>
          <w:rPr>
            <w:color w:val="1D4ED8"/>
            <w:sz w:val="17"/>
            <w:szCs w:val="17"/>
            <w:u w:val="single"/>
          </w:rPr>
          <w:t xml:space="preserve">https://doi.org/10.1126/science.3563507</w:t>
        </w:r>
      </w:hyperlink>
    </w:p>
    <w:p>
      <w:pPr>
        <w:tabs>
          <w:tab w:val="left" w:pos="567"/>
        </w:tabs>
        <w:spacing w:after="50"/>
        <w:ind w:left="567" w:hanging="567"/>
        <w:jc w:val="left"/>
      </w:pPr>
      <w:r>
        <w:rPr>
          <w:b/>
          <w:bCs/>
          <w:color w:val="1F3864"/>
          <w:sz w:val="17"/>
          <w:szCs w:val="17"/>
        </w:rPr>
        <w:t xml:space="preserve">[B15]	</w:t>
      </w:r>
      <w:r>
        <w:rPr>
          <w:sz w:val="17"/>
          <w:szCs w:val="17"/>
        </w:rPr>
        <w:t xml:space="preserve">Malmendier, U. &amp; Nagel, S. (2011). Depression babies: do macroeconomic experiences affect risk taking? </w:t>
      </w:r>
      <w:r>
        <w:rPr>
          <w:i/>
          <w:iCs/>
          <w:sz w:val="17"/>
          <w:szCs w:val="17"/>
        </w:rPr>
        <w:t xml:space="preserve">Quarterly Journal of Economics</w:t>
      </w:r>
      <w:r>
        <w:rPr>
          <w:sz w:val="17"/>
          <w:szCs w:val="17"/>
        </w:rPr>
        <w:t xml:space="preserve">, 126(1), 373–416.</w:t>
      </w:r>
      <w:r>
        <w:rPr>
          <w:sz w:val="17"/>
          <w:szCs w:val="17"/>
        </w:rPr>
        <w:t xml:space="preserve"> </w:t>
      </w:r>
      <w:hyperlink w:history="1" r:id="rIdcfjzfubdlluqdcprdyeh9">
        <w:r>
          <w:rPr>
            <w:color w:val="1D4ED8"/>
            <w:sz w:val="17"/>
            <w:szCs w:val="17"/>
            <w:u w:val="single"/>
          </w:rPr>
          <w:t xml:space="preserve">https://doi.org/10.1093/qje/qjq004</w:t>
        </w:r>
      </w:hyperlink>
    </w:p>
    <w:p>
      <w:pPr>
        <w:tabs>
          <w:tab w:val="left" w:pos="567"/>
        </w:tabs>
        <w:spacing w:after="50"/>
        <w:ind w:left="567" w:hanging="567"/>
        <w:jc w:val="left"/>
      </w:pPr>
      <w:r>
        <w:rPr>
          <w:b/>
          <w:bCs/>
          <w:color w:val="1F3864"/>
          <w:sz w:val="17"/>
          <w:szCs w:val="17"/>
        </w:rPr>
        <w:t xml:space="preserve">[B16]	</w:t>
      </w:r>
      <w:r>
        <w:rPr>
          <w:sz w:val="17"/>
          <w:szCs w:val="17"/>
        </w:rPr>
        <w:t xml:space="preserve">Kydland, F. E. &amp; Prescott, E. C. (1977). Rules rather than discretion: the inconsistency of optimal plans. </w:t>
      </w:r>
      <w:r>
        <w:rPr>
          <w:i/>
          <w:iCs/>
          <w:sz w:val="17"/>
          <w:szCs w:val="17"/>
        </w:rPr>
        <w:t xml:space="preserve">Journal of Political Economy</w:t>
      </w:r>
      <w:r>
        <w:rPr>
          <w:sz w:val="17"/>
          <w:szCs w:val="17"/>
        </w:rPr>
        <w:t xml:space="preserve">, 85(3), 473–491.</w:t>
      </w:r>
      <w:r>
        <w:rPr>
          <w:sz w:val="17"/>
          <w:szCs w:val="17"/>
        </w:rPr>
        <w:t xml:space="preserve"> </w:t>
      </w:r>
      <w:hyperlink w:history="1" r:id="rIdxqzjk0uarcqs4nq805wmi">
        <w:r>
          <w:rPr>
            <w:color w:val="1D4ED8"/>
            <w:sz w:val="17"/>
            <w:szCs w:val="17"/>
            <w:u w:val="single"/>
          </w:rPr>
          <w:t xml:space="preserve">https://doi.org/10.1086/260580</w:t>
        </w:r>
      </w:hyperlink>
    </w:p>
    <w:p>
      <w:pPr>
        <w:tabs>
          <w:tab w:val="left" w:pos="567"/>
        </w:tabs>
        <w:spacing w:after="50"/>
        <w:ind w:left="567" w:hanging="567"/>
        <w:jc w:val="left"/>
      </w:pPr>
      <w:r>
        <w:rPr>
          <w:b/>
          <w:bCs/>
          <w:color w:val="1F3864"/>
          <w:sz w:val="17"/>
          <w:szCs w:val="17"/>
        </w:rPr>
        <w:t xml:space="preserve">[B17]	</w:t>
      </w:r>
      <w:r>
        <w:rPr>
          <w:sz w:val="17"/>
          <w:szCs w:val="17"/>
        </w:rPr>
        <w:t xml:space="preserve">Strotz, R. H. (1955). Myopia and inconsistency in dynamic utility maximization. </w:t>
      </w:r>
      <w:r>
        <w:rPr>
          <w:i/>
          <w:iCs/>
          <w:sz w:val="17"/>
          <w:szCs w:val="17"/>
        </w:rPr>
        <w:t xml:space="preserve">Review of Economic Studies</w:t>
      </w:r>
      <w:r>
        <w:rPr>
          <w:sz w:val="17"/>
          <w:szCs w:val="17"/>
        </w:rPr>
        <w:t xml:space="preserve">, 23(3), 165–180.</w:t>
      </w:r>
      <w:r>
        <w:rPr>
          <w:sz w:val="17"/>
          <w:szCs w:val="17"/>
        </w:rPr>
        <w:t xml:space="preserve"> </w:t>
      </w:r>
      <w:hyperlink w:history="1" r:id="rId8kpzjqitubu3zemhnvtzr">
        <w:r>
          <w:rPr>
            <w:color w:val="1D4ED8"/>
            <w:sz w:val="17"/>
            <w:szCs w:val="17"/>
            <w:u w:val="single"/>
          </w:rPr>
          <w:t xml:space="preserve">https://doi.org/10.2307/2295722</w:t>
        </w:r>
      </w:hyperlink>
    </w:p>
    <w:p>
      <w:pPr>
        <w:tabs>
          <w:tab w:val="left" w:pos="567"/>
        </w:tabs>
        <w:spacing w:after="50"/>
        <w:ind w:left="567" w:hanging="567"/>
        <w:jc w:val="left"/>
      </w:pPr>
      <w:r>
        <w:rPr>
          <w:b/>
          <w:bCs/>
          <w:color w:val="1F3864"/>
          <w:sz w:val="17"/>
          <w:szCs w:val="17"/>
        </w:rPr>
        <w:t xml:space="preserve">[B18]	</w:t>
      </w:r>
      <w:r>
        <w:rPr>
          <w:sz w:val="17"/>
          <w:szCs w:val="17"/>
        </w:rPr>
        <w:t xml:space="preserve">Carlsson, H. &amp; van Damme, E. (1993). Global games and equilibrium selection. </w:t>
      </w:r>
      <w:r>
        <w:rPr>
          <w:i/>
          <w:iCs/>
          <w:sz w:val="17"/>
          <w:szCs w:val="17"/>
        </w:rPr>
        <w:t xml:space="preserve">Econometrica</w:t>
      </w:r>
      <w:r>
        <w:rPr>
          <w:sz w:val="17"/>
          <w:szCs w:val="17"/>
        </w:rPr>
        <w:t xml:space="preserve">, 61(5), 989–1018.</w:t>
      </w:r>
      <w:r>
        <w:rPr>
          <w:sz w:val="17"/>
          <w:szCs w:val="17"/>
        </w:rPr>
        <w:t xml:space="preserve"> </w:t>
      </w:r>
      <w:hyperlink w:history="1" r:id="rIdfu5gkhbbjyle2ilgkd_4z">
        <w:r>
          <w:rPr>
            <w:color w:val="1D4ED8"/>
            <w:sz w:val="17"/>
            <w:szCs w:val="17"/>
            <w:u w:val="single"/>
          </w:rPr>
          <w:t xml:space="preserve">https://doi.org/10.2307/2951491</w:t>
        </w:r>
      </w:hyperlink>
    </w:p>
    <w:p>
      <w:pPr>
        <w:tabs>
          <w:tab w:val="left" w:pos="567"/>
        </w:tabs>
        <w:spacing w:after="50"/>
        <w:ind w:left="567" w:hanging="567"/>
        <w:jc w:val="left"/>
      </w:pPr>
      <w:r>
        <w:rPr>
          <w:b/>
          <w:bCs/>
          <w:color w:val="1F3864"/>
          <w:sz w:val="17"/>
          <w:szCs w:val="17"/>
        </w:rPr>
        <w:t xml:space="preserve">[B19]	</w:t>
      </w:r>
      <w:r>
        <w:rPr>
          <w:sz w:val="17"/>
          <w:szCs w:val="17"/>
        </w:rPr>
        <w:t xml:space="preserve">Ostrom, E. (1990). </w:t>
      </w:r>
      <w:r>
        <w:rPr>
          <w:i/>
          <w:iCs/>
          <w:sz w:val="17"/>
          <w:szCs w:val="17"/>
        </w:rPr>
        <w:t xml:space="preserve">Governing the Commons: The Evolution of Institutions for Collective Action</w:t>
      </w:r>
      <w:r>
        <w:rPr>
          <w:sz w:val="17"/>
          <w:szCs w:val="17"/>
        </w:rPr>
        <w:t xml:space="preserve">. Cambridge University Press.</w:t>
      </w:r>
      <w:r>
        <w:rPr>
          <w:sz w:val="17"/>
          <w:szCs w:val="17"/>
        </w:rPr>
        <w:t xml:space="preserve"> </w:t>
      </w:r>
      <w:hyperlink w:history="1" r:id="rIdi0at63t61brbb38jfr_au">
        <w:r>
          <w:rPr>
            <w:color w:val="1D4ED8"/>
            <w:sz w:val="17"/>
            <w:szCs w:val="17"/>
            <w:u w:val="single"/>
          </w:rPr>
          <w:t xml:space="preserve">https://doi.org/10.1017/CBO9780511807763</w:t>
        </w:r>
      </w:hyperlink>
    </w:p>
    <w:p>
      <w:pPr>
        <w:tabs>
          <w:tab w:val="left" w:pos="567"/>
        </w:tabs>
        <w:spacing w:after="50"/>
        <w:ind w:left="567" w:hanging="567"/>
        <w:jc w:val="left"/>
      </w:pPr>
      <w:r>
        <w:rPr>
          <w:b/>
          <w:bCs/>
          <w:color w:val="1F3864"/>
          <w:sz w:val="17"/>
          <w:szCs w:val="17"/>
        </w:rPr>
        <w:t xml:space="preserve">[B20]	</w:t>
      </w:r>
      <w:r>
        <w:rPr>
          <w:sz w:val="17"/>
          <w:szCs w:val="17"/>
        </w:rPr>
        <w:t xml:space="preserve">Shapley, L. S. (1953). A value for n-person games. In Kuhn, H. W. &amp; Tucker, A. W. (eds.), </w:t>
      </w:r>
      <w:r>
        <w:rPr>
          <w:i/>
          <w:iCs/>
          <w:sz w:val="17"/>
          <w:szCs w:val="17"/>
        </w:rPr>
        <w:t xml:space="preserve">Contributions to the Theory of Games II</w:t>
      </w:r>
      <w:r>
        <w:rPr>
          <w:sz w:val="17"/>
          <w:szCs w:val="17"/>
        </w:rPr>
        <w:t xml:space="preserve">, Annals of Mathematics Studies 28, 307–317. Princeton University Press.</w:t>
      </w:r>
    </w:p>
    <w:p>
      <w:pPr>
        <w:pStyle w:val="Heading3"/>
      </w:pPr>
      <w:r>
        <w:rPr>
          <w:color w:val="1F3864"/>
        </w:rPr>
        <w:t xml:space="preserve">References of Part II (the 20 papers)</w:t>
      </w:r>
    </w:p>
    <w:p>
      <w:pPr>
        <w:tabs>
          <w:tab w:val="left" w:pos="567"/>
        </w:tabs>
        <w:spacing w:after="50"/>
        <w:ind w:left="567" w:hanging="567"/>
        <w:jc w:val="left"/>
      </w:pPr>
      <w:r>
        <w:rPr>
          <w:b/>
          <w:bCs/>
          <w:color w:val="002147"/>
          <w:sz w:val="17"/>
          <w:szCs w:val="17"/>
        </w:rPr>
        <w:t xml:space="preserve">[O1]	</w:t>
      </w:r>
      <w:r>
        <w:rPr>
          <w:sz w:val="17"/>
          <w:szCs w:val="17"/>
        </w:rPr>
        <w:t xml:space="preserve">Abeler, J., Huffman, D. B. &amp; Raymond, C. (2025). Incentive complexity, bounded rationality, and effort provision. </w:t>
      </w:r>
      <w:r>
        <w:rPr>
          <w:i/>
          <w:iCs/>
          <w:sz w:val="17"/>
          <w:szCs w:val="17"/>
        </w:rPr>
        <w:t xml:space="preserve">American Economic Review</w:t>
      </w:r>
      <w:r>
        <w:rPr>
          <w:sz w:val="17"/>
          <w:szCs w:val="17"/>
        </w:rPr>
        <w:t xml:space="preserve">, 115(12), 4404–4437.</w:t>
      </w:r>
      <w:r>
        <w:rPr>
          <w:sz w:val="17"/>
          <w:szCs w:val="17"/>
        </w:rPr>
        <w:t xml:space="preserve"> </w:t>
      </w:r>
      <w:hyperlink w:history="1" r:id="rIdmkigch3lusfjku5tjejhn">
        <w:r>
          <w:rPr>
            <w:color w:val="1D4ED8"/>
            <w:sz w:val="17"/>
            <w:szCs w:val="17"/>
            <w:u w:val="single"/>
          </w:rPr>
          <w:t xml:space="preserve">https://doi.org/10.1257/aer.20230751</w:t>
        </w:r>
      </w:hyperlink>
    </w:p>
    <w:p>
      <w:pPr>
        <w:tabs>
          <w:tab w:val="left" w:pos="567"/>
        </w:tabs>
        <w:spacing w:after="50"/>
        <w:ind w:left="567" w:hanging="567"/>
        <w:jc w:val="left"/>
      </w:pPr>
      <w:r>
        <w:rPr>
          <w:b/>
          <w:bCs/>
          <w:color w:val="002147"/>
          <w:sz w:val="17"/>
          <w:szCs w:val="17"/>
        </w:rPr>
        <w:t xml:space="preserve">[O2]	</w:t>
      </w:r>
      <w:r>
        <w:rPr>
          <w:sz w:val="17"/>
          <w:szCs w:val="17"/>
        </w:rPr>
        <w:t xml:space="preserve">Juechems, K., Balaguer, J., Spitzer, B. &amp; Summerfield, C. (2021). Optimal utility and probability functions for agents with finite computational precision. </w:t>
      </w:r>
      <w:r>
        <w:rPr>
          <w:i/>
          <w:iCs/>
          <w:sz w:val="17"/>
          <w:szCs w:val="17"/>
        </w:rPr>
        <w:t xml:space="preserve">Proceedings of the National Academy of Sciences of the USA</w:t>
      </w:r>
      <w:r>
        <w:rPr>
          <w:sz w:val="17"/>
          <w:szCs w:val="17"/>
        </w:rPr>
        <w:t xml:space="preserve">, 118(2), e2002232118.</w:t>
      </w:r>
      <w:r>
        <w:rPr>
          <w:sz w:val="17"/>
          <w:szCs w:val="17"/>
        </w:rPr>
        <w:t xml:space="preserve"> </w:t>
      </w:r>
      <w:hyperlink w:history="1" r:id="rIdypfn6zvliwvsajk-77gyu">
        <w:r>
          <w:rPr>
            <w:color w:val="1D4ED8"/>
            <w:sz w:val="17"/>
            <w:szCs w:val="17"/>
            <w:u w:val="single"/>
          </w:rPr>
          <w:t xml:space="preserve">https://doi.org/10.1073/pnas.2002232118</w:t>
        </w:r>
      </w:hyperlink>
    </w:p>
    <w:p>
      <w:pPr>
        <w:tabs>
          <w:tab w:val="left" w:pos="567"/>
        </w:tabs>
        <w:spacing w:after="50"/>
        <w:ind w:left="567" w:hanging="567"/>
        <w:jc w:val="left"/>
      </w:pPr>
      <w:r>
        <w:rPr>
          <w:b/>
          <w:bCs/>
          <w:color w:val="002147"/>
          <w:sz w:val="17"/>
          <w:szCs w:val="17"/>
        </w:rPr>
        <w:t xml:space="preserve">[O3]	</w:t>
      </w:r>
      <w:r>
        <w:rPr>
          <w:sz w:val="17"/>
          <w:szCs w:val="17"/>
        </w:rPr>
        <w:t xml:space="preserve">Zika, O., Wiech, K., Reinecke, A., Browning, M. &amp; Schuck, N. W. (2023). Trait anxiety is associated with hidden state inference during aversive reversal learning. </w:t>
      </w:r>
      <w:r>
        <w:rPr>
          <w:i/>
          <w:iCs/>
          <w:sz w:val="17"/>
          <w:szCs w:val="17"/>
        </w:rPr>
        <w:t xml:space="preserve">Nature Communications</w:t>
      </w:r>
      <w:r>
        <w:rPr>
          <w:sz w:val="17"/>
          <w:szCs w:val="17"/>
        </w:rPr>
        <w:t xml:space="preserve">, 14, 4203.</w:t>
      </w:r>
      <w:r>
        <w:rPr>
          <w:sz w:val="17"/>
          <w:szCs w:val="17"/>
        </w:rPr>
        <w:t xml:space="preserve"> </w:t>
      </w:r>
      <w:hyperlink w:history="1" r:id="rId7rbhoogtiue5j_zqtgiyr">
        <w:r>
          <w:rPr>
            <w:color w:val="1D4ED8"/>
            <w:sz w:val="17"/>
            <w:szCs w:val="17"/>
            <w:u w:val="single"/>
          </w:rPr>
          <w:t xml:space="preserve">https://doi.org/10.1038/s41467-023-39825-3</w:t>
        </w:r>
      </w:hyperlink>
    </w:p>
    <w:p>
      <w:pPr>
        <w:tabs>
          <w:tab w:val="left" w:pos="567"/>
        </w:tabs>
        <w:spacing w:after="50"/>
        <w:ind w:left="567" w:hanging="567"/>
        <w:jc w:val="left"/>
      </w:pPr>
      <w:r>
        <w:rPr>
          <w:b/>
          <w:bCs/>
          <w:color w:val="002147"/>
          <w:sz w:val="17"/>
          <w:szCs w:val="17"/>
        </w:rPr>
        <w:t xml:space="preserve">[O4]	</w:t>
      </w:r>
      <w:r>
        <w:rPr>
          <w:sz w:val="17"/>
          <w:szCs w:val="17"/>
        </w:rPr>
        <w:t xml:space="preserve">Murgatroyd, A., Gavin, H., Becher, O., Coxon, G., Hunt, D., Fallon, E., Wilson, J., Cuceloglu, G. &amp; Hall, J. W. (2022). Strategic analysis of the drought resilience of water supply systems. </w:t>
      </w:r>
      <w:r>
        <w:rPr>
          <w:i/>
          <w:iCs/>
          <w:sz w:val="17"/>
          <w:szCs w:val="17"/>
        </w:rPr>
        <w:t xml:space="preserve">Philosophical Transactions of the Royal Society A</w:t>
      </w:r>
      <w:r>
        <w:rPr>
          <w:sz w:val="17"/>
          <w:szCs w:val="17"/>
        </w:rPr>
        <w:t xml:space="preserve">, 380(2238), 20210292.</w:t>
      </w:r>
      <w:r>
        <w:rPr>
          <w:sz w:val="17"/>
          <w:szCs w:val="17"/>
        </w:rPr>
        <w:t xml:space="preserve"> </w:t>
      </w:r>
      <w:hyperlink w:history="1" r:id="rId4wydxsitqsyikkytcp-ql">
        <w:r>
          <w:rPr>
            <w:color w:val="1D4ED8"/>
            <w:sz w:val="17"/>
            <w:szCs w:val="17"/>
            <w:u w:val="single"/>
          </w:rPr>
          <w:t xml:space="preserve">https://doi.org/10.1098/rsta.2021.0292</w:t>
        </w:r>
      </w:hyperlink>
    </w:p>
    <w:p>
      <w:pPr>
        <w:tabs>
          <w:tab w:val="left" w:pos="567"/>
        </w:tabs>
        <w:spacing w:after="50"/>
        <w:ind w:left="567" w:hanging="567"/>
        <w:jc w:val="left"/>
      </w:pPr>
      <w:r>
        <w:rPr>
          <w:b/>
          <w:bCs/>
          <w:color w:val="002147"/>
          <w:sz w:val="17"/>
          <w:szCs w:val="17"/>
        </w:rPr>
        <w:t xml:space="preserve">[O5]	</w:t>
      </w:r>
      <w:r>
        <w:rPr>
          <w:sz w:val="17"/>
          <w:szCs w:val="17"/>
        </w:rPr>
        <w:t xml:space="preserve">Ferretti, L., Wymant, C., Petrie, J., Tsallis, D., Kendall, M., Ledda, A., Di Lauro, F., Fowler, A., Di Francia, A., Panovska-Griffiths, J., Abeler-Dörner, L., Charalambides, M., Briers, M. &amp; Fraser, C. (2024). Digital measurement of SARS-CoV-2 transmission risk from 7 million contacts. </w:t>
      </w:r>
      <w:r>
        <w:rPr>
          <w:i/>
          <w:iCs/>
          <w:sz w:val="17"/>
          <w:szCs w:val="17"/>
        </w:rPr>
        <w:t xml:space="preserve">Nature</w:t>
      </w:r>
      <w:r>
        <w:rPr>
          <w:sz w:val="17"/>
          <w:szCs w:val="17"/>
        </w:rPr>
        <w:t xml:space="preserve">, 626(7997), 145–150.</w:t>
      </w:r>
      <w:r>
        <w:rPr>
          <w:sz w:val="17"/>
          <w:szCs w:val="17"/>
        </w:rPr>
        <w:t xml:space="preserve"> </w:t>
      </w:r>
      <w:hyperlink w:history="1" r:id="rIdoeoq6e5nckfb0wjenz0oh">
        <w:r>
          <w:rPr>
            <w:color w:val="1D4ED8"/>
            <w:sz w:val="17"/>
            <w:szCs w:val="17"/>
            <w:u w:val="single"/>
          </w:rPr>
          <w:t xml:space="preserve">https://doi.org/10.1038/s41586-023-06952-2</w:t>
        </w:r>
      </w:hyperlink>
    </w:p>
    <w:p>
      <w:pPr>
        <w:tabs>
          <w:tab w:val="left" w:pos="567"/>
        </w:tabs>
        <w:spacing w:after="50"/>
        <w:ind w:left="567" w:hanging="567"/>
        <w:jc w:val="left"/>
      </w:pPr>
      <w:r>
        <w:rPr>
          <w:b/>
          <w:bCs/>
          <w:color w:val="B4410C"/>
          <w:sz w:val="17"/>
          <w:szCs w:val="17"/>
        </w:rPr>
        <w:t xml:space="preserve">[C1]	</w:t>
      </w:r>
      <w:r>
        <w:rPr>
          <w:sz w:val="17"/>
          <w:szCs w:val="17"/>
        </w:rPr>
        <w:t xml:space="preserve">McGranaghan, C., Nielsen, K., O'Donoghue, T., Somerville, J. &amp; Sprenger, C. (2024). Distinguishing common ratio preferences from common ratio effects using paired valuation tasks. </w:t>
      </w:r>
      <w:r>
        <w:rPr>
          <w:i/>
          <w:iCs/>
          <w:sz w:val="17"/>
          <w:szCs w:val="17"/>
        </w:rPr>
        <w:t xml:space="preserve">American Economic Review</w:t>
      </w:r>
      <w:r>
        <w:rPr>
          <w:sz w:val="17"/>
          <w:szCs w:val="17"/>
        </w:rPr>
        <w:t xml:space="preserve">, 114(2), 307–347.</w:t>
      </w:r>
      <w:r>
        <w:rPr>
          <w:sz w:val="17"/>
          <w:szCs w:val="17"/>
        </w:rPr>
        <w:t xml:space="preserve"> </w:t>
      </w:r>
      <w:hyperlink w:history="1" r:id="rIdkvf16-9r4jwya00l1dxjj">
        <w:r>
          <w:rPr>
            <w:color w:val="1D4ED8"/>
            <w:sz w:val="17"/>
            <w:szCs w:val="17"/>
            <w:u w:val="single"/>
          </w:rPr>
          <w:t xml:space="preserve">https://doi.org/10.1257/aer.20221535</w:t>
        </w:r>
      </w:hyperlink>
    </w:p>
    <w:p>
      <w:pPr>
        <w:tabs>
          <w:tab w:val="left" w:pos="567"/>
        </w:tabs>
        <w:spacing w:after="50"/>
        <w:ind w:left="567" w:hanging="567"/>
        <w:jc w:val="left"/>
      </w:pPr>
      <w:r>
        <w:rPr>
          <w:b/>
          <w:bCs/>
          <w:color w:val="B4410C"/>
          <w:sz w:val="17"/>
          <w:szCs w:val="17"/>
        </w:rPr>
        <w:t xml:space="preserve">[C2]	</w:t>
      </w:r>
      <w:r>
        <w:rPr>
          <w:sz w:val="17"/>
          <w:szCs w:val="17"/>
        </w:rPr>
        <w:t xml:space="preserve">Li, X. &amp; Camerer, C. F. (2022). Predictable effects of visual salience in experimental decisions and games. </w:t>
      </w:r>
      <w:r>
        <w:rPr>
          <w:i/>
          <w:iCs/>
          <w:sz w:val="17"/>
          <w:szCs w:val="17"/>
        </w:rPr>
        <w:t xml:space="preserve">Quarterly Journal of Economics</w:t>
      </w:r>
      <w:r>
        <w:rPr>
          <w:sz w:val="17"/>
          <w:szCs w:val="17"/>
        </w:rPr>
        <w:t xml:space="preserve">, 137(3), 1849–1900.</w:t>
      </w:r>
      <w:r>
        <w:rPr>
          <w:sz w:val="17"/>
          <w:szCs w:val="17"/>
        </w:rPr>
        <w:t xml:space="preserve"> </w:t>
      </w:r>
      <w:hyperlink w:history="1" r:id="rId30nmjmmz7nrbrhksczuxe">
        <w:r>
          <w:rPr>
            <w:color w:val="1D4ED8"/>
            <w:sz w:val="17"/>
            <w:szCs w:val="17"/>
            <w:u w:val="single"/>
          </w:rPr>
          <w:t xml:space="preserve">https://doi.org/10.1093/qje/qjac025</w:t>
        </w:r>
      </w:hyperlink>
    </w:p>
    <w:p>
      <w:pPr>
        <w:tabs>
          <w:tab w:val="left" w:pos="567"/>
        </w:tabs>
        <w:spacing w:after="50"/>
        <w:ind w:left="567" w:hanging="567"/>
        <w:jc w:val="left"/>
      </w:pPr>
      <w:r>
        <w:rPr>
          <w:b/>
          <w:bCs/>
          <w:color w:val="B4410C"/>
          <w:sz w:val="17"/>
          <w:szCs w:val="17"/>
        </w:rPr>
        <w:t xml:space="preserve">[C3]	</w:t>
      </w:r>
      <w:r>
        <w:rPr>
          <w:sz w:val="17"/>
          <w:szCs w:val="17"/>
        </w:rPr>
        <w:t xml:space="preserve">Chapman, J., Snowberg, E., Wang, S. &amp; Camerer, C. (2025). Looming large or seeming small? Attitudes towards losses in a representative sample. </w:t>
      </w:r>
      <w:r>
        <w:rPr>
          <w:i/>
          <w:iCs/>
          <w:sz w:val="17"/>
          <w:szCs w:val="17"/>
        </w:rPr>
        <w:t xml:space="preserve">Review of Economic Studies</w:t>
      </w:r>
      <w:r>
        <w:rPr>
          <w:sz w:val="17"/>
          <w:szCs w:val="17"/>
        </w:rPr>
        <w:t xml:space="preserve">, 92(5), 2893–2922.</w:t>
      </w:r>
      <w:r>
        <w:rPr>
          <w:sz w:val="17"/>
          <w:szCs w:val="17"/>
        </w:rPr>
        <w:t xml:space="preserve"> </w:t>
      </w:r>
      <w:hyperlink w:history="1" r:id="rIdhgq9lolq2ocudqjph3slc">
        <w:r>
          <w:rPr>
            <w:color w:val="1D4ED8"/>
            <w:sz w:val="17"/>
            <w:szCs w:val="17"/>
            <w:u w:val="single"/>
          </w:rPr>
          <w:t xml:space="preserve">https://doi.org/10.1093/restud/rdae093</w:t>
        </w:r>
      </w:hyperlink>
    </w:p>
    <w:p>
      <w:pPr>
        <w:tabs>
          <w:tab w:val="left" w:pos="567"/>
        </w:tabs>
        <w:spacing w:after="50"/>
        <w:ind w:left="567" w:hanging="567"/>
        <w:jc w:val="left"/>
      </w:pPr>
      <w:r>
        <w:rPr>
          <w:b/>
          <w:bCs/>
          <w:color w:val="B4410C"/>
          <w:sz w:val="17"/>
          <w:szCs w:val="17"/>
        </w:rPr>
        <w:t xml:space="preserve">[C4]	</w:t>
      </w:r>
      <w:r>
        <w:rPr>
          <w:sz w:val="17"/>
          <w:szCs w:val="17"/>
        </w:rPr>
        <w:t xml:space="preserve">Wise, T., Zbozinek, T. D., Charpentier, C. J., Michelini, G., Hagan, C. C. &amp; Mobbs, D. (2023). Computationally-defined markers of uncertainty aversion predict emotional responses during a global pandemic. </w:t>
      </w:r>
      <w:r>
        <w:rPr>
          <w:i/>
          <w:iCs/>
          <w:sz w:val="17"/>
          <w:szCs w:val="17"/>
        </w:rPr>
        <w:t xml:space="preserve">Emotion</w:t>
      </w:r>
      <w:r>
        <w:rPr>
          <w:sz w:val="17"/>
          <w:szCs w:val="17"/>
        </w:rPr>
        <w:t xml:space="preserve">, 23(3), 722–736.</w:t>
      </w:r>
      <w:r>
        <w:rPr>
          <w:sz w:val="17"/>
          <w:szCs w:val="17"/>
        </w:rPr>
        <w:t xml:space="preserve"> </w:t>
      </w:r>
      <w:hyperlink w:history="1" r:id="rIddwr2mmoi1f9cvphrg-kxk">
        <w:r>
          <w:rPr>
            <w:color w:val="1D4ED8"/>
            <w:sz w:val="17"/>
            <w:szCs w:val="17"/>
            <w:u w:val="single"/>
          </w:rPr>
          <w:t xml:space="preserve">https://doi.org/10.1037/emo0001088</w:t>
        </w:r>
      </w:hyperlink>
    </w:p>
    <w:p>
      <w:pPr>
        <w:tabs>
          <w:tab w:val="left" w:pos="567"/>
        </w:tabs>
        <w:spacing w:after="50"/>
        <w:ind w:left="567" w:hanging="567"/>
        <w:jc w:val="left"/>
      </w:pPr>
      <w:r>
        <w:rPr>
          <w:b/>
          <w:bCs/>
          <w:color w:val="B4410C"/>
          <w:sz w:val="17"/>
          <w:szCs w:val="17"/>
        </w:rPr>
        <w:t xml:space="preserve">[C5]	</w:t>
      </w:r>
      <w:r>
        <w:rPr>
          <w:sz w:val="17"/>
          <w:szCs w:val="17"/>
        </w:rPr>
        <w:t xml:space="preserve">Liu, P.-W., Famiglietti, J. S., Purdy, A. J., Adams, K. H., McEvoy, A. L., Reager, J. T., Bindlish, R., Wiese, D. N., David, C. H. &amp; Rodell, M. (2022). Groundwater depletion in California's Central Valley accelerates during megadrought. </w:t>
      </w:r>
      <w:r>
        <w:rPr>
          <w:i/>
          <w:iCs/>
          <w:sz w:val="17"/>
          <w:szCs w:val="17"/>
        </w:rPr>
        <w:t xml:space="preserve">Nature Communications</w:t>
      </w:r>
      <w:r>
        <w:rPr>
          <w:sz w:val="17"/>
          <w:szCs w:val="17"/>
        </w:rPr>
        <w:t xml:space="preserve">, 13, 7825.</w:t>
      </w:r>
      <w:r>
        <w:rPr>
          <w:sz w:val="17"/>
          <w:szCs w:val="17"/>
        </w:rPr>
        <w:t xml:space="preserve"> </w:t>
      </w:r>
      <w:hyperlink w:history="1" r:id="rId3q-t9sxpi3zxqenmv_5iz">
        <w:r>
          <w:rPr>
            <w:color w:val="1D4ED8"/>
            <w:sz w:val="17"/>
            <w:szCs w:val="17"/>
            <w:u w:val="single"/>
          </w:rPr>
          <w:t xml:space="preserve">https://doi.org/10.1038/s41467-022-35582-x</w:t>
        </w:r>
      </w:hyperlink>
    </w:p>
    <w:p>
      <w:pPr>
        <w:tabs>
          <w:tab w:val="left" w:pos="567"/>
        </w:tabs>
        <w:spacing w:after="50"/>
        <w:ind w:left="567" w:hanging="567"/>
        <w:jc w:val="left"/>
      </w:pPr>
      <w:r>
        <w:rPr>
          <w:b/>
          <w:bCs/>
          <w:color w:val="4D4D4F"/>
          <w:sz w:val="17"/>
          <w:szCs w:val="17"/>
        </w:rPr>
        <w:t xml:space="preserve">[M1]	</w:t>
      </w:r>
      <w:r>
        <w:rPr>
          <w:sz w:val="17"/>
          <w:szCs w:val="17"/>
        </w:rPr>
        <w:t xml:space="preserve">Morris, S. &amp; Yang, M. (2022). Coordination and continuous stochastic choice. </w:t>
      </w:r>
      <w:r>
        <w:rPr>
          <w:i/>
          <w:iCs/>
          <w:sz w:val="17"/>
          <w:szCs w:val="17"/>
        </w:rPr>
        <w:t xml:space="preserve">Review of Economic Studies</w:t>
      </w:r>
      <w:r>
        <w:rPr>
          <w:sz w:val="17"/>
          <w:szCs w:val="17"/>
        </w:rPr>
        <w:t xml:space="preserve">, 89(5), 2687–2722.</w:t>
      </w:r>
      <w:r>
        <w:rPr>
          <w:sz w:val="17"/>
          <w:szCs w:val="17"/>
        </w:rPr>
        <w:t xml:space="preserve"> </w:t>
      </w:r>
      <w:hyperlink w:history="1" r:id="rId6d74eczhml9u6q-oblmdy">
        <w:r>
          <w:rPr>
            <w:color w:val="1D4ED8"/>
            <w:sz w:val="17"/>
            <w:szCs w:val="17"/>
            <w:u w:val="single"/>
          </w:rPr>
          <w:t xml:space="preserve">https://doi.org/10.1093/restud/rdab082</w:t>
        </w:r>
      </w:hyperlink>
    </w:p>
    <w:p>
      <w:pPr>
        <w:tabs>
          <w:tab w:val="left" w:pos="567"/>
        </w:tabs>
        <w:spacing w:after="50"/>
        <w:ind w:left="567" w:hanging="567"/>
        <w:jc w:val="left"/>
      </w:pPr>
      <w:r>
        <w:rPr>
          <w:b/>
          <w:bCs/>
          <w:color w:val="4D4D4F"/>
          <w:sz w:val="17"/>
          <w:szCs w:val="17"/>
        </w:rPr>
        <w:t xml:space="preserve">[M2]	</w:t>
      </w:r>
      <w:r>
        <w:rPr>
          <w:sz w:val="17"/>
          <w:szCs w:val="17"/>
        </w:rPr>
        <w:t xml:space="preserve">Kaur, S., Mullainathan, S., Oh, S. &amp; Schilbach, F. (2025). Do financial concerns make workers less productive? </w:t>
      </w:r>
      <w:r>
        <w:rPr>
          <w:i/>
          <w:iCs/>
          <w:sz w:val="17"/>
          <w:szCs w:val="17"/>
        </w:rPr>
        <w:t xml:space="preserve">Quarterly Journal of Economics</w:t>
      </w:r>
      <w:r>
        <w:rPr>
          <w:sz w:val="17"/>
          <w:szCs w:val="17"/>
        </w:rPr>
        <w:t xml:space="preserve">, 140(1), 635–689.</w:t>
      </w:r>
      <w:r>
        <w:rPr>
          <w:sz w:val="17"/>
          <w:szCs w:val="17"/>
        </w:rPr>
        <w:t xml:space="preserve"> </w:t>
      </w:r>
      <w:hyperlink w:history="1" r:id="rIdlbcz5olhk7or2ep--hexk">
        <w:r>
          <w:rPr>
            <w:color w:val="1D4ED8"/>
            <w:sz w:val="17"/>
            <w:szCs w:val="17"/>
            <w:u w:val="single"/>
          </w:rPr>
          <w:t xml:space="preserve">https://doi.org/10.1093/qje/qjae038</w:t>
        </w:r>
      </w:hyperlink>
    </w:p>
    <w:p>
      <w:pPr>
        <w:tabs>
          <w:tab w:val="left" w:pos="567"/>
        </w:tabs>
        <w:spacing w:after="50"/>
        <w:ind w:left="567" w:hanging="567"/>
        <w:jc w:val="left"/>
      </w:pPr>
      <w:r>
        <w:rPr>
          <w:b/>
          <w:bCs/>
          <w:color w:val="4D4D4F"/>
          <w:sz w:val="17"/>
          <w:szCs w:val="17"/>
        </w:rPr>
        <w:t xml:space="preserve">[M3]	</w:t>
      </w:r>
      <w:r>
        <w:rPr>
          <w:sz w:val="17"/>
          <w:szCs w:val="17"/>
        </w:rPr>
        <w:t xml:space="preserve">Costello, T., Pennycook, G. &amp; Rand, D. (2024). Durably reducing conspiracy beliefs through dialogues with AI. </w:t>
      </w:r>
      <w:r>
        <w:rPr>
          <w:i/>
          <w:iCs/>
          <w:sz w:val="17"/>
          <w:szCs w:val="17"/>
        </w:rPr>
        <w:t xml:space="preserve">Science</w:t>
      </w:r>
      <w:r>
        <w:rPr>
          <w:sz w:val="17"/>
          <w:szCs w:val="17"/>
        </w:rPr>
        <w:t xml:space="preserve">, eadq1814.</w:t>
      </w:r>
      <w:r>
        <w:rPr>
          <w:sz w:val="17"/>
          <w:szCs w:val="17"/>
        </w:rPr>
        <w:t xml:space="preserve"> </w:t>
      </w:r>
      <w:hyperlink w:history="1" r:id="rIdii6zez3zl6c13wriqkmje">
        <w:r>
          <w:rPr>
            <w:color w:val="1D4ED8"/>
            <w:sz w:val="17"/>
            <w:szCs w:val="17"/>
            <w:u w:val="single"/>
          </w:rPr>
          <w:t xml:space="preserve">https://doi.org/10.1126/science.adq1814</w:t>
        </w:r>
      </w:hyperlink>
    </w:p>
    <w:p>
      <w:pPr>
        <w:tabs>
          <w:tab w:val="left" w:pos="567"/>
        </w:tabs>
        <w:spacing w:after="50"/>
        <w:ind w:left="567" w:hanging="567"/>
        <w:jc w:val="left"/>
      </w:pPr>
      <w:r>
        <w:rPr>
          <w:b/>
          <w:bCs/>
          <w:color w:val="4D4D4F"/>
          <w:sz w:val="17"/>
          <w:szCs w:val="17"/>
        </w:rPr>
        <w:t xml:space="preserve">[M4]	</w:t>
      </w:r>
      <w:r>
        <w:rPr>
          <w:sz w:val="17"/>
          <w:szCs w:val="17"/>
        </w:rPr>
        <w:t xml:space="preserve">Acemoglu, D., Chernozhukov, V., Werning, I. &amp; Whinston, M. (2021). Optimal targeted lockdowns in a multigroup SIR model. </w:t>
      </w:r>
      <w:r>
        <w:rPr>
          <w:i/>
          <w:iCs/>
          <w:sz w:val="17"/>
          <w:szCs w:val="17"/>
        </w:rPr>
        <w:t xml:space="preserve">American Economic Review: Insights</w:t>
      </w:r>
      <w:r>
        <w:rPr>
          <w:sz w:val="17"/>
          <w:szCs w:val="17"/>
        </w:rPr>
        <w:t xml:space="preserve">, 3(4), 487–502.</w:t>
      </w:r>
      <w:r>
        <w:rPr>
          <w:sz w:val="17"/>
          <w:szCs w:val="17"/>
        </w:rPr>
        <w:t xml:space="preserve"> </w:t>
      </w:r>
      <w:hyperlink w:history="1" r:id="rIdl0ex179c4ehwgwqusdsdu">
        <w:r>
          <w:rPr>
            <w:color w:val="1D4ED8"/>
            <w:sz w:val="17"/>
            <w:szCs w:val="17"/>
            <w:u w:val="single"/>
          </w:rPr>
          <w:t xml:space="preserve">https://doi.org/10.1257/aeri.20200590</w:t>
        </w:r>
      </w:hyperlink>
    </w:p>
    <w:p>
      <w:pPr>
        <w:tabs>
          <w:tab w:val="left" w:pos="567"/>
        </w:tabs>
        <w:spacing w:after="50"/>
        <w:ind w:left="567" w:hanging="567"/>
        <w:jc w:val="left"/>
      </w:pPr>
      <w:r>
        <w:rPr>
          <w:b/>
          <w:bCs/>
          <w:color w:val="4D4D4F"/>
          <w:sz w:val="17"/>
          <w:szCs w:val="17"/>
        </w:rPr>
        <w:t xml:space="preserve">[M5]	</w:t>
      </w:r>
      <w:r>
        <w:rPr>
          <w:sz w:val="17"/>
          <w:szCs w:val="17"/>
        </w:rPr>
        <w:t xml:space="preserve">Wang, J., Guetta-Jeanrenaud, N., Palacios, J., Fan, Y., Kakkar, D., Obradovich, N. &amp; Zheng, S. (2025). Unequal impacts of rising temperatures on global human sentiment. </w:t>
      </w:r>
      <w:r>
        <w:rPr>
          <w:i/>
          <w:iCs/>
          <w:sz w:val="17"/>
          <w:szCs w:val="17"/>
        </w:rPr>
        <w:t xml:space="preserve">One Earth</w:t>
      </w:r>
      <w:r>
        <w:rPr>
          <w:sz w:val="17"/>
          <w:szCs w:val="17"/>
        </w:rPr>
        <w:t xml:space="preserve">, 8(10), 101422.</w:t>
      </w:r>
      <w:r>
        <w:rPr>
          <w:sz w:val="17"/>
          <w:szCs w:val="17"/>
        </w:rPr>
        <w:t xml:space="preserve"> </w:t>
      </w:r>
      <w:hyperlink w:history="1" r:id="rIdmhoyf8wurawfmcy0ezw5w">
        <w:r>
          <w:rPr>
            <w:color w:val="1D4ED8"/>
            <w:sz w:val="17"/>
            <w:szCs w:val="17"/>
            <w:u w:val="single"/>
          </w:rPr>
          <w:t xml:space="preserve">https://doi.org/10.1016/j.oneear.2025.101422</w:t>
        </w:r>
      </w:hyperlink>
    </w:p>
    <w:p>
      <w:pPr>
        <w:tabs>
          <w:tab w:val="left" w:pos="567"/>
        </w:tabs>
        <w:spacing w:after="50"/>
        <w:ind w:left="567" w:hanging="567"/>
        <w:jc w:val="left"/>
      </w:pPr>
      <w:r>
        <w:rPr>
          <w:b/>
          <w:bCs/>
          <w:color w:val="215CAF"/>
          <w:sz w:val="17"/>
          <w:szCs w:val="17"/>
        </w:rPr>
        <w:t xml:space="preserve">[E1]	</w:t>
      </w:r>
      <w:r>
        <w:rPr>
          <w:sz w:val="17"/>
          <w:szCs w:val="17"/>
        </w:rPr>
        <w:t xml:space="preserve">Fischer, E., Sippel, S. &amp; Knutti, R. (2021). Increasing probability of record-shattering climate extremes. </w:t>
      </w:r>
      <w:r>
        <w:rPr>
          <w:i/>
          <w:iCs/>
          <w:sz w:val="17"/>
          <w:szCs w:val="17"/>
        </w:rPr>
        <w:t xml:space="preserve">Nature Climate Change</w:t>
      </w:r>
      <w:r>
        <w:rPr>
          <w:sz w:val="17"/>
          <w:szCs w:val="17"/>
        </w:rPr>
        <w:t xml:space="preserve">, 11(8), 689–695.</w:t>
      </w:r>
      <w:r>
        <w:rPr>
          <w:sz w:val="17"/>
          <w:szCs w:val="17"/>
        </w:rPr>
        <w:t xml:space="preserve"> </w:t>
      </w:r>
      <w:hyperlink w:history="1" r:id="rIde2unbiktdxynf0p0f8dgy">
        <w:r>
          <w:rPr>
            <w:color w:val="1D4ED8"/>
            <w:sz w:val="17"/>
            <w:szCs w:val="17"/>
            <w:u w:val="single"/>
          </w:rPr>
          <w:t xml:space="preserve">https://doi.org/10.1038/s41558-021-01092-9</w:t>
        </w:r>
      </w:hyperlink>
    </w:p>
    <w:p>
      <w:pPr>
        <w:tabs>
          <w:tab w:val="left" w:pos="567"/>
        </w:tabs>
        <w:spacing w:after="50"/>
        <w:ind w:left="567" w:hanging="567"/>
        <w:jc w:val="left"/>
      </w:pPr>
      <w:r>
        <w:rPr>
          <w:b/>
          <w:bCs/>
          <w:color w:val="215CAF"/>
          <w:sz w:val="17"/>
          <w:szCs w:val="17"/>
        </w:rPr>
        <w:t xml:space="preserve">[E2]	</w:t>
      </w:r>
      <w:r>
        <w:rPr>
          <w:sz w:val="17"/>
          <w:szCs w:val="17"/>
        </w:rPr>
        <w:t xml:space="preserve">Wabersich, K. P. &amp; Zeilinger, M. N. (2023). Predictive control barrier functions: Enhanced safety mechanisms for learning-based control. </w:t>
      </w:r>
      <w:r>
        <w:rPr>
          <w:i/>
          <w:iCs/>
          <w:sz w:val="17"/>
          <w:szCs w:val="17"/>
        </w:rPr>
        <w:t xml:space="preserve">IEEE Transactions on Automatic Control</w:t>
      </w:r>
      <w:r>
        <w:rPr>
          <w:sz w:val="17"/>
          <w:szCs w:val="17"/>
        </w:rPr>
        <w:t xml:space="preserve">, 2638–2651 (volume and issue not verified).</w:t>
      </w:r>
      <w:r>
        <w:rPr>
          <w:sz w:val="17"/>
          <w:szCs w:val="17"/>
        </w:rPr>
        <w:t xml:space="preserve"> </w:t>
      </w:r>
      <w:hyperlink w:history="1" r:id="rIdz7j9svo7g4nbdx8zbcldd">
        <w:r>
          <w:rPr>
            <w:color w:val="1D4ED8"/>
            <w:sz w:val="17"/>
            <w:szCs w:val="17"/>
            <w:u w:val="single"/>
          </w:rPr>
          <w:t xml:space="preserve">https://doi.org/10.1109/TAC.2022.3175628</w:t>
        </w:r>
      </w:hyperlink>
    </w:p>
    <w:p>
      <w:pPr>
        <w:tabs>
          <w:tab w:val="left" w:pos="567"/>
        </w:tabs>
        <w:spacing w:after="50"/>
        <w:ind w:left="567" w:hanging="567"/>
        <w:jc w:val="left"/>
      </w:pPr>
      <w:r>
        <w:rPr>
          <w:b/>
          <w:bCs/>
          <w:color w:val="215CAF"/>
          <w:sz w:val="17"/>
          <w:szCs w:val="17"/>
        </w:rPr>
        <w:t xml:space="preserve">[E3]	</w:t>
      </w:r>
      <w:r>
        <w:rPr>
          <w:sz w:val="17"/>
          <w:szCs w:val="17"/>
        </w:rPr>
        <w:t xml:space="preserve">Barretto-García, M., de Hollander, G., Grueschow, M., Polanía, R., Woodford, M. &amp; Ruff, C. (2023). Individual risk attitudes arise from noise in neurocognitive magnitude representations. </w:t>
      </w:r>
      <w:r>
        <w:rPr>
          <w:i/>
          <w:iCs/>
          <w:sz w:val="17"/>
          <w:szCs w:val="17"/>
        </w:rPr>
        <w:t xml:space="preserve">Nature Human Behaviour</w:t>
      </w:r>
      <w:r>
        <w:rPr>
          <w:sz w:val="17"/>
          <w:szCs w:val="17"/>
        </w:rPr>
        <w:t xml:space="preserve">, 7(9), 1551–1567.</w:t>
      </w:r>
      <w:r>
        <w:rPr>
          <w:sz w:val="17"/>
          <w:szCs w:val="17"/>
        </w:rPr>
        <w:t xml:space="preserve"> </w:t>
      </w:r>
      <w:hyperlink w:history="1" r:id="rIdvjnz9f0isismsmacxlpep">
        <w:r>
          <w:rPr>
            <w:color w:val="1D4ED8"/>
            <w:sz w:val="17"/>
            <w:szCs w:val="17"/>
            <w:u w:val="single"/>
          </w:rPr>
          <w:t xml:space="preserve">https://doi.org/10.1038/s41562-023-01643-4</w:t>
        </w:r>
      </w:hyperlink>
    </w:p>
    <w:p>
      <w:pPr>
        <w:tabs>
          <w:tab w:val="left" w:pos="567"/>
        </w:tabs>
        <w:spacing w:after="50"/>
        <w:ind w:left="567" w:hanging="567"/>
        <w:jc w:val="left"/>
      </w:pPr>
      <w:r>
        <w:rPr>
          <w:b/>
          <w:bCs/>
          <w:color w:val="215CAF"/>
          <w:sz w:val="17"/>
          <w:szCs w:val="17"/>
        </w:rPr>
        <w:t xml:space="preserve">[E4]	</w:t>
      </w:r>
      <w:r>
        <w:rPr>
          <w:sz w:val="17"/>
          <w:szCs w:val="17"/>
        </w:rPr>
        <w:t xml:space="preserve">Cologna, V., Meiler, S. et al. (incl. Mede, N. G., Bresch, D. N. and the TISP Consortium) (2025). Extreme weather event attribution predicts climate policy support across the world. </w:t>
      </w:r>
      <w:r>
        <w:rPr>
          <w:i/>
          <w:iCs/>
          <w:sz w:val="17"/>
          <w:szCs w:val="17"/>
        </w:rPr>
        <w:t xml:space="preserve">Nature Climate Change</w:t>
      </w:r>
      <w:r>
        <w:rPr>
          <w:sz w:val="17"/>
          <w:szCs w:val="17"/>
        </w:rPr>
        <w:t xml:space="preserve">, 15(7), 725–735.</w:t>
      </w:r>
      <w:r>
        <w:rPr>
          <w:sz w:val="17"/>
          <w:szCs w:val="17"/>
        </w:rPr>
        <w:t xml:space="preserve"> </w:t>
      </w:r>
      <w:hyperlink w:history="1" r:id="rIdxlfbfg3t_ikfdu0ujmuxv">
        <w:r>
          <w:rPr>
            <w:color w:val="1D4ED8"/>
            <w:sz w:val="17"/>
            <w:szCs w:val="17"/>
            <w:u w:val="single"/>
          </w:rPr>
          <w:t xml:space="preserve">https://doi.org/10.1038/s41558-025-02372-4</w:t>
        </w:r>
      </w:hyperlink>
    </w:p>
    <w:p>
      <w:pPr>
        <w:tabs>
          <w:tab w:val="left" w:pos="567"/>
        </w:tabs>
        <w:spacing w:after="50"/>
        <w:ind w:left="567" w:hanging="567"/>
        <w:jc w:val="left"/>
      </w:pPr>
      <w:r>
        <w:rPr>
          <w:b/>
          <w:bCs/>
          <w:color w:val="215CAF"/>
          <w:sz w:val="17"/>
          <w:szCs w:val="17"/>
        </w:rPr>
        <w:t xml:space="preserve">[E5]	</w:t>
      </w:r>
      <w:r>
        <w:rPr>
          <w:sz w:val="17"/>
          <w:szCs w:val="17"/>
        </w:rPr>
        <w:t xml:space="preserve">Ciullo, A., Strobl, E., Meiler, S., Martius, O. &amp; Bresch, D. N. (2023). Increasing countries' financial resilience through global catastrophe risk pooling. </w:t>
      </w:r>
      <w:r>
        <w:rPr>
          <w:i/>
          <w:iCs/>
          <w:sz w:val="17"/>
          <w:szCs w:val="17"/>
        </w:rPr>
        <w:t xml:space="preserve">Nature Communications</w:t>
      </w:r>
      <w:r>
        <w:rPr>
          <w:sz w:val="17"/>
          <w:szCs w:val="17"/>
        </w:rPr>
        <w:t xml:space="preserve">, 14, 922.</w:t>
      </w:r>
      <w:r>
        <w:rPr>
          <w:sz w:val="17"/>
          <w:szCs w:val="17"/>
        </w:rPr>
        <w:t xml:space="preserve"> </w:t>
      </w:r>
      <w:hyperlink w:history="1" r:id="rIdi_gaayxw-4p5ma42fhgjh">
        <w:r>
          <w:rPr>
            <w:color w:val="1D4ED8"/>
            <w:sz w:val="17"/>
            <w:szCs w:val="17"/>
            <w:u w:val="single"/>
          </w:rPr>
          <w:t xml:space="preserve">https://doi.org/10.1038/s41467-023-36539-4</w:t>
        </w:r>
      </w:hyperlink>
    </w:p>
    <w:p>
      <w:pPr>
        <w:pStyle w:val="Heading3"/>
      </w:pPr>
      <w:r>
        <w:rPr>
          <w:color w:val="1F3864"/>
        </w:rPr>
        <w:t xml:space="preserve">Further reading cited in the text (reserve papers)</w:t>
      </w:r>
    </w:p>
    <w:p>
      <w:pPr>
        <w:tabs>
          <w:tab w:val="left" w:pos="567"/>
        </w:tabs>
        <w:spacing w:after="50"/>
        <w:ind w:left="567" w:hanging="567"/>
        <w:jc w:val="left"/>
      </w:pPr>
      <w:r>
        <w:rPr>
          <w:b/>
          <w:bCs/>
          <w:color w:val="002147"/>
          <w:sz w:val="17"/>
          <w:szCs w:val="17"/>
        </w:rPr>
        <w:t xml:space="preserve">[OR1]	</w:t>
      </w:r>
      <w:r>
        <w:rPr>
          <w:sz w:val="17"/>
          <w:szCs w:val="17"/>
        </w:rPr>
        <w:t xml:space="preserve">Freeman, D., Loe, B. S., Yu, L.-M., et al. (2021). Effects of different types of written vaccination information on COVID-19 vaccine hesitancy in the UK (OCEANS-III): a single-blind, parallel-group, randomised controlled trial. </w:t>
      </w:r>
      <w:r>
        <w:rPr>
          <w:i/>
          <w:iCs/>
          <w:sz w:val="17"/>
          <w:szCs w:val="17"/>
        </w:rPr>
        <w:t xml:space="preserve">The Lancet Public Health</w:t>
      </w:r>
      <w:r>
        <w:rPr>
          <w:sz w:val="17"/>
          <w:szCs w:val="17"/>
        </w:rPr>
        <w:t xml:space="preserve">, 6(6), e416–e427. </w:t>
      </w:r>
      <w:r>
        <w:rPr>
          <w:i/>
          <w:iCs/>
          <w:sz w:val="17"/>
          <w:szCs w:val="17"/>
        </w:rPr>
        <w:t xml:space="preserve">Why it is useful:</w:t>
      </w:r>
      <w:r>
        <w:rPr>
          <w:sz w:val="17"/>
          <w:szCs w:val="17"/>
        </w:rPr>
        <w:t xml:space="preserve"> Oxford (Freeman, McShane and co-authors); a randomised trial of written information against COVID-19 vaccine hesitancy, a model for testing how risk information is framed for stakeholders (section 1.3).</w:t>
      </w:r>
      <w:r>
        <w:rPr>
          <w:sz w:val="17"/>
          <w:szCs w:val="17"/>
        </w:rPr>
        <w:t xml:space="preserve"> </w:t>
      </w:r>
      <w:hyperlink w:history="1" r:id="rIdycd2taqgbonbgt14tzsis">
        <w:r>
          <w:rPr>
            <w:color w:val="1D4ED8"/>
            <w:sz w:val="17"/>
            <w:szCs w:val="17"/>
            <w:u w:val="single"/>
          </w:rPr>
          <w:t xml:space="preserve">https://doi.org/10.1016/S2468-2667(21)00096-7</w:t>
        </w:r>
      </w:hyperlink>
    </w:p>
    <w:p>
      <w:pPr>
        <w:tabs>
          <w:tab w:val="left" w:pos="567"/>
        </w:tabs>
        <w:spacing w:after="50"/>
        <w:ind w:left="567" w:hanging="567"/>
        <w:jc w:val="left"/>
      </w:pPr>
      <w:r>
        <w:rPr>
          <w:b/>
          <w:bCs/>
          <w:color w:val="002147"/>
          <w:sz w:val="17"/>
          <w:szCs w:val="17"/>
        </w:rPr>
        <w:t xml:space="preserve">[OR2]	</w:t>
      </w:r>
      <w:r>
        <w:rPr>
          <w:sz w:val="17"/>
          <w:szCs w:val="17"/>
        </w:rPr>
        <w:t xml:space="preserve">Duch, R., Roope, L., Violato, M., et al. (2021). Citizens from 13 countries share similar preferences for COVID-19 vaccine allocation priorities. </w:t>
      </w:r>
      <w:r>
        <w:rPr>
          <w:i/>
          <w:iCs/>
          <w:sz w:val="17"/>
          <w:szCs w:val="17"/>
        </w:rPr>
        <w:t xml:space="preserve">Proceedings of the National Academy of Sciences of the USA</w:t>
      </w:r>
      <w:r>
        <w:rPr>
          <w:sz w:val="17"/>
          <w:szCs w:val="17"/>
        </w:rPr>
        <w:t xml:space="preserve">, 118(38), e2026382118. </w:t>
      </w:r>
      <w:r>
        <w:rPr>
          <w:i/>
          <w:iCs/>
          <w:sz w:val="17"/>
          <w:szCs w:val="17"/>
        </w:rPr>
        <w:t xml:space="preserve">Why it is useful:</w:t>
      </w:r>
      <w:r>
        <w:rPr>
          <w:sz w:val="17"/>
          <w:szCs w:val="17"/>
        </w:rPr>
        <w:t xml:space="preserve"> Oxford (Duch, Clarke and co-authors); a 13-country conjoint experiment showing shared priorities for allocating scarce vaccines, evidence that allocation rules for a crisis can be agreed in advance (section 1.4).</w:t>
      </w:r>
      <w:r>
        <w:rPr>
          <w:sz w:val="17"/>
          <w:szCs w:val="17"/>
        </w:rPr>
        <w:t xml:space="preserve"> </w:t>
      </w:r>
      <w:hyperlink w:history="1" r:id="rIdqsvvziipgtc44xurigi-e">
        <w:r>
          <w:rPr>
            <w:color w:val="1D4ED8"/>
            <w:sz w:val="17"/>
            <w:szCs w:val="17"/>
            <w:u w:val="single"/>
          </w:rPr>
          <w:t xml:space="preserve">https://doi.org/10.1073/pnas.2026382118</w:t>
        </w:r>
      </w:hyperlink>
    </w:p>
    <w:p>
      <w:pPr>
        <w:tabs>
          <w:tab w:val="left" w:pos="567"/>
        </w:tabs>
        <w:spacing w:after="50"/>
        <w:ind w:left="567" w:hanging="567"/>
        <w:jc w:val="left"/>
      </w:pPr>
      <w:r>
        <w:rPr>
          <w:b/>
          <w:bCs/>
          <w:color w:val="B4410C"/>
          <w:sz w:val="17"/>
          <w:szCs w:val="17"/>
        </w:rPr>
        <w:t xml:space="preserve">[CR1]	</w:t>
      </w:r>
      <w:r>
        <w:rPr>
          <w:sz w:val="17"/>
          <w:szCs w:val="17"/>
        </w:rPr>
        <w:t xml:space="preserve">Charpentier, C. J., Iigaya, K. &amp; O'Doherty, J. P. (2020). A neuro-computational account of arbitration between choice imitation and goal emulation during human observational learning. </w:t>
      </w:r>
      <w:r>
        <w:rPr>
          <w:i/>
          <w:iCs/>
          <w:sz w:val="17"/>
          <w:szCs w:val="17"/>
        </w:rPr>
        <w:t xml:space="preserve">Neuron</w:t>
      </w:r>
      <w:r>
        <w:rPr>
          <w:sz w:val="17"/>
          <w:szCs w:val="17"/>
        </w:rPr>
        <w:t xml:space="preserve">, 106(4), 687–699.e7. </w:t>
      </w:r>
      <w:r>
        <w:rPr>
          <w:i/>
          <w:iCs/>
          <w:sz w:val="17"/>
          <w:szCs w:val="17"/>
        </w:rPr>
        <w:t xml:space="preserve">Why it is useful:</w:t>
      </w:r>
      <w:r>
        <w:rPr>
          <w:sz w:val="17"/>
          <w:szCs w:val="17"/>
        </w:rPr>
        <w:t xml:space="preserve"> Caltech (Charpentier, Iigaya, O'Doherty); how the brain arbitrates between imitating others' choices and inferring their goals, relevant when users copy their neighbours' pumping in a drought (section 1.4).</w:t>
      </w:r>
      <w:r>
        <w:rPr>
          <w:sz w:val="17"/>
          <w:szCs w:val="17"/>
        </w:rPr>
        <w:t xml:space="preserve"> </w:t>
      </w:r>
      <w:hyperlink w:history="1" r:id="rId95ngr80bux_oilzycv1yq">
        <w:r>
          <w:rPr>
            <w:color w:val="1D4ED8"/>
            <w:sz w:val="17"/>
            <w:szCs w:val="17"/>
            <w:u w:val="single"/>
          </w:rPr>
          <w:t xml:space="preserve">https://doi.org/10.1016/j.neuron.2020.02.028</w:t>
        </w:r>
      </w:hyperlink>
    </w:p>
    <w:p>
      <w:pPr>
        <w:tabs>
          <w:tab w:val="left" w:pos="567"/>
        </w:tabs>
        <w:spacing w:after="50"/>
        <w:ind w:left="567" w:hanging="567"/>
        <w:jc w:val="left"/>
      </w:pPr>
      <w:r>
        <w:rPr>
          <w:b/>
          <w:bCs/>
          <w:color w:val="B4410C"/>
          <w:sz w:val="17"/>
          <w:szCs w:val="17"/>
        </w:rPr>
        <w:t xml:space="preserve">[CR2]	</w:t>
      </w:r>
      <w:r>
        <w:rPr>
          <w:sz w:val="17"/>
          <w:szCs w:val="17"/>
        </w:rPr>
        <w:t xml:space="preserve">Nielsen, K. &amp; Rehbeck, J. (2022). When choices are mistakes. </w:t>
      </w:r>
      <w:r>
        <w:rPr>
          <w:i/>
          <w:iCs/>
          <w:sz w:val="17"/>
          <w:szCs w:val="17"/>
        </w:rPr>
        <w:t xml:space="preserve">American Economic Review</w:t>
      </w:r>
      <w:r>
        <w:rPr>
          <w:sz w:val="17"/>
          <w:szCs w:val="17"/>
        </w:rPr>
        <w:t xml:space="preserve">, 112(7), 2237–2268. </w:t>
      </w:r>
      <w:r>
        <w:rPr>
          <w:i/>
          <w:iCs/>
          <w:sz w:val="17"/>
          <w:szCs w:val="17"/>
        </w:rPr>
        <w:t xml:space="preserve">Why it is useful:</w:t>
      </w:r>
      <w:r>
        <w:rPr>
          <w:sz w:val="17"/>
          <w:szCs w:val="17"/>
        </w:rPr>
        <w:t xml:space="preserve"> Caltech (Nielsen) and Ohio State; people asked to reconcile choices with the axioms they endorse correct many violations, a way to separate mistakes from preferences (section 1.2).</w:t>
      </w:r>
      <w:r>
        <w:rPr>
          <w:sz w:val="17"/>
          <w:szCs w:val="17"/>
        </w:rPr>
        <w:t xml:space="preserve"> </w:t>
      </w:r>
      <w:hyperlink w:history="1" r:id="rIdbrbix43lpdbtpzddzq1p1">
        <w:r>
          <w:rPr>
            <w:color w:val="1D4ED8"/>
            <w:sz w:val="17"/>
            <w:szCs w:val="17"/>
            <w:u w:val="single"/>
          </w:rPr>
          <w:t xml:space="preserve">https://doi.org/10.1257/aer.20201550</w:t>
        </w:r>
      </w:hyperlink>
    </w:p>
    <w:p>
      <w:pPr>
        <w:tabs>
          <w:tab w:val="left" w:pos="567"/>
        </w:tabs>
        <w:spacing w:after="50"/>
        <w:ind w:left="567" w:hanging="567"/>
        <w:jc w:val="left"/>
      </w:pPr>
      <w:r>
        <w:rPr>
          <w:b/>
          <w:bCs/>
          <w:color w:val="4D4D4F"/>
          <w:sz w:val="17"/>
          <w:szCs w:val="17"/>
        </w:rPr>
        <w:t xml:space="preserve">[MR1]	</w:t>
      </w:r>
      <w:r>
        <w:rPr>
          <w:sz w:val="17"/>
          <w:szCs w:val="17"/>
        </w:rPr>
        <w:t xml:space="preserve">Acemoglu, D., Ozdaglar, A. &amp; Siderius, J. (2024). A model of online misinformation. </w:t>
      </w:r>
      <w:r>
        <w:rPr>
          <w:i/>
          <w:iCs/>
          <w:sz w:val="17"/>
          <w:szCs w:val="17"/>
        </w:rPr>
        <w:t xml:space="preserve">Review of Economic Studies</w:t>
      </w:r>
      <w:r>
        <w:rPr>
          <w:sz w:val="17"/>
          <w:szCs w:val="17"/>
        </w:rPr>
        <w:t xml:space="preserve">, 91(6), 3117–3150. </w:t>
      </w:r>
      <w:r>
        <w:rPr>
          <w:i/>
          <w:iCs/>
          <w:sz w:val="17"/>
          <w:szCs w:val="17"/>
        </w:rPr>
        <w:t xml:space="preserve">Why it is useful:</w:t>
      </w:r>
      <w:r>
        <w:rPr>
          <w:sz w:val="17"/>
          <w:szCs w:val="17"/>
        </w:rPr>
        <w:t xml:space="preserve"> MIT (Acemoglu, Ozdaglar, Siderius); a model of misinformation sharing in social networks with equilibrium characterisations, relevant to rumours about the cause of salinity (section 1.3).</w:t>
      </w:r>
      <w:r>
        <w:rPr>
          <w:sz w:val="17"/>
          <w:szCs w:val="17"/>
        </w:rPr>
        <w:t xml:space="preserve"> </w:t>
      </w:r>
      <w:hyperlink w:history="1" r:id="rIdlpkhnii8dlliitqimxr0g">
        <w:r>
          <w:rPr>
            <w:color w:val="1D4ED8"/>
            <w:sz w:val="17"/>
            <w:szCs w:val="17"/>
            <w:u w:val="single"/>
          </w:rPr>
          <w:t xml:space="preserve">https://doi.org/10.1093/restud/rdad111</w:t>
        </w:r>
      </w:hyperlink>
    </w:p>
    <w:p>
      <w:pPr>
        <w:tabs>
          <w:tab w:val="left" w:pos="567"/>
        </w:tabs>
        <w:spacing w:after="50"/>
        <w:ind w:left="567" w:hanging="567"/>
        <w:jc w:val="left"/>
      </w:pPr>
      <w:r>
        <w:rPr>
          <w:b/>
          <w:bCs/>
          <w:color w:val="4D4D4F"/>
          <w:sz w:val="17"/>
          <w:szCs w:val="17"/>
        </w:rPr>
        <w:t xml:space="preserve">[MR2]	</w:t>
      </w:r>
      <w:r>
        <w:rPr>
          <w:sz w:val="17"/>
          <w:szCs w:val="17"/>
        </w:rPr>
        <w:t xml:space="preserve">Baron, M., Verner, E. &amp; Xiong, W. (2021). Banking crises without panics. </w:t>
      </w:r>
      <w:r>
        <w:rPr>
          <w:i/>
          <w:iCs/>
          <w:sz w:val="17"/>
          <w:szCs w:val="17"/>
        </w:rPr>
        <w:t xml:space="preserve">Quarterly Journal of Economics</w:t>
      </w:r>
      <w:r>
        <w:rPr>
          <w:sz w:val="17"/>
          <w:szCs w:val="17"/>
        </w:rPr>
        <w:t xml:space="preserve">, 136(1), 51–113. </w:t>
      </w:r>
      <w:r>
        <w:rPr>
          <w:i/>
          <w:iCs/>
          <w:sz w:val="17"/>
          <w:szCs w:val="17"/>
        </w:rPr>
        <w:t xml:space="preserve">Why it is useful:</w:t>
      </w:r>
      <w:r>
        <w:rPr>
          <w:sz w:val="17"/>
          <w:szCs w:val="17"/>
        </w:rPr>
        <w:t xml:space="preserve"> MIT (Verner) and co-authors; banking crises follow large bank-equity losses even without panics, an objective early indicator rather than a mood (section 1.4).</w:t>
      </w:r>
      <w:r>
        <w:rPr>
          <w:sz w:val="17"/>
          <w:szCs w:val="17"/>
        </w:rPr>
        <w:t xml:space="preserve"> </w:t>
      </w:r>
      <w:hyperlink w:history="1" r:id="rIdwnkuyh6tlrpuu_htijvyk">
        <w:r>
          <w:rPr>
            <w:color w:val="1D4ED8"/>
            <w:sz w:val="17"/>
            <w:szCs w:val="17"/>
            <w:u w:val="single"/>
          </w:rPr>
          <w:t xml:space="preserve">https://doi.org/10.1093/qje/qjaa034</w:t>
        </w:r>
      </w:hyperlink>
    </w:p>
    <w:p>
      <w:pPr>
        <w:tabs>
          <w:tab w:val="left" w:pos="567"/>
        </w:tabs>
        <w:spacing w:after="50"/>
        <w:ind w:left="567" w:hanging="567"/>
        <w:jc w:val="left"/>
      </w:pPr>
      <w:r>
        <w:rPr>
          <w:b/>
          <w:bCs/>
          <w:color w:val="215CAF"/>
          <w:sz w:val="17"/>
          <w:szCs w:val="17"/>
        </w:rPr>
        <w:t xml:space="preserve">[ER1]	</w:t>
      </w:r>
      <w:r>
        <w:rPr>
          <w:sz w:val="17"/>
          <w:szCs w:val="17"/>
        </w:rPr>
        <w:t xml:space="preserve">Fischer, E. et al. (incl. Sippel, S. &amp; Knutti, R.) (2023). Storylines for unprecedented heatwaves based on ensemble boosting. </w:t>
      </w:r>
      <w:r>
        <w:rPr>
          <w:i/>
          <w:iCs/>
          <w:sz w:val="17"/>
          <w:szCs w:val="17"/>
        </w:rPr>
        <w:t xml:space="preserve">Nature Communications</w:t>
      </w:r>
      <w:r>
        <w:rPr>
          <w:sz w:val="17"/>
          <w:szCs w:val="17"/>
        </w:rPr>
        <w:t xml:space="preserve">, 14, 4643. </w:t>
      </w:r>
      <w:r>
        <w:rPr>
          <w:i/>
          <w:iCs/>
          <w:sz w:val="17"/>
          <w:szCs w:val="17"/>
        </w:rPr>
        <w:t xml:space="preserve">Why it is useful:</w:t>
      </w:r>
      <w:r>
        <w:rPr>
          <w:sz w:val="17"/>
          <w:szCs w:val="17"/>
        </w:rPr>
        <w:t xml:space="preserve"> ETH Zürich (Fischer, Sippel, Knutti and co-authors); storylines of unprecedented heatwaves by ensemble boosting, a method for the extreme regimes of section 9 (section 1.1).</w:t>
      </w:r>
      <w:r>
        <w:rPr>
          <w:sz w:val="17"/>
          <w:szCs w:val="17"/>
        </w:rPr>
        <w:t xml:space="preserve"> </w:t>
      </w:r>
      <w:hyperlink w:history="1" r:id="rIdvzff0po8gjyuedktz8qz0">
        <w:r>
          <w:rPr>
            <w:color w:val="1D4ED8"/>
            <w:sz w:val="17"/>
            <w:szCs w:val="17"/>
            <w:u w:val="single"/>
          </w:rPr>
          <w:t xml:space="preserve">https://doi.org/10.1038/s41467-023-40112-4</w:t>
        </w:r>
      </w:hyperlink>
    </w:p>
    <w:p>
      <w:pPr>
        <w:tabs>
          <w:tab w:val="left" w:pos="567"/>
        </w:tabs>
        <w:spacing w:after="50"/>
        <w:ind w:left="567" w:hanging="567"/>
        <w:jc w:val="left"/>
      </w:pPr>
      <w:r>
        <w:rPr>
          <w:b/>
          <w:bCs/>
          <w:color w:val="215CAF"/>
          <w:sz w:val="17"/>
          <w:szCs w:val="17"/>
        </w:rPr>
        <w:t xml:space="preserve">[ER2]	</w:t>
      </w:r>
      <w:r>
        <w:rPr>
          <w:sz w:val="17"/>
          <w:szCs w:val="17"/>
        </w:rPr>
        <w:t xml:space="preserve">Siegrist, M. &amp; Bearth, A. (2021). Worldviews, trust, and risk perceptions shape public acceptance of COVID-19 public health measures. </w:t>
      </w:r>
      <w:r>
        <w:rPr>
          <w:i/>
          <w:iCs/>
          <w:sz w:val="17"/>
          <w:szCs w:val="17"/>
        </w:rPr>
        <w:t xml:space="preserve">Proceedings of the National Academy of Sciences</w:t>
      </w:r>
      <w:r>
        <w:rPr>
          <w:sz w:val="17"/>
          <w:szCs w:val="17"/>
        </w:rPr>
        <w:t xml:space="preserve">, 118(24), e2100411118. </w:t>
      </w:r>
      <w:r>
        <w:rPr>
          <w:i/>
          <w:iCs/>
          <w:sz w:val="17"/>
          <w:szCs w:val="17"/>
        </w:rPr>
        <w:t xml:space="preserve">Why it is useful:</w:t>
      </w:r>
      <w:r>
        <w:rPr>
          <w:sz w:val="17"/>
          <w:szCs w:val="17"/>
        </w:rPr>
        <w:t xml:space="preserve"> ETH Zürich (Siegrist) and co-author; trust, worldviews and risk perception shape acceptance of crisis measures in a two-wave Swiss survey (section 1.3).</w:t>
      </w:r>
      <w:r>
        <w:rPr>
          <w:sz w:val="17"/>
          <w:szCs w:val="17"/>
        </w:rPr>
        <w:t xml:space="preserve"> </w:t>
      </w:r>
      <w:hyperlink w:history="1" r:id="rIdl5jamxwp9oq4vjrg3n4bz">
        <w:r>
          <w:rPr>
            <w:color w:val="1D4ED8"/>
            <w:sz w:val="17"/>
            <w:szCs w:val="17"/>
            <w:u w:val="single"/>
          </w:rPr>
          <w:t xml:space="preserve">https://doi.org/10.1073/pnas.2100411118</w:t>
        </w:r>
      </w:hyperlink>
    </w:p>
    <w:p>
      <w:pPr>
        <w:spacing w:after="200"/>
      </w:pPr>
    </w:p>
    <w:p>
      <w:pPr>
        <w:spacing w:after="120"/>
      </w:pPr>
      <w:r>
        <w:rPr>
          <w:i/>
          <w:iCs/>
          <w:color w:val="5B6573"/>
          <w:sz w:val="18"/>
          <w:szCs w:val="18"/>
        </w:rPr>
        <w:t xml:space="preserve">Prepared from searches of 27 October 2026. Card codes: O = Oxford, C = Caltech, M = MIT, E = ETH Zürich; [B…] are references of Part I and section 9, and [OR1]–[ER2] are reserve papers cited as further reading. The code of MOTI-GO is in the repository folder experiments/moti_go; it imports VENDIMI-GO (experiments/vendimi_go) and the calibrated chloride ensemble of PUSI-GO (experiments/pusi_go).</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Deciding decisively in every weather · Oxford, Caltech, MIT, ETH Zürich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0"/>
        <w:szCs w:val="20"/>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envcvexvs-lyx886e0vet" Type="http://schemas.openxmlformats.org/officeDocument/2006/relationships/hyperlink" Target="https://doi.org/10.1257/aer.20230751" TargetMode="External"/><Relationship Id="rIdxori4xo071flqqy3mh__2" Type="http://schemas.openxmlformats.org/officeDocument/2006/relationships/hyperlink" Target="https://doi.org/10.1073/pnas.2002232118" TargetMode="External"/><Relationship Id="rIdoeirdhboeel31kznsy_cs" Type="http://schemas.openxmlformats.org/officeDocument/2006/relationships/hyperlink" Target="https://doi.org/10.1038/s41467-023-39825-3" TargetMode="External"/><Relationship Id="rId1brdymremsvfzcjngshcn" Type="http://schemas.openxmlformats.org/officeDocument/2006/relationships/hyperlink" Target="https://doi.org/10.1098/rsta.2021.0292" TargetMode="External"/><Relationship Id="rIdojfccq_pltdukopxcbeuc" Type="http://schemas.openxmlformats.org/officeDocument/2006/relationships/hyperlink" Target="https://doi.org/10.1038/s41586-023-06952-2" TargetMode="External"/><Relationship Id="rId6smdvxtrofo0k6xwymfv3" Type="http://schemas.openxmlformats.org/officeDocument/2006/relationships/hyperlink" Target="https://doi.org/10.1257/aer.20221535" TargetMode="External"/><Relationship Id="rIddhdg6aylxfqnogwsgrx5d" Type="http://schemas.openxmlformats.org/officeDocument/2006/relationships/hyperlink" Target="https://doi.org/10.1093/qje/qjac025" TargetMode="External"/><Relationship Id="rIdci-tiavi9yzi7pxtqewu7" Type="http://schemas.openxmlformats.org/officeDocument/2006/relationships/hyperlink" Target="https://doi.org/10.1093/restud/rdae093" TargetMode="External"/><Relationship Id="rIdxarwbubkwmonugxlqq8jm" Type="http://schemas.openxmlformats.org/officeDocument/2006/relationships/hyperlink" Target="https://doi.org/10.1037/emo0001088" TargetMode="External"/><Relationship Id="rIdmezbwzusmq9kbobgw5jth" Type="http://schemas.openxmlformats.org/officeDocument/2006/relationships/hyperlink" Target="https://doi.org/10.1038/s41467-022-35582-x" TargetMode="External"/><Relationship Id="rId-kzlns0ynyzvw5dcxn2am" Type="http://schemas.openxmlformats.org/officeDocument/2006/relationships/hyperlink" Target="https://doi.org/10.1093/restud/rdab082" TargetMode="External"/><Relationship Id="rIdzhcw9fg6qdmzuba11tfxl" Type="http://schemas.openxmlformats.org/officeDocument/2006/relationships/hyperlink" Target="https://doi.org/10.1093/qje/qjae038" TargetMode="External"/><Relationship Id="rIdssakva-ugzi7q9dhk4ait" Type="http://schemas.openxmlformats.org/officeDocument/2006/relationships/hyperlink" Target="https://doi.org/10.1126/science.adq1814" TargetMode="External"/><Relationship Id="rIddgkbd73wter8d6ju2mpnq" Type="http://schemas.openxmlformats.org/officeDocument/2006/relationships/hyperlink" Target="https://doi.org/10.1257/aeri.20200590" TargetMode="External"/><Relationship Id="rIdsmzkutvsvzx86djdjwdqy" Type="http://schemas.openxmlformats.org/officeDocument/2006/relationships/hyperlink" Target="https://doi.org/10.1016/j.oneear.2025.101422" TargetMode="External"/><Relationship Id="rIduq5vsr22ewqhbd8qb1fdz" Type="http://schemas.openxmlformats.org/officeDocument/2006/relationships/hyperlink" Target="https://doi.org/10.1038/s41558-021-01092-9" TargetMode="External"/><Relationship Id="rIdmvoat0xu36wmwdmsd_5_m" Type="http://schemas.openxmlformats.org/officeDocument/2006/relationships/hyperlink" Target="https://doi.org/10.1109/TAC.2022.3175628" TargetMode="External"/><Relationship Id="rIdotf02jzas-zi_0cglrbxo" Type="http://schemas.openxmlformats.org/officeDocument/2006/relationships/hyperlink" Target="https://doi.org/10.1038/s41562-023-01643-4" TargetMode="External"/><Relationship Id="rIdqezpyvyqjfn12deol_c8y" Type="http://schemas.openxmlformats.org/officeDocument/2006/relationships/hyperlink" Target="https://doi.org/10.1038/s41558-025-02372-4" TargetMode="External"/><Relationship Id="rIdhcfd7b-km1dpniaa9xtgc" Type="http://schemas.openxmlformats.org/officeDocument/2006/relationships/hyperlink" Target="https://doi.org/10.1038/s41467-023-36539-4" TargetMode="External"/><Relationship Id="rIddenfau-njatlytt7p1et-" Type="http://schemas.openxmlformats.org/officeDocument/2006/relationships/hyperlink" Target="https://doi.org/10.1007/978-1-4471-3675-0" TargetMode="External"/><Relationship Id="rIdkzyirifap7zd40xudhswj" Type="http://schemas.openxmlformats.org/officeDocument/2006/relationships/hyperlink" Target="https://doi.org/10.1007/s10584-018-2317-9" TargetMode="External"/><Relationship Id="rIdci1j0w3qh5oedko_oau5v" Type="http://schemas.openxmlformats.org/officeDocument/2006/relationships/hyperlink" Target="https://doi.org/10.1038/s41558-018-0156-3" TargetMode="External"/><Relationship Id="rIdf-dt96ll7kk9eswqlw80h" Type="http://schemas.openxmlformats.org/officeDocument/2006/relationships/hyperlink" Target="https://doi.org/10.5194/nhess-15-895-2015" TargetMode="External"/><Relationship Id="rIdqun8mmf3_3fwc4a0e1zr0" Type="http://schemas.openxmlformats.org/officeDocument/2006/relationships/hyperlink" Target="https://doi.org/10.2307/1884852" TargetMode="External"/><Relationship Id="rIdyxyja3syj9e7qkxn3qsqm" Type="http://schemas.openxmlformats.org/officeDocument/2006/relationships/hyperlink" Target="https://doi.org/10.1016/S0304-3932(03)00029-1" TargetMode="External"/><Relationship Id="rIdta_cxgtefoegeiztlwe-i" Type="http://schemas.openxmlformats.org/officeDocument/2006/relationships/hyperlink" Target="https://doi.org/10.1257/aer.20130047" TargetMode="External"/><Relationship Id="rId16uwng2c_bo-9oynss585" Type="http://schemas.openxmlformats.org/officeDocument/2006/relationships/hyperlink" Target="https://doi.org/10.1017/CBO9781139062367" TargetMode="External"/><Relationship Id="rIdbpe6pz7hysbxruzgckosp" Type="http://schemas.openxmlformats.org/officeDocument/2006/relationships/hyperlink" Target="https://doi.org/10.2307/1914185" TargetMode="External"/><Relationship Id="rIdycftikc3dgcqumzo3h51p" Type="http://schemas.openxmlformats.org/officeDocument/2006/relationships/hyperlink" Target="https://doi.org/10.1007/BF00122574" TargetMode="External"/><Relationship Id="rId2wdeber3xki2uaw8jcyku" Type="http://schemas.openxmlformats.org/officeDocument/2006/relationships/hyperlink" Target="https://doi.org/10.2307/2998573" TargetMode="External"/><Relationship Id="rIdembkzvb0ddoodq6pz1yta" Type="http://schemas.openxmlformats.org/officeDocument/2006/relationships/hyperlink" Target="https://doi.org/10.1037/0033-2909.127.2.267" TargetMode="External"/><Relationship Id="rIdtmewxwouvrdrgw8mkrv-b" Type="http://schemas.openxmlformats.org/officeDocument/2006/relationships/hyperlink" Target="https://doi.org/10.1126/science.3563507" TargetMode="External"/><Relationship Id="rIdcfjzfubdlluqdcprdyeh9" Type="http://schemas.openxmlformats.org/officeDocument/2006/relationships/hyperlink" Target="https://doi.org/10.1093/qje/qjq004" TargetMode="External"/><Relationship Id="rIdxqzjk0uarcqs4nq805wmi" Type="http://schemas.openxmlformats.org/officeDocument/2006/relationships/hyperlink" Target="https://doi.org/10.1086/260580" TargetMode="External"/><Relationship Id="rId8kpzjqitubu3zemhnvtzr" Type="http://schemas.openxmlformats.org/officeDocument/2006/relationships/hyperlink" Target="https://doi.org/10.2307/2295722" TargetMode="External"/><Relationship Id="rIdfu5gkhbbjyle2ilgkd_4z" Type="http://schemas.openxmlformats.org/officeDocument/2006/relationships/hyperlink" Target="https://doi.org/10.2307/2951491" TargetMode="External"/><Relationship Id="rIdi0at63t61brbb38jfr_au" Type="http://schemas.openxmlformats.org/officeDocument/2006/relationships/hyperlink" Target="https://doi.org/10.1017/CBO9780511807763" TargetMode="External"/><Relationship Id="rIdmkigch3lusfjku5tjejhn" Type="http://schemas.openxmlformats.org/officeDocument/2006/relationships/hyperlink" Target="https://doi.org/10.1257/aer.20230751" TargetMode="External"/><Relationship Id="rIdypfn6zvliwvsajk-77gyu" Type="http://schemas.openxmlformats.org/officeDocument/2006/relationships/hyperlink" Target="https://doi.org/10.1073/pnas.2002232118" TargetMode="External"/><Relationship Id="rId7rbhoogtiue5j_zqtgiyr" Type="http://schemas.openxmlformats.org/officeDocument/2006/relationships/hyperlink" Target="https://doi.org/10.1038/s41467-023-39825-3" TargetMode="External"/><Relationship Id="rId4wydxsitqsyikkytcp-ql" Type="http://schemas.openxmlformats.org/officeDocument/2006/relationships/hyperlink" Target="https://doi.org/10.1098/rsta.2021.0292" TargetMode="External"/><Relationship Id="rIdoeoq6e5nckfb0wjenz0oh" Type="http://schemas.openxmlformats.org/officeDocument/2006/relationships/hyperlink" Target="https://doi.org/10.1038/s41586-023-06952-2" TargetMode="External"/><Relationship Id="rIdkvf16-9r4jwya00l1dxjj" Type="http://schemas.openxmlformats.org/officeDocument/2006/relationships/hyperlink" Target="https://doi.org/10.1257/aer.20221535" TargetMode="External"/><Relationship Id="rId30nmjmmz7nrbrhksczuxe" Type="http://schemas.openxmlformats.org/officeDocument/2006/relationships/hyperlink" Target="https://doi.org/10.1093/qje/qjac025" TargetMode="External"/><Relationship Id="rIdhgq9lolq2ocudqjph3slc" Type="http://schemas.openxmlformats.org/officeDocument/2006/relationships/hyperlink" Target="https://doi.org/10.1093/restud/rdae093" TargetMode="External"/><Relationship Id="rIddwr2mmoi1f9cvphrg-kxk" Type="http://schemas.openxmlformats.org/officeDocument/2006/relationships/hyperlink" Target="https://doi.org/10.1037/emo0001088" TargetMode="External"/><Relationship Id="rId3q-t9sxpi3zxqenmv_5iz" Type="http://schemas.openxmlformats.org/officeDocument/2006/relationships/hyperlink" Target="https://doi.org/10.1038/s41467-022-35582-x" TargetMode="External"/><Relationship Id="rId6d74eczhml9u6q-oblmdy" Type="http://schemas.openxmlformats.org/officeDocument/2006/relationships/hyperlink" Target="https://doi.org/10.1093/restud/rdab082" TargetMode="External"/><Relationship Id="rIdlbcz5olhk7or2ep--hexk" Type="http://schemas.openxmlformats.org/officeDocument/2006/relationships/hyperlink" Target="https://doi.org/10.1093/qje/qjae038" TargetMode="External"/><Relationship Id="rIdii6zez3zl6c13wriqkmje" Type="http://schemas.openxmlformats.org/officeDocument/2006/relationships/hyperlink" Target="https://doi.org/10.1126/science.adq1814" TargetMode="External"/><Relationship Id="rIdl0ex179c4ehwgwqusdsdu" Type="http://schemas.openxmlformats.org/officeDocument/2006/relationships/hyperlink" Target="https://doi.org/10.1257/aeri.20200590" TargetMode="External"/><Relationship Id="rIdmhoyf8wurawfmcy0ezw5w" Type="http://schemas.openxmlformats.org/officeDocument/2006/relationships/hyperlink" Target="https://doi.org/10.1016/j.oneear.2025.101422" TargetMode="External"/><Relationship Id="rIde2unbiktdxynf0p0f8dgy" Type="http://schemas.openxmlformats.org/officeDocument/2006/relationships/hyperlink" Target="https://doi.org/10.1038/s41558-021-01092-9" TargetMode="External"/><Relationship Id="rIdz7j9svo7g4nbdx8zbcldd" Type="http://schemas.openxmlformats.org/officeDocument/2006/relationships/hyperlink" Target="https://doi.org/10.1109/TAC.2022.3175628" TargetMode="External"/><Relationship Id="rIdvjnz9f0isismsmacxlpep" Type="http://schemas.openxmlformats.org/officeDocument/2006/relationships/hyperlink" Target="https://doi.org/10.1038/s41562-023-01643-4" TargetMode="External"/><Relationship Id="rIdxlfbfg3t_ikfdu0ujmuxv" Type="http://schemas.openxmlformats.org/officeDocument/2006/relationships/hyperlink" Target="https://doi.org/10.1038/s41558-025-02372-4" TargetMode="External"/><Relationship Id="rIdi_gaayxw-4p5ma42fhgjh" Type="http://schemas.openxmlformats.org/officeDocument/2006/relationships/hyperlink" Target="https://doi.org/10.1038/s41467-023-36539-4" TargetMode="External"/><Relationship Id="rIdycd2taqgbonbgt14tzsis" Type="http://schemas.openxmlformats.org/officeDocument/2006/relationships/hyperlink" Target="https://doi.org/10.1016/S2468-2667(21)00096-7" TargetMode="External"/><Relationship Id="rIdqsvvziipgtc44xurigi-e" Type="http://schemas.openxmlformats.org/officeDocument/2006/relationships/hyperlink" Target="https://doi.org/10.1073/pnas.2026382118" TargetMode="External"/><Relationship Id="rId95ngr80bux_oilzycv1yq" Type="http://schemas.openxmlformats.org/officeDocument/2006/relationships/hyperlink" Target="https://doi.org/10.1016/j.neuron.2020.02.028" TargetMode="External"/><Relationship Id="rIdbrbix43lpdbtpzddzq1p1" Type="http://schemas.openxmlformats.org/officeDocument/2006/relationships/hyperlink" Target="https://doi.org/10.1257/aer.20201550" TargetMode="External"/><Relationship Id="rIdlpkhnii8dlliitqimxr0g" Type="http://schemas.openxmlformats.org/officeDocument/2006/relationships/hyperlink" Target="https://doi.org/10.1093/restud/rdad111" TargetMode="External"/><Relationship Id="rIdwnkuyh6tlrpuu_htijvyk" Type="http://schemas.openxmlformats.org/officeDocument/2006/relationships/hyperlink" Target="https://doi.org/10.1093/qje/qjaa034" TargetMode="External"/><Relationship Id="rIdvzff0po8gjyuedktz8qz0" Type="http://schemas.openxmlformats.org/officeDocument/2006/relationships/hyperlink" Target="https://doi.org/10.1038/s41467-023-40112-4" TargetMode="External"/><Relationship Id="rIdl5jamxwp9oq4vjrg3n4bz" Type="http://schemas.openxmlformats.org/officeDocument/2006/relationships/hyperlink" Target="https://doi.org/10.1073/pnas.2100411118" TargetMode="External"/><Relationship Id="rId11" Type="http://schemas.openxmlformats.org/officeDocument/2006/relationships/image" Target="media/7c8984f9f5796cddeefa6a665b08330609b71240.png"/><Relationship Id="rId7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Deciding decisively in every weather: twenty papers from Oxford, Caltech, MIT and ETH Zürich on extremes and human factors</dc:title>
  <dc:subject>Literature review: decisions under weather and climate extremes, objective and subjective human factors in decisions, decisive collective action in crises, 2020–2026</dc:subject>
  <dc:creator>D. Zeqiraj</dc:creator>
  <dc:description>Decisions from normal years to droughts and heatwaves, objective and subjective human factors, and decisive collective action in crises (2020–2026), none used in reviews 57 and 58. With a theoretical introduction and MOTI-GO (moti: the weather), a tested contingency rule that lets the Fushë-Kuqe stakeholders agree in calm times on one decisive plan for every weather, with margins for human error and objective triggers</dc:description>
  <cp:lastModifiedBy>D. Zeqiraj</cp:lastModifiedBy>
  <cp:revision>1</cp:revision>
  <dcterms:created xsi:type="dcterms:W3CDTF">2026-10-27T08:23:23.348Z</dcterms:created>
  <dcterms:modified xsi:type="dcterms:W3CDTF">2026-10-27T08:23:23.349Z</dcterms:modified>
</cp:coreProperties>
</file>

<file path=docProps/custom.xml><?xml version="1.0" encoding="utf-8"?>
<Properties xmlns="http://schemas.openxmlformats.org/officeDocument/2006/custom-properties" xmlns:vt="http://schemas.openxmlformats.org/officeDocument/2006/docPropsVTypes"/>
</file>