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3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Is merging worth it? Valuing, privately, the well records of other institutions for the effect of pumping on chloride: new work from Oxford, Caltech, MIT, Princeton and Harvard</w:t>
      </w:r>
    </w:p>
    <w:p>
      <w:pPr>
        <w:spacing w:after="360"/>
      </w:pPr>
      <w:r>
        <w:rPr>
          <w:color w:val="3A4350"/>
          <w:sz w:val="26"/>
          <w:szCs w:val="26"/>
        </w:rPr>
        <w:t xml:space="preserve">Twenty papers of 2020–2026 around the Oxford paper "Is merging worth it?" (Fawkes, Ter-Minassian, Ivanova, Shalit &amp; Holmes, AISTATS 2025): the value of information for acquiring causal data (5), merging datasets for causal inference (5), privacy for statistical and causal inference (5) and data valuation and acquisition (5), each with a key equation, why it is among the best and the question it leaves open; a theoretical introduction; and a numerically tested innovation, BASHKIMI-GO (</w:t>
      </w:r>
      <w:r>
        <w:rPr>
          <w:i/>
          <w:iCs/>
          <w:color w:val="3A4350"/>
          <w:sz w:val="26"/>
          <w:szCs w:val="26"/>
        </w:rPr>
        <w:t xml:space="preserve">bashkimi</w:t>
      </w:r>
      <w:r>
        <w:rPr>
          <w:color w:val="3A4350"/>
          <w:sz w:val="26"/>
          <w:szCs w:val="26"/>
        </w:rPr>
        <w:t xml:space="preserve">: the merger), which tells the Fushë-Kuqe water utility, before any record is shared, which institution's well records to merge first and whether the merge is worth its cost, computed on secret shares and with differential privacy</w:t>
      </w:r>
    </w:p>
    <w:p>
      <w:pPr>
        <w:spacing w:after="360"/>
      </w:pPr>
      <w:r>
        <w:rPr>
          <w:b/>
          <w:bCs/>
          <w:color w:val="1E3A8A"/>
          <w:sz w:val="24"/>
          <w:szCs w:val="24"/>
        </w:rPr>
        <w:t xml:space="preserve">Value of information</w:t>
      </w:r>
      <w:r>
        <w:rPr>
          <w:color w:val="5B6573"/>
          <w:sz w:val="22"/>
          <w:szCs w:val="22"/>
        </w:rPr>
        <w:t xml:space="preserve">   ·   </w:t>
      </w:r>
      <w:r>
        <w:rPr>
          <w:b/>
          <w:bCs/>
          <w:color w:val="0F766E"/>
          <w:sz w:val="24"/>
          <w:szCs w:val="24"/>
        </w:rPr>
        <w:t xml:space="preserve">Merging for causal inference</w:t>
      </w:r>
      <w:r>
        <w:rPr>
          <w:color w:val="5B6573"/>
          <w:sz w:val="22"/>
          <w:szCs w:val="22"/>
        </w:rPr>
        <w:t xml:space="preserve">   ·   </w:t>
      </w:r>
      <w:r>
        <w:rPr>
          <w:b/>
          <w:bCs/>
          <w:color w:val="9A3412"/>
          <w:sz w:val="24"/>
          <w:szCs w:val="24"/>
        </w:rPr>
        <w:t xml:space="preserve">Privacy</w:t>
      </w:r>
      <w:r>
        <w:rPr>
          <w:color w:val="5B6573"/>
          <w:sz w:val="22"/>
          <w:szCs w:val="22"/>
        </w:rPr>
        <w:t xml:space="preserve">   ·   </w:t>
      </w:r>
      <w:r>
        <w:rPr>
          <w:b/>
          <w:bCs/>
          <w:color w:val="5B21B6"/>
          <w:sz w:val="24"/>
          <w:szCs w:val="24"/>
        </w:rPr>
        <w:t xml:space="preserve">Data valuation</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seven short themes (the value of a merge as expected information gain; overlap and why merging helps causal estimation; information or decision; merging without pooling; differential privacy and secure computation; data valuation and markets; what is open), read on the well records of Fushë-Kuqe. </w:t>
      </w:r>
      <w:r>
        <w:rPr>
          <w:b/>
          <w:bCs/>
        </w:rPr>
        <w:t xml:space="preserve">Part II:</w:t>
      </w:r>
      <w:r>
        <w:t xml:space="preserve"> 20 papers of 2020–2026 from Oxford, Caltech, MIT, Princeton and Harvard, five per theme: value of information for acquiring causal data (V1–V5), merging datasets for causal inference (F1–F5), privacy for statistical and causal inference (P1–P5) and data valuation and acquisition (D1–D5), each with a key equation in OMML, a box on </w:t>
      </w:r>
      <w:r>
        <w:rPr>
          <w:b/>
          <w:bCs/>
        </w:rPr>
        <w:t xml:space="preserve">why it is among the best</w:t>
      </w:r>
      <w:r>
        <w:t xml:space="preserve">, the </w:t>
      </w:r>
      <w:r>
        <w:rPr>
          <w:b/>
          <w:bCs/>
        </w:rPr>
        <w:t xml:space="preserve">open problem</w:t>
      </w:r>
      <w:r>
        <w:t xml:space="preserve"> it leaves and an innovation. </w:t>
      </w:r>
      <w:r>
        <w:rPr>
          <w:b/>
          <w:bCs/>
        </w:rPr>
        <w:t xml:space="preserve">Part III:</w:t>
      </w:r>
      <w:r>
        <w:t xml:space="preserve"> synthesis, a map of opportunities, further reading, and the BASHKIMI-GO innovation: a physics-informed, outcome-free decision value of merging another institution's well records, with four propositions (the Gram matrix suffices; overlap is a Schur complement and merging is superadditive; the closed-form decision value; its differential privacy under information clipping), a two-party computation of it on secret shares, and a test on 200 plausible aquifers of the Fushë-Kuqe sector model.</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venue, DOI or official link, the Oxford, Caltech, MIT, Princeton or Harvard affiliation that was confirmed, topic and the rating of mathematical depth (★ 1–5).</w:t>
      </w:r>
    </w:p>
    <w:p>
      <w:pPr>
        <w:pStyle w:val="ListParagraph"/>
        <w:numPr>
          <w:ilvl w:val="0"/>
          <w:numId w:val="2"/>
        </w:numPr>
        <w:spacing w:after="60"/>
        <w:jc w:val="both"/>
      </w:pPr>
      <w:r>
        <w:rPr>
          <w:b/>
          <w:bCs/>
        </w:rPr>
        <w:t xml:space="preserve">Summary</w:t>
      </w:r>
      <w:r>
        <w:t xml:space="preserve"> of the problem, the method and the main theorems, and the </w:t>
      </w:r>
      <w:r>
        <w:rPr>
          <w:b/>
          <w:bCs/>
        </w:rPr>
        <w:t xml:space="preserve">key equation</w:t>
      </w:r>
      <w:r>
        <w:t xml:space="preserve"> as a Word equation (OMML); all are representative formulations unless the card says otherwise, since no full text was read.</w:t>
      </w:r>
    </w:p>
    <w:p>
      <w:pPr>
        <w:pStyle w:val="ListParagraph"/>
        <w:numPr>
          <w:ilvl w:val="0"/>
          <w:numId w:val="2"/>
        </w:numPr>
        <w:spacing w:after="60"/>
        <w:jc w:val="both"/>
      </w:pPr>
      <w:r>
        <w:rPr>
          <w:b/>
          <w:bCs/>
        </w:rPr>
        <w:t xml:space="preserve">Why it is among the best</w:t>
      </w:r>
      <w:r>
        <w:t xml:space="preserve">, the </w:t>
      </w:r>
      <w:r>
        <w:rPr>
          <w:b/>
          <w:bCs/>
        </w:rPr>
        <w:t xml:space="preserve">open problem</w:t>
      </w:r>
      <w:r>
        <w:t xml:space="preserve"> it leaves for merging well records, and a concrete </w:t>
      </w:r>
      <w:r>
        <w:rPr>
          <w:b/>
          <w:bCs/>
        </w:rPr>
        <w:t xml:space="preserve">innovation</w:t>
      </w:r>
      <w:r>
        <w:t xml:space="preserve"> for Fushë-Kuqe.</w:t>
      </w:r>
    </w:p>
    <w:p>
      <w:pPr>
        <w:spacing w:before="360"/>
      </w:pPr>
      <w:r>
        <w:rPr>
          <w:color w:val="5B6573"/>
          <w:sz w:val="20"/>
          <w:szCs w:val="20"/>
        </w:rPr>
        <w:t xml:space="preserve">Search date: 26 October 2026  ·  Period covered: 2020–2026</w:t>
      </w:r>
    </w:p>
    <w:p>
      <w:pPr>
        <w:pStyle w:val="Heading1"/>
        <w:pageBreakBefore/>
      </w:pPr>
      <w:r>
        <w:rPr>
          <w:color w:val="1F3864"/>
        </w:rPr>
        <w:t xml:space="preserve">1. Theoretical introduction: the value of a merge, overlap, decisions and privacy</w:t>
      </w:r>
    </w:p>
    <w:p>
      <w:pPr>
        <w:spacing w:after="120"/>
      </w:pPr>
      <w:r>
        <w:rPr>
          <w:i/>
          <w:iCs/>
          <w:color w:val="5B6573"/>
          <w:sz w:val="18"/>
          <w:szCs w:val="18"/>
        </w:rPr>
        <w:t xml:space="preserve">Theoretical introduction written for this document. Statements attributed to classical works [B…] are standard results; forms simplified for this document are marked as such.</w:t>
      </w:r>
    </w:p>
    <w:p>
      <w:pPr>
        <w:spacing w:after="120"/>
        <w:jc w:val="both"/>
      </w:pPr>
      <w:r>
        <w:rPr>
          <w:b/>
          <w:bCs/>
        </w:rPr>
        <w:t xml:space="preserve">The anchor paper and the question.</w:t>
      </w:r>
      <w:r>
        <w:t xml:space="preserve"> Fawkes, Ter-Minassian, Ivanova, Shalit and Holmes (Oxford, AISTATS 2025) [B1] ask whether a data holder can tell, </w:t>
      </w:r>
      <w:r>
        <w:rPr>
          <w:i/>
          <w:iCs/>
        </w:rPr>
        <w:t xml:space="preserve">before any record is shared</w:t>
      </w:r>
      <w:r>
        <w:t xml:space="preserve">, which other institution's dataset is worth merging with its own to estimate heterogeneous treatment effects. Their answer is Bayesian: score each candidate merge by the expected information gain (EIG) about the parameters that drive the conditional average treatment effect (CATE), compute it with secure multi-party computation (MPC) so that neither side reveals its records, and add differential privacy (DP) when the score itself must not leak. At Fushë-Kuqe the same question arises with well records. The effect of pumping on chloride at a well is a CATE: it depends on the distance to the sea and on the local transmissivity. The records are split between the water utility, a monitoring agency, private irrigators, coastal hotels and research campaigns, and some are legally sensitive (unregistered wells). Which merge should be negotiated first, and can that be decided without anybody showing their data? Part I sets out the theory the 20 papers of Part II build on.</w:t>
      </w:r>
    </w:p>
    <w:p>
      <w:pPr>
        <w:pStyle w:val="Heading3"/>
      </w:pPr>
      <w:r>
        <w:rPr>
          <w:color w:val="1F3864"/>
        </w:rPr>
        <w:t xml:space="preserve">1.1 The value of a merge as expected information gain</w:t>
      </w:r>
    </w:p>
    <w:p>
      <w:pPr>
        <w:spacing w:after="120"/>
        <w:jc w:val="both"/>
      </w:pPr>
      <w:r>
        <w:t xml:space="preserve">For a Bayesian model with parameters </w:t>
      </w:r>
      <m:oMath>
        <m:r>
          <m:t>θ</m:t>
        </m:r>
      </m:oMath>
      <w:r>
        <w:t xml:space="preserve"> and current data </w:t>
      </w:r>
      <m:oMath>
        <m:r>
          <m:rPr>
            <m:scr m:val="script"/>
            <m:sty m:val="p"/>
          </m:rPr>
          <m:t>D</m:t>
        </m:r>
      </m:oMath>
      <w:r>
        <w:t xml:space="preserve">, Lindley's expected information gain of new data </w:t>
      </w:r>
      <m:oMath>
        <m:r>
          <m:rPr>
            <m:scr m:val="script"/>
            <m:sty m:val="p"/>
          </m:rPr>
          <m:t>D</m:t>
        </m:r>
        <m:r>
          <m:rPr>
            <m:sty m:val="p"/>
          </m:rPr>
          <m:t>′</m:t>
        </m:r>
      </m:oMath>
      <w:r>
        <w:t xml:space="preserve"> is the expected Kullback–Leibler divergence from the current to the updated posterior [B2]. For a Gaussian linear model </w:t>
      </w:r>
      <m:oMath>
        <m:r>
          <m:t>y</m:t>
        </m:r>
        <m:r>
          <m:rPr>
            <m:sty m:val="p"/>
          </m:rPr>
          <m:t>=</m:t>
        </m:r>
        <m:r>
          <m:t>Φ</m:t>
        </m:r>
        <m:r>
          <m:t>θ</m:t>
        </m:r>
        <m:r>
          <m:rPr>
            <m:sty m:val="p"/>
          </m:rPr>
          <m:t>+</m:t>
        </m:r>
        <m:r>
          <m:t>e</m:t>
        </m:r>
      </m:oMath>
      <w:r>
        <w:t xml:space="preserve"> with known noise, and the candidate's design rows </w:t>
      </w:r>
      <m:oMath>
        <m:r>
          <m:t>Φ</m:t>
        </m:r>
        <m:r>
          <m:rPr>
            <m:sty m:val="p"/>
          </m:rPr>
          <m:t>′</m:t>
        </m:r>
      </m:oMath>
      <w:r>
        <w:t xml:space="preserve"> weighted by their noise standard deviations, it has a closed form [B1, B2]:</w:t>
      </w:r>
    </w:p>
    <w:p>
      <w:pPr>
        <w:pStyle w:val="Equation"/>
      </w:pPr>
      <m:oMathPara>
        <m:oMathParaPr>
          <m:jc m:val="center"/>
        </m:oMathParaPr>
        <m:oMath>
          <m:r>
            <m:rPr>
              <m:nor/>
            </m:rPr>
            <m:t>EIG</m:t>
          </m:r>
          <m:d>
            <m:dPr>
              <m:begChr m:val="("/>
              <m:sepChr m:val=""/>
              <m:endChr m:val=")"/>
              <m:grow/>
            </m:dPr>
            <m:e>
              <m:r>
                <m:rPr>
                  <m:scr m:val="script"/>
                  <m:sty m:val="p"/>
                </m:rPr>
                <m:t>D</m:t>
              </m:r>
              <m:r>
                <m:rPr>
                  <m:sty m:val="p"/>
                </m:rPr>
                <m:t>′</m:t>
              </m:r>
            </m:e>
          </m:d>
          <m:r>
            <m:rPr>
              <m:sty m:val="p"/>
            </m:rPr>
            <m:t>=</m:t>
          </m:r>
          <m:sSub>
            <m:e>
              <m:r>
                <m:rPr>
                  <m:scr m:val="double-struck"/>
                  <m:sty m:val="p"/>
                </m:rPr>
                <m:t>E</m:t>
              </m:r>
            </m:e>
            <m:sub>
              <m:r>
                <m:t>y</m:t>
              </m:r>
              <m:r>
                <m:rPr>
                  <m:sty m:val="p"/>
                </m:rPr>
                <m:t>′</m:t>
              </m:r>
            </m:sub>
          </m:sSub>
          <m:d>
            <m:dPr>
              <m:begChr m:val="["/>
              <m:sepChr m:val=""/>
              <m:endChr m:val="]"/>
              <m:grow/>
            </m:dPr>
            <m:e>
              <m:r>
                <m:rPr>
                  <m:nor/>
                </m:rPr>
                <m:t>KL</m:t>
              </m:r>
              <m:d>
                <m:dPr>
                  <m:begChr m:val="("/>
                  <m:sepChr m:val=""/>
                  <m:endChr m:val=")"/>
                  <m:grow/>
                </m:dPr>
                <m:e>
                  <m:r>
                    <m:t>p</m:t>
                  </m:r>
                  <m:d>
                    <m:dPr>
                      <m:begChr m:val="("/>
                      <m:sepChr m:val=""/>
                      <m:endChr m:val=")"/>
                      <m:grow/>
                    </m:dPr>
                    <m:e>
                      <m:r>
                        <m:t>θ</m:t>
                      </m:r>
                      <m:r>
                        <m:rPr>
                          <m:sty m:val="p"/>
                        </m:rPr>
                        <m:t>∣</m:t>
                      </m:r>
                      <m:r>
                        <m:rPr>
                          <m:scr m:val="script"/>
                          <m:sty m:val="p"/>
                        </m:rPr>
                        <m:t>D</m:t>
                      </m:r>
                      <m:r>
                        <m:rPr>
                          <m:sty m:val="p"/>
                        </m:rPr>
                        <m:t>∪</m:t>
                      </m:r>
                      <m:r>
                        <m:rPr>
                          <m:scr m:val="script"/>
                          <m:sty m:val="p"/>
                        </m:rPr>
                        <m:t>D</m:t>
                      </m:r>
                      <m:r>
                        <m:rPr>
                          <m:sty m:val="p"/>
                        </m:rPr>
                        <m:t>′</m:t>
                      </m:r>
                    </m:e>
                  </m:d>
                  <m:r>
                    <m:t> </m:t>
                  </m:r>
                  <m:r>
                    <m:rPr>
                      <m:sty m:val="p"/>
                    </m:rPr>
                    <m:t>∥</m:t>
                  </m:r>
                  <m:r>
                    <m:t> </m:t>
                  </m:r>
                  <m:r>
                    <m:t>p</m:t>
                  </m:r>
                  <m:d>
                    <m:dPr>
                      <m:begChr m:val="("/>
                      <m:sepChr m:val=""/>
                      <m:endChr m:val=")"/>
                      <m:grow/>
                    </m:dPr>
                    <m:e>
                      <m:r>
                        <m:t>θ</m:t>
                      </m:r>
                      <m:r>
                        <m:rPr>
                          <m:sty m:val="p"/>
                        </m:rPr>
                        <m:t>∣</m:t>
                      </m:r>
                      <m:r>
                        <m:rPr>
                          <m:scr m:val="script"/>
                          <m:sty m:val="p"/>
                        </m:rPr>
                        <m:t>D</m:t>
                      </m:r>
                    </m:e>
                  </m:d>
                </m:e>
              </m:d>
            </m:e>
          </m:d>
          <m:r>
            <m:rPr>
              <m:sty m:val="p"/>
            </m:rPr>
            <m:t>=</m:t>
          </m:r>
          <m:f>
            <m:fPr>
              <m:type m:val="bar"/>
            </m:fPr>
            <m:num>
              <m:r>
                <m:t>1</m:t>
              </m:r>
            </m:num>
            <m:den>
              <m:r>
                <m:t>2</m:t>
              </m:r>
            </m:den>
          </m:f>
          <m:r>
            <m:rPr>
              <m:sty m:val="p"/>
            </m:rPr>
            <m:t>log</m:t>
          </m:r>
          <m:r>
            <m:rPr>
              <m:sty m:val="p"/>
            </m:rPr>
            <m:t>det</m:t>
          </m:r>
          <m:d>
            <m:dPr>
              <m:begChr m:val="("/>
              <m:sepChr m:val=""/>
              <m:endChr m:val=")"/>
              <m:grow/>
            </m:dPr>
            <m:e>
              <m:r>
                <m:t>I</m:t>
              </m:r>
              <m:r>
                <m:rPr>
                  <m:sty m:val="p"/>
                </m:rPr>
                <m:t>+</m:t>
              </m:r>
              <m:sSup>
                <m:e>
                  <m:r>
                    <m:t>L</m:t>
                  </m:r>
                </m:e>
                <m:sup>
                  <m:r>
                    <m:rPr>
                      <m:sty m:val="p"/>
                    </m:rPr>
                    <m:t>⊤</m:t>
                  </m:r>
                </m:sup>
              </m:sSup>
              <m:r>
                <m:t>G</m:t>
              </m:r>
              <m:r>
                <m:rPr>
                  <m:sty m:val="p"/>
                </m:rPr>
                <m:t>′</m:t>
              </m:r>
              <m:r>
                <m:t>L</m:t>
              </m:r>
            </m:e>
          </m:d>
          <m:r>
            <m:rPr>
              <m:sty m:val="p"/>
            </m:rPr>
            <m:t>,</m:t>
          </m:r>
          <m:r>
            <m:t>  </m:t>
          </m:r>
          <m:r>
            <m:t>G</m:t>
          </m:r>
          <m:r>
            <m:rPr>
              <m:sty m:val="p"/>
            </m:rPr>
            <m:t>′</m:t>
          </m:r>
          <m:r>
            <m:rPr>
              <m:sty m:val="p"/>
            </m:rPr>
            <m:t>=</m:t>
          </m:r>
          <m:r>
            <m:t>Φ</m:t>
          </m:r>
          <m:sSup>
            <m:e>
              <m:r>
                <m:rPr>
                  <m:sty m:val="p"/>
                </m:rPr>
                <m:t>′</m:t>
              </m:r>
            </m:e>
            <m:sup>
              <m:r>
                <m:rPr>
                  <m:sty m:val="p"/>
                </m:rPr>
                <m:t>⊤</m:t>
              </m:r>
            </m:sup>
          </m:sSup>
          <m:r>
            <m:t>W</m:t>
          </m:r>
          <m:r>
            <m:rPr>
              <m:sty m:val="p"/>
            </m:rPr>
            <m:t>′</m:t>
          </m:r>
          <m:r>
            <m:t>Φ</m:t>
          </m:r>
          <m:r>
            <m:rPr>
              <m:sty m:val="p"/>
            </m:rPr>
            <m:t>′</m:t>
          </m:r>
        </m:oMath>
      </m:oMathPara>
    </w:p>
    <w:p>
      <w:pPr>
        <w:spacing w:after="120"/>
        <w:jc w:val="both"/>
      </w:pPr>
      <w:r>
        <w:t xml:space="preserve">with </w:t>
      </w:r>
      <m:oMath>
        <m:r>
          <m:t>L</m:t>
        </m:r>
        <m:sSup>
          <m:e>
            <m:r>
              <m:t>L</m:t>
            </m:r>
          </m:e>
          <m:sup>
            <m:r>
              <m:rPr>
                <m:sty m:val="p"/>
              </m:rPr>
              <m:t>⊤</m:t>
            </m:r>
          </m:sup>
        </m:sSup>
      </m:oMath>
      <w:r>
        <w:t xml:space="preserve"> the current posterior covariance and </w:t>
      </w:r>
      <m:oMath>
        <m:r>
          <m:t>W</m:t>
        </m:r>
        <m:r>
          <m:rPr>
            <m:sty m:val="p"/>
          </m:rPr>
          <m:t>′</m:t>
        </m:r>
      </m:oMath>
      <w:r>
        <w:t xml:space="preserve"> the inverse noise variances. Two facts matter for private merging. The score does not depend on the candidate's outcomes </w:t>
      </w:r>
      <m:oMath>
        <m:r>
          <m:t>y</m:t>
        </m:r>
        <m:r>
          <m:rPr>
            <m:sty m:val="p"/>
          </m:rPr>
          <m:t>′</m:t>
        </m:r>
      </m:oMath>
      <w:r>
        <w:t xml:space="preserve">, only on its covariates and treatments through the Gram matrix </w:t>
      </w:r>
      <m:oMath>
        <m:r>
          <m:t>G</m:t>
        </m:r>
        <m:r>
          <m:rPr>
            <m:sty m:val="p"/>
          </m:rPr>
          <m:t>′</m:t>
        </m:r>
      </m:oMath>
      <w:r>
        <w:t xml:space="preserve">; and it can be restricted to the CATE parameters, or to the CATE at chosen points, by using the corresponding marginal covariances. The anchor paper derives such closed forms for Bayesian polynomial regression and causal multitask Gaussian processes, and a Monte Carlo estimator for Bayesian causal forests [B1]. In Part II, estimators of entropy and information for general probabilistic programs [V2], active learning when the pool from which labels are bought differs from the target population [V3], and the decision-theoretic acquisition behind qEUBO [V1] extend the computation of such values beyond the Gaussian case.</w:t>
      </w:r>
    </w:p>
    <w:p>
      <w:pPr>
        <w:pStyle w:val="Heading3"/>
      </w:pPr>
      <w:r>
        <w:rPr>
          <w:color w:val="1F3864"/>
        </w:rPr>
        <w:t xml:space="preserve">1.2 Overlap: why merging helps causal estimation</w:t>
      </w:r>
    </w:p>
    <w:p>
      <w:pPr>
        <w:spacing w:after="120"/>
        <w:jc w:val="both"/>
      </w:pPr>
      <w:r>
        <w:t xml:space="preserve">A CATE is identified only where both treatment groups are observed (positivity) [B10]. In a linear model </w:t>
      </w:r>
      <m:oMath>
        <m:r>
          <m:t>y</m:t>
        </m:r>
        <m:r>
          <m:rPr>
            <m:sty m:val="p"/>
          </m:rPr>
          <m:t>=</m:t>
        </m:r>
        <m:sSub>
          <m:e>
            <m:r>
              <m:t>ψ</m:t>
            </m:r>
          </m:e>
          <m:sub>
            <m:r>
              <m:t>b</m:t>
            </m:r>
          </m:sub>
        </m:sSub>
        <m:sSup>
          <m:e>
            <m:d>
              <m:dPr>
                <m:begChr m:val="("/>
                <m:sepChr m:val=""/>
                <m:endChr m:val=")"/>
                <m:grow/>
              </m:dPr>
              <m:e>
                <m:r>
                  <m:t>x</m:t>
                </m:r>
              </m:e>
            </m:d>
          </m:e>
          <m:sup>
            <m:r>
              <m:rPr>
                <m:sty m:val="p"/>
              </m:rPr>
              <m:t>⊤</m:t>
            </m:r>
          </m:sup>
        </m:sSup>
        <m:r>
          <m:t>β</m:t>
        </m:r>
        <m:r>
          <m:rPr>
            <m:sty m:val="p"/>
          </m:rPr>
          <m:t>+</m:t>
        </m:r>
        <m:r>
          <m:t>a</m:t>
        </m:r>
        <m:r>
          <m:t> </m:t>
        </m:r>
        <m:sSub>
          <m:e>
            <m:r>
              <m:t>ψ</m:t>
            </m:r>
          </m:e>
          <m:sub>
            <m:r>
              <m:t>t</m:t>
            </m:r>
          </m:sub>
        </m:sSub>
        <m:sSup>
          <m:e>
            <m:d>
              <m:dPr>
                <m:begChr m:val="("/>
                <m:sepChr m:val=""/>
                <m:endChr m:val=")"/>
                <m:grow/>
              </m:dPr>
              <m:e>
                <m:r>
                  <m:t>x</m:t>
                </m:r>
              </m:e>
            </m:d>
          </m:e>
          <m:sup>
            <m:r>
              <m:rPr>
                <m:sty m:val="p"/>
              </m:rPr>
              <m:t>⊤</m:t>
            </m:r>
          </m:sup>
        </m:sSup>
        <m:r>
          <m:t>γ</m:t>
        </m:r>
        <m:r>
          <m:rPr>
            <m:sty m:val="p"/>
          </m:rPr>
          <m:t>+</m:t>
        </m:r>
        <m:r>
          <m:t>e</m:t>
        </m:r>
      </m:oMath>
      <w:r>
        <w:t xml:space="preserve"> with a flat prior on the baseline </w:t>
      </w:r>
      <m:oMath>
        <m:r>
          <m:t>β</m:t>
        </m:r>
      </m:oMath>
      <w:r>
        <w:t xml:space="preserve">, the information a dataset carries on the CATE coefficients </w:t>
      </w:r>
      <m:oMath>
        <m:r>
          <m:t>γ</m:t>
        </m:r>
      </m:oMath>
      <w:r>
        <w:t xml:space="preserve"> is the Schur complement of its Gram matrix, the information matrix of a parameter subsystem [B14]. When the baseline and CATE features coincide it is the parallel sum of the Gram matrices of the untreated and the treated records [B15]:</w:t>
      </w:r>
    </w:p>
    <w:p>
      <w:pPr>
        <w:pStyle w:val="Equation"/>
      </w:pPr>
      <m:oMathPara>
        <m:oMathParaPr>
          <m:jc m:val="center"/>
        </m:oMathParaPr>
        <m:oMath>
          <m:sSub>
            <m:e>
              <m:r>
                <m:t>I</m:t>
              </m:r>
            </m:e>
            <m:sub>
              <m:r>
                <m:t>γ</m:t>
              </m:r>
            </m:sub>
          </m:sSub>
          <m:d>
            <m:dPr>
              <m:begChr m:val="("/>
              <m:sepChr m:val=""/>
              <m:endChr m:val=")"/>
              <m:grow/>
            </m:dPr>
            <m:e>
              <m:r>
                <m:t>G</m:t>
              </m:r>
            </m:e>
          </m:d>
          <m:r>
            <m:rPr>
              <m:sty m:val="p"/>
            </m:rPr>
            <m:t>=</m:t>
          </m:r>
          <m:sSub>
            <m:e>
              <m:r>
                <m:t>G</m:t>
              </m:r>
            </m:e>
            <m:sub>
              <m:r>
                <m:t>γ</m:t>
              </m:r>
              <m:r>
                <m:t>γ</m:t>
              </m:r>
            </m:sub>
          </m:sSub>
          <m:r>
            <m:rPr>
              <m:sty m:val="p"/>
            </m:rPr>
            <m:t>−</m:t>
          </m:r>
          <m:sSub>
            <m:e>
              <m:r>
                <m:t>G</m:t>
              </m:r>
            </m:e>
            <m:sub>
              <m:r>
                <m:t>γ</m:t>
              </m:r>
              <m:r>
                <m:t>β</m:t>
              </m:r>
            </m:sub>
          </m:sSub>
          <m:sSubSup>
            <m:e>
              <m:r>
                <m:t>G</m:t>
              </m:r>
            </m:e>
            <m:sub>
              <m:r>
                <m:t>β</m:t>
              </m:r>
              <m:r>
                <m:t>β</m:t>
              </m:r>
            </m:sub>
            <m:sup>
              <m:r>
                <m:rPr>
                  <m:sty m:val="p"/>
                </m:rPr>
                <m:t>−</m:t>
              </m:r>
              <m:r>
                <m:t>1</m:t>
              </m:r>
            </m:sup>
          </m:sSubSup>
          <m:sSub>
            <m:e>
              <m:r>
                <m:t>G</m:t>
              </m:r>
            </m:e>
            <m:sub>
              <m:r>
                <m:t>β</m:t>
              </m:r>
              <m:r>
                <m:t>γ</m:t>
              </m:r>
            </m:sub>
          </m:sSub>
          <m:r>
            <m:rPr>
              <m:sty m:val="p"/>
            </m:rPr>
            <m:t>,</m:t>
          </m:r>
          <m:r>
            <m:t>  </m:t>
          </m:r>
          <m:sSub>
            <m:e>
              <m:r>
                <m:t>I</m:t>
              </m:r>
            </m:e>
            <m:sub>
              <m:r>
                <m:t>γ</m:t>
              </m:r>
            </m:sub>
          </m:sSub>
          <m:r>
            <m:rPr>
              <m:sty m:val="p"/>
            </m:rPr>
            <m:t>=</m:t>
          </m:r>
          <m:sSub>
            <m:e>
              <m:r>
                <m:t>G</m:t>
              </m:r>
            </m:e>
            <m:sub>
              <m:r>
                <m:t>0</m:t>
              </m:r>
            </m:sub>
          </m:sSub>
          <m:r>
            <m:rPr>
              <m:sty m:val="p"/>
            </m:rPr>
            <m:t>:</m:t>
          </m:r>
          <m:sSub>
            <m:e>
              <m:r>
                <m:t>G</m:t>
              </m:r>
            </m:e>
            <m:sub>
              <m:r>
                <m:t>1</m:t>
              </m:r>
            </m:sub>
          </m:sSub>
          <m:r>
            <m:rPr>
              <m:sty m:val="p"/>
            </m:rPr>
            <m:t>=</m:t>
          </m:r>
          <m:sSub>
            <m:e>
              <m:r>
                <m:t>G</m:t>
              </m:r>
            </m:e>
            <m:sub>
              <m:r>
                <m:t>1</m:t>
              </m:r>
            </m:sub>
          </m:sSub>
          <m:sSup>
            <m:e>
              <m:d>
                <m:dPr>
                  <m:begChr m:val="("/>
                  <m:sepChr m:val=""/>
                  <m:endChr m:val=")"/>
                  <m:grow/>
                </m:dPr>
                <m:e>
                  <m:sSub>
                    <m:e>
                      <m:r>
                        <m:t>G</m:t>
                      </m:r>
                    </m:e>
                    <m:sub>
                      <m:r>
                        <m:t>0</m:t>
                      </m:r>
                    </m:sub>
                  </m:sSub>
                  <m:r>
                    <m:rPr>
                      <m:sty m:val="p"/>
                    </m:rPr>
                    <m:t>+</m:t>
                  </m:r>
                  <m:sSub>
                    <m:e>
                      <m:r>
                        <m:t>G</m:t>
                      </m:r>
                    </m:e>
                    <m:sub>
                      <m:r>
                        <m:t>1</m:t>
                      </m:r>
                    </m:sub>
                  </m:sSub>
                </m:e>
              </m:d>
            </m:e>
            <m:sup>
              <m:r>
                <m:rPr>
                  <m:sty m:val="p"/>
                </m:rPr>
                <m:t>−</m:t>
              </m:r>
              <m:r>
                <m:t>1</m:t>
              </m:r>
            </m:sup>
          </m:sSup>
          <m:sSub>
            <m:e>
              <m:r>
                <m:t>G</m:t>
              </m:r>
            </m:e>
            <m:sub>
              <m:r>
                <m:t>0</m:t>
              </m:r>
            </m:sub>
          </m:sSub>
          <m:r>
            <m:t> </m:t>
          </m:r>
          <m:d>
            <m:dPr>
              <m:begChr m:val="("/>
              <m:sepChr m:val=""/>
              <m:endChr m:val=")"/>
              <m:grow/>
            </m:dPr>
            <m:e>
              <m:sSub>
                <m:e>
                  <m:r>
                    <m:t>ψ</m:t>
                  </m:r>
                </m:e>
                <m:sub>
                  <m:r>
                    <m:t>b</m:t>
                  </m:r>
                </m:sub>
              </m:sSub>
              <m:r>
                <m:rPr>
                  <m:sty m:val="p"/>
                </m:rPr>
                <m:t>=</m:t>
              </m:r>
              <m:sSub>
                <m:e>
                  <m:r>
                    <m:t>ψ</m:t>
                  </m:r>
                </m:e>
                <m:sub>
                  <m:r>
                    <m:t>t</m:t>
                  </m:r>
                </m:sub>
              </m:sSub>
            </m:e>
          </m:d>
        </m:oMath>
      </m:oMathPara>
    </w:p>
    <w:p>
      <w:pPr>
        <w:spacing w:after="120"/>
        <w:jc w:val="both"/>
      </w:pPr>
      <w:r>
        <w:t xml:space="preserve">so the information vanishes in every direction of covariate space where either group is empty, however many records there are. A utility that pumps all its wells hard has almost no CATE information by itself; a small dataset with balanced pumping can be worth more than a large one with none. Merging can create information that neither dataset has alone, when one holder has the treated and the other the untreated records in the same region. In Part II, uncertainty-aware CATE models flag individuals with poor overlap [V4], federated estimators transport effects across sites with different covariate distributions [F1, F2], prediction models from observational data sharpen the generalisation of a trial [F4], and testable restrictions check the validity of combining trials and observational studies [FR2].</w:t>
      </w:r>
    </w:p>
    <w:p>
      <w:pPr>
        <w:pStyle w:val="Heading3"/>
      </w:pPr>
      <w:r>
        <w:rPr>
          <w:color w:val="1F3864"/>
        </w:rPr>
        <w:t xml:space="preserve">1.3 Information or decision: the value of sample information</w:t>
      </w:r>
    </w:p>
    <w:p>
      <w:pPr>
        <w:spacing w:after="120"/>
        <w:jc w:val="both"/>
      </w:pPr>
      <w:r>
        <w:t xml:space="preserve">Information is not the goal; a better decision is. The expected value of sample information compares the expected utility of deciding after and before the data [B3, B16]:</w:t>
      </w:r>
    </w:p>
    <w:p>
      <w:pPr>
        <w:pStyle w:val="Equation"/>
      </w:pPr>
      <m:oMathPara>
        <m:oMathParaPr>
          <m:jc m:val="center"/>
        </m:oMathParaPr>
        <m:oMath>
          <m:r>
            <m:rPr>
              <m:nor/>
            </m:rPr>
            <m:t>EVSI</m:t>
          </m:r>
          <m:d>
            <m:dPr>
              <m:begChr m:val="("/>
              <m:sepChr m:val=""/>
              <m:endChr m:val=")"/>
              <m:grow/>
            </m:dPr>
            <m:e>
              <m:r>
                <m:rPr>
                  <m:scr m:val="script"/>
                  <m:sty m:val="p"/>
                </m:rPr>
                <m:t>D</m:t>
              </m:r>
              <m:r>
                <m:rPr>
                  <m:sty m:val="p"/>
                </m:rPr>
                <m:t>′</m:t>
              </m:r>
            </m:e>
          </m:d>
          <m:r>
            <m:rPr>
              <m:sty m:val="p"/>
            </m:rPr>
            <m:t>=</m:t>
          </m:r>
          <m:sSub>
            <m:e>
              <m:r>
                <m:rPr>
                  <m:scr m:val="double-struck"/>
                  <m:sty m:val="p"/>
                </m:rPr>
                <m:t>E</m:t>
              </m:r>
            </m:e>
            <m:sub>
              <m:r>
                <m:t>y</m:t>
              </m:r>
              <m:r>
                <m:rPr>
                  <m:sty m:val="p"/>
                </m:rPr>
                <m:t>′</m:t>
              </m:r>
            </m:sub>
          </m:sSub>
          <m:d>
            <m:dPr>
              <m:begChr m:val="["/>
              <m:sepChr m:val=""/>
              <m:endChr m:val="]"/>
              <m:grow/>
            </m:dPr>
            <m:e>
              <m:limLow>
                <m:e>
                  <m:r>
                    <m:rPr>
                      <m:sty m:val="p"/>
                    </m:rPr>
                    <m:t>max</m:t>
                  </m:r>
                </m:e>
                <m:lim>
                  <m:r>
                    <m:t>a</m:t>
                  </m:r>
                </m:lim>
              </m:limLow>
              <m:r>
                <m:rPr>
                  <m:scr m:val="double-struck"/>
                  <m:sty m:val="p"/>
                </m:rPr>
                <m:t>E</m:t>
              </m:r>
              <m:d>
                <m:dPr>
                  <m:begChr m:val="["/>
                  <m:sepChr m:val=""/>
                  <m:endChr m:val="]"/>
                  <m:grow/>
                </m:dPr>
                <m:e>
                  <m:r>
                    <m:t>u</m:t>
                  </m:r>
                  <m:d>
                    <m:dPr>
                      <m:begChr m:val="("/>
                      <m:sepChr m:val=""/>
                      <m:endChr m:val=")"/>
                      <m:grow/>
                    </m:dPr>
                    <m:e>
                      <m:r>
                        <m:t>a</m:t>
                      </m:r>
                      <m:r>
                        <m:rPr>
                          <m:sty m:val="p"/>
                        </m:rPr>
                        <m:t>,</m:t>
                      </m:r>
                      <m:r>
                        <m:t>θ</m:t>
                      </m:r>
                    </m:e>
                  </m:d>
                  <m:r>
                    <m:rPr>
                      <m:sty m:val="p"/>
                    </m:rPr>
                    <m:t>∣</m:t>
                  </m:r>
                  <m:r>
                    <m:rPr>
                      <m:scr m:val="script"/>
                      <m:sty m:val="p"/>
                    </m:rPr>
                    <m:t>D</m:t>
                  </m:r>
                  <m:r>
                    <m:rPr>
                      <m:sty m:val="p"/>
                    </m:rPr>
                    <m:t>,</m:t>
                  </m:r>
                  <m:r>
                    <m:rPr>
                      <m:scr m:val="script"/>
                      <m:sty m:val="p"/>
                    </m:rPr>
                    <m:t>D</m:t>
                  </m:r>
                  <m:r>
                    <m:rPr>
                      <m:sty m:val="p"/>
                    </m:rPr>
                    <m:t>′</m:t>
                  </m:r>
                </m:e>
              </m:d>
            </m:e>
          </m:d>
          <m:r>
            <m:rPr>
              <m:sty m:val="p"/>
            </m:rPr>
            <m:t>−</m:t>
          </m:r>
          <m:limLow>
            <m:e>
              <m:r>
                <m:rPr>
                  <m:sty m:val="p"/>
                </m:rPr>
                <m:t>max</m:t>
              </m:r>
            </m:e>
            <m:lim>
              <m:r>
                <m:t>a</m:t>
              </m:r>
            </m:lim>
          </m:limLow>
          <m:r>
            <m:rPr>
              <m:scr m:val="double-struck"/>
              <m:sty m:val="p"/>
            </m:rPr>
            <m:t>E</m:t>
          </m:r>
          <m:d>
            <m:dPr>
              <m:begChr m:val="["/>
              <m:sepChr m:val=""/>
              <m:endChr m:val="]"/>
              <m:grow/>
            </m:dPr>
            <m:e>
              <m:r>
                <m:t>u</m:t>
              </m:r>
              <m:d>
                <m:dPr>
                  <m:begChr m:val="("/>
                  <m:sepChr m:val=""/>
                  <m:endChr m:val=")"/>
                  <m:grow/>
                </m:dPr>
                <m:e>
                  <m:r>
                    <m:t>a</m:t>
                  </m:r>
                  <m:r>
                    <m:rPr>
                      <m:sty m:val="p"/>
                    </m:rPr>
                    <m:t>,</m:t>
                  </m:r>
                  <m:r>
                    <m:t>θ</m:t>
                  </m:r>
                </m:e>
              </m:d>
              <m:r>
                <m:rPr>
                  <m:sty m:val="p"/>
                </m:rPr>
                <m:t>∣</m:t>
              </m:r>
              <m:r>
                <m:rPr>
                  <m:scr m:val="script"/>
                  <m:sty m:val="p"/>
                </m:rPr>
                <m:t>D</m:t>
              </m:r>
            </m:e>
          </m:d>
          <m:r>
            <m:rPr>
              <m:sty m:val="p"/>
            </m:rPr>
            <m:t>≥</m:t>
          </m:r>
          <m:r>
            <m:t>0</m:t>
          </m:r>
        </m:oMath>
      </m:oMathPara>
    </w:p>
    <w:p>
      <w:pPr>
        <w:spacing w:after="120"/>
        <w:jc w:val="both"/>
      </w:pPr>
      <w:r>
        <w:t xml:space="preserve">It is never negative, and by Blackwell's theorem one experiment is more valuable than another for every decision problem exactly when it is more informative in his sense [B4]. EIG and EVSI can rank two merges differently: a large dataset may reduce uncertainty about parameters that no decision depends on. In Part II, the decision-theoretic view of uncertainty rebuilds aleatoric and epistemic uncertainty from the loss of the final decision [V5], qEUBO is shown to equal the one-step value of information in preferential optimisation [V1], and endogenous learning under a misspecified model shows that data chosen by one's own actions can stop informing [VR1].</w:t>
      </w:r>
    </w:p>
    <w:p>
      <w:pPr>
        <w:pStyle w:val="Heading3"/>
      </w:pPr>
      <w:r>
        <w:rPr>
          <w:color w:val="1F3864"/>
        </w:rPr>
        <w:t xml:space="preserve">1.4 Merging without pooling: federated and summary-statistic estimation</w:t>
      </w:r>
    </w:p>
    <w:p>
      <w:pPr>
        <w:spacing w:after="120"/>
        <w:jc w:val="both"/>
      </w:pPr>
      <w:r>
        <w:t xml:space="preserve">Data fusion combines datasets collected under different conditions, each identifying part of a causal question [B11]. When records cannot leave their holders, estimators are built from summaries: sites share density-ratio models, outcome-model coefficients or Gram matrices, once or in a few rounds. Part II gives federated adaptive estimation of a target treatment effect with one round of communication [F1], multiply robust federated estimators under covariate shift and mismatch [F2, FR1], Bayesian uncertainty for causal data fusion of datasets that each cover part of the graph [F3], and communication-efficient iterative estimation that reaches full-sample efficiency [F5]. For a Gaussian linear model the Gram matrix is a sufficient summary of the covariates and treatments, which is what makes an outcome-free value of a merge possible (section 9).</w:t>
      </w:r>
    </w:p>
    <w:p>
      <w:pPr>
        <w:pStyle w:val="Heading3"/>
      </w:pPr>
      <w:r>
        <w:rPr>
          <w:color w:val="1F3864"/>
        </w:rPr>
        <w:t xml:space="preserve">1.5 Privacy: differential privacy and secure computation</w:t>
      </w:r>
    </w:p>
    <w:p>
      <w:pPr>
        <w:spacing w:after="120"/>
        <w:jc w:val="both"/>
      </w:pPr>
      <w:r>
        <w:t xml:space="preserve">A randomised mechanism </w:t>
      </w:r>
      <m:oMath>
        <m:r>
          <m:t>M</m:t>
        </m:r>
      </m:oMath>
      <w:r>
        <w:t xml:space="preserve"> is </w:t>
      </w:r>
      <m:oMath>
        <m:d>
          <m:dPr>
            <m:begChr m:val="("/>
            <m:sepChr m:val=""/>
            <m:endChr m:val=")"/>
            <m:grow/>
          </m:dPr>
          <m:e>
            <m:r>
              <m:t>ε</m:t>
            </m:r>
            <m:r>
              <m:rPr>
                <m:sty m:val="p"/>
              </m:rPr>
              <m:t>,</m:t>
            </m:r>
            <m:r>
              <m:t>δ</m:t>
            </m:r>
          </m:e>
        </m:d>
      </m:oMath>
      <w:r>
        <w:t xml:space="preserve">-differentially private if for all datasets </w:t>
      </w:r>
      <m:oMath>
        <m:r>
          <m:rPr>
            <m:scr m:val="script"/>
            <m:sty m:val="p"/>
          </m:rPr>
          <m:t>D</m:t>
        </m:r>
        <m:r>
          <m:rPr>
            <m:sty m:val="p"/>
          </m:rPr>
          <m:t>,</m:t>
        </m:r>
        <m:r>
          <m:rPr>
            <m:scr m:val="script"/>
            <m:sty m:val="p"/>
          </m:rPr>
          <m:t>D</m:t>
        </m:r>
        <m:r>
          <m:rPr>
            <m:sty m:val="p"/>
          </m:rPr>
          <m:t>′</m:t>
        </m:r>
      </m:oMath>
      <w:r>
        <w:t xml:space="preserve"> differing in one record and all events </w:t>
      </w:r>
      <m:oMath>
        <m:r>
          <m:t>S</m:t>
        </m:r>
      </m:oMath>
      <w:r>
        <w:t xml:space="preserve"> [B5, B6]</w:t>
      </w:r>
    </w:p>
    <w:p>
      <w:pPr>
        <w:pStyle w:val="Equation"/>
      </w:pPr>
      <m:oMathPara>
        <m:oMathParaPr>
          <m:jc m:val="center"/>
        </m:oMathParaPr>
        <m:oMath>
          <m:r>
            <m:rPr>
              <m:scr m:val="double-struck"/>
              <m:sty m:val="p"/>
            </m:rPr>
            <m:t>P</m:t>
          </m:r>
          <m:d>
            <m:dPr>
              <m:begChr m:val="("/>
              <m:sepChr m:val=""/>
              <m:endChr m:val=")"/>
              <m:grow/>
            </m:dPr>
            <m:e>
              <m:r>
                <m:t>M</m:t>
              </m:r>
              <m:d>
                <m:dPr>
                  <m:begChr m:val="("/>
                  <m:sepChr m:val=""/>
                  <m:endChr m:val=")"/>
                  <m:grow/>
                </m:dPr>
                <m:e>
                  <m:r>
                    <m:rPr>
                      <m:scr m:val="script"/>
                      <m:sty m:val="p"/>
                    </m:rPr>
                    <m:t>D</m:t>
                  </m:r>
                </m:e>
              </m:d>
              <m:r>
                <m:rPr>
                  <m:sty m:val="p"/>
                </m:rPr>
                <m:t>∈</m:t>
              </m:r>
              <m:r>
                <m:t>S</m:t>
              </m:r>
            </m:e>
          </m:d>
          <m:r>
            <m:rPr>
              <m:sty m:val="p"/>
            </m:rPr>
            <m:t>≤</m:t>
          </m:r>
          <m:sSup>
            <m:e>
              <m:r>
                <m:t>e</m:t>
              </m:r>
            </m:e>
            <m:sup>
              <m:r>
                <m:t>ε</m:t>
              </m:r>
            </m:sup>
          </m:sSup>
          <m:r>
            <m:t> </m:t>
          </m:r>
          <m:r>
            <m:rPr>
              <m:scr m:val="double-struck"/>
              <m:sty m:val="p"/>
            </m:rPr>
            <m:t>P</m:t>
          </m:r>
          <m:d>
            <m:dPr>
              <m:begChr m:val="("/>
              <m:sepChr m:val=""/>
              <m:endChr m:val=")"/>
              <m:grow/>
            </m:dPr>
            <m:e>
              <m:r>
                <m:t>M</m:t>
              </m:r>
              <m:d>
                <m:dPr>
                  <m:begChr m:val="("/>
                  <m:sepChr m:val=""/>
                  <m:endChr m:val=")"/>
                  <m:grow/>
                </m:dPr>
                <m:e>
                  <m:r>
                    <m:rPr>
                      <m:scr m:val="script"/>
                      <m:sty m:val="p"/>
                    </m:rPr>
                    <m:t>D</m:t>
                  </m:r>
                  <m:r>
                    <m:rPr>
                      <m:sty m:val="p"/>
                    </m:rPr>
                    <m:t>′</m:t>
                  </m:r>
                </m:e>
              </m:d>
              <m:r>
                <m:rPr>
                  <m:sty m:val="p"/>
                </m:rPr>
                <m:t>∈</m:t>
              </m:r>
              <m:r>
                <m:t>S</m:t>
              </m:r>
            </m:e>
          </m:d>
          <m:r>
            <m:rPr>
              <m:sty m:val="p"/>
            </m:rPr>
            <m:t>+</m:t>
          </m:r>
          <m:r>
            <m:t>δ</m:t>
          </m:r>
          <m:r>
            <m:rPr>
              <m:sty m:val="p"/>
            </m:rPr>
            <m:t>,</m:t>
          </m:r>
          <m:r>
            <m:t>  </m:t>
          </m:r>
          <m:r>
            <m:t>M</m:t>
          </m:r>
          <m:d>
            <m:dPr>
              <m:begChr m:val="("/>
              <m:sepChr m:val=""/>
              <m:endChr m:val=")"/>
              <m:grow/>
            </m:dPr>
            <m:e>
              <m:r>
                <m:rPr>
                  <m:scr m:val="script"/>
                  <m:sty m:val="p"/>
                </m:rPr>
                <m:t>D</m:t>
              </m:r>
            </m:e>
          </m:d>
          <m:r>
            <m:rPr>
              <m:sty m:val="p"/>
            </m:rPr>
            <m:t>=</m:t>
          </m:r>
          <m:r>
            <m:t>f</m:t>
          </m:r>
          <m:d>
            <m:dPr>
              <m:begChr m:val="("/>
              <m:sepChr m:val=""/>
              <m:endChr m:val=")"/>
              <m:grow/>
            </m:dPr>
            <m:e>
              <m:r>
                <m:rPr>
                  <m:scr m:val="script"/>
                  <m:sty m:val="p"/>
                </m:rPr>
                <m:t>D</m:t>
              </m:r>
            </m:e>
          </m:d>
          <m:r>
            <m:rPr>
              <m:sty m:val="p"/>
            </m:rPr>
            <m:t>+</m:t>
          </m:r>
          <m:r>
            <m:rPr>
              <m:scr m:val="script"/>
              <m:sty m:val="p"/>
            </m:rPr>
            <m:t>N</m:t>
          </m:r>
          <m:d>
            <m:dPr>
              <m:begChr m:val="("/>
              <m:sepChr m:val=""/>
              <m:endChr m:val=")"/>
              <m:grow/>
            </m:dPr>
            <m:e>
              <m:r>
                <m:t>0</m:t>
              </m:r>
              <m:r>
                <m:rPr>
                  <m:sty m:val="p"/>
                </m:rPr>
                <m:t>,</m:t>
              </m:r>
              <m:sSup>
                <m:e>
                  <m:r>
                    <m:t>σ</m:t>
                  </m:r>
                </m:e>
                <m:sup>
                  <m:r>
                    <m:t>2</m:t>
                  </m:r>
                </m:sup>
              </m:sSup>
            </m:e>
          </m:d>
          <m:r>
            <m:rPr>
              <m:sty m:val="p"/>
            </m:rPr>
            <m:t>,</m:t>
          </m:r>
          <m:r>
            <m:t> </m:t>
          </m:r>
          <m:r>
            <m:t>σ</m:t>
          </m:r>
          <m:r>
            <m:rPr>
              <m:sty m:val="p"/>
            </m:rPr>
            <m:t>=</m:t>
          </m:r>
          <m:r>
            <m:t>c</m:t>
          </m:r>
          <m:d>
            <m:dPr>
              <m:begChr m:val="("/>
              <m:sepChr m:val=""/>
              <m:endChr m:val=")"/>
              <m:grow/>
            </m:dPr>
            <m:e>
              <m:r>
                <m:t>ε</m:t>
              </m:r>
              <m:r>
                <m:rPr>
                  <m:sty m:val="p"/>
                </m:rPr>
                <m:t>,</m:t>
              </m:r>
              <m:r>
                <m:t>δ</m:t>
              </m:r>
            </m:e>
          </m:d>
          <m:r>
            <m:t> </m:t>
          </m:r>
          <m:sSub>
            <m:e>
              <m:r>
                <m:t>Δ</m:t>
              </m:r>
            </m:e>
            <m:sub>
              <m:r>
                <m:t>2</m:t>
              </m:r>
            </m:sub>
          </m:sSub>
          <m:r>
            <m:t>f</m:t>
          </m:r>
        </m:oMath>
      </m:oMathPara>
    </w:p>
    <w:p>
      <w:pPr>
        <w:spacing w:after="120"/>
        <w:jc w:val="both"/>
      </w:pPr>
      <w:r>
        <w:t xml:space="preserve">where the Gaussian mechanism adds noise proportional to the </w:t>
      </w:r>
      <m:oMath>
        <m:sSub>
          <m:e>
            <m:r>
              <m:rPr>
                <m:sty m:val="p"/>
              </m:rPr>
              <m:t>ℓ</m:t>
            </m:r>
          </m:e>
          <m:sub>
            <m:r>
              <m:t>2</m:t>
            </m:r>
          </m:sub>
        </m:sSub>
      </m:oMath>
      <w:r>
        <w:t xml:space="preserve"> sensitivity </w:t>
      </w:r>
      <m:oMath>
        <m:sSub>
          <m:e>
            <m:r>
              <m:t>Δ</m:t>
            </m:r>
          </m:e>
          <m:sub>
            <m:r>
              <m:t>2</m:t>
            </m:r>
          </m:sub>
        </m:sSub>
        <m:r>
          <m:t>f</m:t>
        </m:r>
      </m:oMath>
      <w:r>
        <w:t xml:space="preserve"> of the released statistic, with the factor </w:t>
      </w:r>
      <m:oMath>
        <m:r>
          <m:t>c</m:t>
        </m:r>
        <m:d>
          <m:dPr>
            <m:begChr m:val="("/>
            <m:sepChr m:val=""/>
            <m:endChr m:val=")"/>
            <m:grow/>
          </m:dPr>
          <m:e>
            <m:r>
              <m:t>ε</m:t>
            </m:r>
            <m:r>
              <m:rPr>
                <m:sty m:val="p"/>
              </m:rPr>
              <m:t>,</m:t>
            </m:r>
            <m:r>
              <m:t>δ</m:t>
            </m:r>
          </m:e>
        </m:d>
      </m:oMath>
      <w:r>
        <w:t xml:space="preserve"> calibrated exactly by the analytic Gaussian mechanism [B7]. Secure multi-party computation evaluates a function of private inputs so that the parties learn only the output: with additive secret sharing each value is split as </w:t>
      </w:r>
      <m:oMath>
        <m:r>
          <m:t>x</m:t>
        </m:r>
        <m:r>
          <m:rPr>
            <m:sty m:val="p"/>
          </m:rPr>
          <m:t>=</m:t>
        </m:r>
        <m:sSub>
          <m:e>
            <m:r>
              <m:t>x</m:t>
            </m:r>
          </m:e>
          <m:sub>
            <m:r>
              <m:t>0</m:t>
            </m:r>
          </m:sub>
        </m:sSub>
        <m:r>
          <m:rPr>
            <m:sty m:val="p"/>
          </m:rPr>
          <m:t>+</m:t>
        </m:r>
        <m:sSub>
          <m:e>
            <m:r>
              <m:t>x</m:t>
            </m:r>
          </m:e>
          <m:sub>
            <m:r>
              <m:t>1</m:t>
            </m:r>
          </m:sub>
        </m:sSub>
      </m:oMath>
      <w:r>
        <w:t xml:space="preserve"> modulo </w:t>
      </w:r>
      <m:oMath>
        <m:sSup>
          <m:e>
            <m:r>
              <m:t>2</m:t>
            </m:r>
          </m:e>
          <m:sup>
            <m:r>
              <m:t>64</m:t>
            </m:r>
          </m:sup>
        </m:sSup>
      </m:oMath>
      <w:r>
        <w:t xml:space="preserve">, additions are local and a product uses a precomputed Beaver triple </w:t>
      </w:r>
      <m:oMath>
        <m:d>
          <m:dPr>
            <m:begChr m:val="("/>
            <m:sepChr m:val=""/>
            <m:endChr m:val=")"/>
            <m:grow/>
          </m:dPr>
          <m:e>
            <m:r>
              <m:t>a</m:t>
            </m:r>
            <m:r>
              <m:rPr>
                <m:sty m:val="p"/>
              </m:rPr>
              <m:t>,</m:t>
            </m:r>
            <m:r>
              <m:t>b</m:t>
            </m:r>
            <m:r>
              <m:rPr>
                <m:sty m:val="p"/>
              </m:rPr>
              <m:t>,</m:t>
            </m:r>
            <m:r>
              <m:t>c</m:t>
            </m:r>
            <m:r>
              <m:rPr>
                <m:sty m:val="p"/>
              </m:rPr>
              <m:t>=</m:t>
            </m:r>
            <m:r>
              <m:t>a</m:t>
            </m:r>
            <m:r>
              <m:t>b</m:t>
            </m:r>
          </m:e>
        </m:d>
      </m:oMath>
      <w:r>
        <w:t xml:space="preserve">, since </w:t>
      </w:r>
      <m:oMath>
        <m:r>
          <m:t>x</m:t>
        </m:r>
        <m:r>
          <m:t>y</m:t>
        </m:r>
        <m:r>
          <m:rPr>
            <m:sty m:val="p"/>
          </m:rPr>
          <m:t>=</m:t>
        </m:r>
        <m:r>
          <m:t>c</m:t>
        </m:r>
        <m:r>
          <m:rPr>
            <m:sty m:val="p"/>
          </m:rPr>
          <m:t>+</m:t>
        </m:r>
        <m:r>
          <m:t>e</m:t>
        </m:r>
        <m:r>
          <m:t>b</m:t>
        </m:r>
        <m:r>
          <m:rPr>
            <m:sty m:val="p"/>
          </m:rPr>
          <m:t>+</m:t>
        </m:r>
        <m:r>
          <m:t>a</m:t>
        </m:r>
        <m:r>
          <m:t>f</m:t>
        </m:r>
        <m:r>
          <m:rPr>
            <m:sty m:val="p"/>
          </m:rPr>
          <m:t>+</m:t>
        </m:r>
        <m:r>
          <m:t>e</m:t>
        </m:r>
        <m:r>
          <m:t>f</m:t>
        </m:r>
      </m:oMath>
      <w:r>
        <w:t xml:space="preserve"> with the opened masks </w:t>
      </w:r>
      <m:oMath>
        <m:r>
          <m:t>e</m:t>
        </m:r>
        <m:r>
          <m:rPr>
            <m:sty m:val="p"/>
          </m:rPr>
          <m:t>=</m:t>
        </m:r>
        <m:r>
          <m:t>x</m:t>
        </m:r>
        <m:r>
          <m:rPr>
            <m:sty m:val="p"/>
          </m:rPr>
          <m:t>−</m:t>
        </m:r>
        <m:r>
          <m:t>a</m:t>
        </m:r>
      </m:oMath>
      <w:r>
        <w:t xml:space="preserve"> and </w:t>
      </w:r>
      <m:oMath>
        <m:r>
          <m:t>f</m:t>
        </m:r>
        <m:r>
          <m:rPr>
            <m:sty m:val="p"/>
          </m:rPr>
          <m:t>=</m:t>
        </m:r>
        <m:r>
          <m:t>y</m:t>
        </m:r>
        <m:r>
          <m:rPr>
            <m:sty m:val="p"/>
          </m:rPr>
          <m:t>−</m:t>
        </m:r>
        <m:r>
          <m:t>b</m:t>
        </m:r>
      </m:oMath>
      <w:r>
        <w:t xml:space="preserve"> [B8]; fixed-point arithmetic and polynomial or Newton approximations make it practical for machine learning [B9]. The two combine: inside MPC noise needs to be added only once, to the final output, rather than by each holder to its inputs. In Part II, canonical noise distributions spend a privacy budget without waste and give private hypothesis tests [P1], differentially private secure multiplication trades privacy against accuracy with fewer nodes [P2], encryption and MPC run biobank-scale genetic regressions across holders [P3], and Bayesian learning from privatised synthetic data corrects its bias and over-confidence [P4, P5].</w:t>
      </w:r>
    </w:p>
    <w:p>
      <w:pPr>
        <w:pStyle w:val="Heading3"/>
      </w:pPr>
      <w:r>
        <w:rPr>
          <w:color w:val="1F3864"/>
        </w:rPr>
        <w:t xml:space="preserve">1.6 Data valuation and data markets</w:t>
      </w:r>
    </w:p>
    <w:p>
      <w:pPr>
        <w:spacing w:after="120"/>
        <w:jc w:val="both"/>
      </w:pPr>
      <w:r>
        <w:t xml:space="preserve">Data valuation assigns a worth to records or datasets: the data Shapley value averages a point's marginal contribution to a utility over subsets [B13], and semivalues such as the Banzhaf value are more robust to the noise of training [D1]; privacy-friendly variants keep the valuation itself from leaking [D2]. For buying data, a buyer can select points by experimental design without seeing the sellers' labels [D3], adaptive questioning of a strategic data provider can be made incentive compatible at a small cost in queries [D4], payments can make truthful reporting optimal without test data [D5], and markets can buy too much data when one person's data reveal another's [DR3]. These works value data for prediction; the value of a merge for a </w:t>
      </w:r>
      <w:r>
        <w:rPr>
          <w:i/>
          <w:iCs/>
        </w:rPr>
        <w:t xml:space="preserve">causal</w:t>
      </w:r>
      <w:r>
        <w:t xml:space="preserve"> decision, computed privately, is the anchor's question.</w:t>
      </w:r>
    </w:p>
    <w:p>
      <w:pPr>
        <w:pStyle w:val="Heading3"/>
      </w:pPr>
      <w:r>
        <w:rPr>
          <w:color w:val="1F3864"/>
        </w:rPr>
        <w:t xml:space="preserve">1.7 What is open for the Fushë-Kuqe well records</w:t>
      </w:r>
    </w:p>
    <w:p>
      <w:pPr>
        <w:spacing w:after="120"/>
        <w:jc w:val="both"/>
      </w:pPr>
      <w:r>
        <w:t xml:space="preserve">Three questions are open. First, the anchor scores a merge by information about the CATE parameters, but the utility must decide which wells to cap: is the merge with the most information also the one that most improves that decision, and is it worth its legal and administrative cost at all? Second, the anchor's models are generic (polynomials, Gaussian processes, forests); a groundwater model predicts how the effect of pumping should vary with the head margin near the saltwater toe, and it is not known how such physics changes which merge is worth making. Third, a decision value needs nonlinear functions (normal distribution function, square roots, a minimum) and a privacy guarantee for one well-season record. Section 9 (BASHKIMI-GO) answers all three for Fushë-Kuqe.</w:t>
      </w:r>
    </w:p>
    <w:p>
      <w:pPr>
        <w:spacing w:after="200"/>
      </w:pPr>
    </w:p>
    <w:p>
      <w:pPr>
        <w:pStyle w:val="Heading1"/>
      </w:pPr>
      <w:r>
        <w:rPr>
          <w:color w:val="1F3864"/>
        </w:rPr>
        <w:t xml:space="preserve">2. Search methodology</w:t>
      </w:r>
    </w:p>
    <w:p>
      <w:pPr>
        <w:pStyle w:val="ListParagraph"/>
        <w:numPr>
          <w:ilvl w:val="0"/>
          <w:numId w:val="2"/>
        </w:numPr>
        <w:spacing w:after="60"/>
        <w:jc w:val="both"/>
      </w:pPr>
      <w:r>
        <w:rPr>
          <w:b/>
          <w:bCs/>
        </w:rPr>
        <w:t xml:space="preserve">Request and themes:</w:t>
      </w:r>
      <w:r>
        <w:t xml:space="preserve"> 20 papers of 2020–2026 from Oxford, Caltech, MIT, Princeton and Harvard on the topic of the Oxford paper "Is merging worth it?" [B1], in four themes: value of information for acquiring causal data (V), merging datasets for causal inference (F), privacy for statistical and causal inference (P) and data valuation and acquisition (D); five papers per theme. Every paper has at least one author at one of the five institutions at the time of the work, confirmed from a search result (5 cards name Oxford, 3 Caltech, 4 MIT, 3 Princeton and 5 Harvard). The anchor paper itself was reviewed as a card in review 40 and is discussed here in Part I.</w:t>
      </w:r>
    </w:p>
    <w:p>
      <w:pPr>
        <w:pStyle w:val="ListParagraph"/>
        <w:numPr>
          <w:ilvl w:val="0"/>
          <w:numId w:val="2"/>
        </w:numPr>
        <w:spacing w:after="60"/>
        <w:jc w:val="both"/>
      </w:pPr>
      <w:r>
        <w:rPr>
          <w:b/>
          <w:bCs/>
        </w:rPr>
        <w:t xml:space="preserve">What "best" means, in this order:</w:t>
      </w:r>
      <w:r>
        <w:t xml:space="preserve"> mathematical depth (identification, efficiency bounds, convergence and minimax rates, privacy guarantees with utility bounds, approximation guarantees, with proofs); recognition (Annals of Statistics, JASA, Econometrica, American Economic Journal, Nature Genetics, main-track NeurIPS, ICML, ICLR, AISTATS, UAI and IEEE ISIT); and usefulness for valuing and merging well records held by different institutions.</w:t>
      </w:r>
    </w:p>
    <w:p>
      <w:pPr>
        <w:pStyle w:val="ListParagraph"/>
        <w:numPr>
          <w:ilvl w:val="0"/>
          <w:numId w:val="2"/>
        </w:numPr>
        <w:spacing w:after="60"/>
        <w:jc w:val="both"/>
      </w:pPr>
      <w:r>
        <w:rPr>
          <w:b/>
          <w:bCs/>
        </w:rPr>
        <w:t xml:space="preserve">No repetition, peer review, verification:</w:t>
      </w:r>
      <w:r>
        <w:t xml:space="preserve"> every candidate was checked against the 1,140 papers already reviewed as cards in the series, the 1,239 DOIs of earlier documents and the classical references cited earlier; preprints were not eligible. Four agents searched the four themes in parallel (at most 30 searches each) and a fifth searched for Caltech papers; three papers found by two agents are kept once and replaced by reserves of the same theme. Sources were publisher and proceedings pages, institutional repositories (CaltechAUTHORS, DSpace@MIT, Harvard DASH, the Princeton and Oxford research portals) and arXiv author blocks seen through search summaries; no full text was read, so key equations are </w:t>
      </w:r>
      <w:r>
        <w:rPr>
          <w:i/>
          <w:iCs/>
        </w:rPr>
        <w:t xml:space="preserve">representative formulations</w:t>
      </w:r>
      <w:r>
        <w:t xml:space="preserve"> unless a card says otherwise, and unverified fields are marked "(not verified)". ★ rates mathematical depth (★★★★★ new theorems with research-level proofs; ★★ a method or a system whose analysis is mainly empirical).</w:t>
      </w:r>
    </w:p>
    <w:p>
      <w:pPr>
        <w:pStyle w:val="ListParagraph"/>
        <w:numPr>
          <w:ilvl w:val="0"/>
          <w:numId w:val="2"/>
        </w:numPr>
        <w:spacing w:after="60"/>
        <w:jc w:val="both"/>
      </w:pPr>
      <w:r>
        <w:rPr>
          <w:b/>
          <w:bCs/>
        </w:rPr>
        <w:t xml:space="preserve">Recency:</w:t>
      </w:r>
      <w:r>
        <w:t xml:space="preserve"> three from 2020, three from 2021, two from 2022, seven from 2023, two from 2024, and three from 2025; twelve of the 20 are from 2023 or later.</w:t>
      </w:r>
    </w:p>
    <w:p>
      <w:pPr>
        <w:pStyle w:val="Heading1"/>
      </w:pPr>
      <w:r>
        <w:rPr>
          <w:color w:val="1F3864"/>
        </w:rPr>
        <w:t xml:space="preserve">3. The 20 articles at a glance</w:t>
      </w:r>
    </w:p>
    <w:p>
      <w:pPr>
        <w:spacing w:after="120"/>
        <w:jc w:val="both"/>
      </w:pPr>
      <w:r>
        <w:t xml:space="preserve">The table is ordered by theme (V = value of information, F = merging for causal inference, P = privacy, D = data valuation) and, within each theme, by the order of the cards; the last column names the groups where the work was done.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00"/>
        <w:gridCol w:w="3300"/>
        <w:gridCol w:w="3900"/>
        <w:gridCol w:w="1838"/>
      </w:tblGrid>
      <w:tr>
        <w:trPr>
          <w:cantSplit/>
          <w:tblHeader/>
        </w:trPr>
        <w:tc>
          <w:tcPr>
            <w:tcW w:type="dxa" w:w="600"/>
            <w:shd w:fill="1F3864" w:color="auto" w:val="clear"/>
            <w:tcMar>
              <w:top w:type="dxa" w:w="15"/>
              <w:left w:type="dxa" w:w="80"/>
              <w:bottom w:type="dxa" w:w="15"/>
              <w:right w:type="dxa" w:w="80"/>
            </w:tcMar>
            <w:vAlign w:val="top"/>
          </w:tcPr>
          <w:p>
            <w:r>
              <w:rPr>
                <w:b/>
                <w:bCs/>
                <w:color w:val="FFFFFF"/>
                <w:sz w:val="15"/>
                <w:szCs w:val="15"/>
              </w:rPr>
              <w:t xml:space="preserve">Code</w:t>
            </w:r>
          </w:p>
        </w:tc>
        <w:tc>
          <w:tcPr>
            <w:tcW w:type="dxa" w:w="3300"/>
            <w:shd w:fill="1F3864" w:color="auto" w:val="clear"/>
            <w:tcMar>
              <w:top w:type="dxa" w:w="15"/>
              <w:left w:type="dxa" w:w="80"/>
              <w:bottom w:type="dxa" w:w="15"/>
              <w:right w:type="dxa" w:w="80"/>
            </w:tcMar>
            <w:vAlign w:val="top"/>
          </w:tcPr>
          <w:p>
            <w:r>
              <w:rPr>
                <w:b/>
                <w:bCs/>
                <w:color w:val="FFFFFF"/>
                <w:sz w:val="15"/>
                <w:szCs w:val="15"/>
              </w:rPr>
              <w:t xml:space="preserve">Authors (year)</w:t>
            </w:r>
          </w:p>
        </w:tc>
        <w:tc>
          <w:tcPr>
            <w:tcW w:type="dxa" w:w="3900"/>
            <w:shd w:fill="1F3864" w:color="auto" w:val="clear"/>
            <w:tcMar>
              <w:top w:type="dxa" w:w="15"/>
              <w:left w:type="dxa" w:w="80"/>
              <w:bottom w:type="dxa" w:w="15"/>
              <w:right w:type="dxa" w:w="80"/>
            </w:tcMar>
            <w:vAlign w:val="top"/>
          </w:tcPr>
          <w:p>
            <w:r>
              <w:rPr>
                <w:b/>
                <w:bCs/>
                <w:color w:val="FFFFFF"/>
                <w:sz w:val="15"/>
                <w:szCs w:val="15"/>
              </w:rPr>
              <w:t xml:space="preserve">Venue</w:t>
            </w:r>
          </w:p>
        </w:tc>
        <w:tc>
          <w:tcPr>
            <w:tcW w:type="dxa" w:w="1838"/>
            <w:shd w:fill="1F3864" w:color="auto" w:val="clear"/>
            <w:tcMar>
              <w:top w:type="dxa" w:w="15"/>
              <w:left w:type="dxa" w:w="80"/>
              <w:bottom w:type="dxa" w:w="15"/>
              <w:right w:type="dxa" w:w="80"/>
            </w:tcMar>
            <w:vAlign w:val="top"/>
          </w:tcPr>
          <w:p>
            <w:r>
              <w:rPr>
                <w:b/>
                <w:bCs/>
                <w:color w:val="FFFFFF"/>
                <w:sz w:val="15"/>
                <w:szCs w:val="15"/>
              </w:rPr>
              <w:t xml:space="preserve">Groups</w:t>
            </w:r>
          </w:p>
        </w:tc>
      </w:tr>
      <w:tr>
        <w:trPr>
          <w:cantSplit/>
        </w:trPr>
        <w:tc>
          <w:tcPr>
            <w:tcW w:type="dxa" w:w="600"/>
            <w:tcMar>
              <w:top w:type="dxa" w:w="15"/>
              <w:left w:type="dxa" w:w="80"/>
              <w:bottom w:type="dxa" w:w="15"/>
              <w:right w:type="dxa" w:w="80"/>
            </w:tcMar>
            <w:vAlign w:val="top"/>
          </w:tcPr>
          <w:p>
            <w:r>
              <w:rPr>
                <w:b/>
                <w:bCs/>
                <w:color w:val="1E3A8A"/>
                <w:sz w:val="15"/>
                <w:szCs w:val="15"/>
              </w:rPr>
              <w:t xml:space="preserve">V1</w:t>
            </w:r>
          </w:p>
        </w:tc>
        <w:tc>
          <w:tcPr>
            <w:tcW w:type="dxa" w:w="3300"/>
            <w:tcMar>
              <w:top w:type="dxa" w:w="15"/>
              <w:left w:type="dxa" w:w="80"/>
              <w:bottom w:type="dxa" w:w="15"/>
              <w:right w:type="dxa" w:w="80"/>
            </w:tcMar>
            <w:vAlign w:val="top"/>
          </w:tcPr>
          <w:p>
            <w:r>
              <w:rPr>
                <w:sz w:val="15"/>
                <w:szCs w:val="15"/>
              </w:rPr>
              <w:t xml:space="preserve">Astudillo, Lin, Bakshy &amp; Frazier (2023)</w:t>
            </w:r>
          </w:p>
        </w:tc>
        <w:tc>
          <w:tcPr>
            <w:tcW w:type="dxa" w:w="3900"/>
            <w:tcMar>
              <w:top w:type="dxa" w:w="15"/>
              <w:left w:type="dxa" w:w="80"/>
              <w:bottom w:type="dxa" w:w="15"/>
              <w:right w:type="dxa" w:w="80"/>
            </w:tcMar>
            <w:vAlign w:val="top"/>
          </w:tcPr>
          <w:p>
            <w:r>
              <w:rPr>
                <w:sz w:val="15"/>
                <w:szCs w:val="15"/>
              </w:rPr>
              <w:t xml:space="preserve">AISTATS 2023</w:t>
            </w:r>
          </w:p>
        </w:tc>
        <w:tc>
          <w:tcPr>
            <w:tcW w:type="dxa" w:w="1838"/>
            <w:tcMar>
              <w:top w:type="dxa" w:w="15"/>
              <w:left w:type="dxa" w:w="80"/>
              <w:bottom w:type="dxa" w:w="15"/>
              <w:right w:type="dxa" w:w="80"/>
            </w:tcMar>
            <w:vAlign w:val="top"/>
          </w:tcPr>
          <w:p>
            <w:r>
              <w:rPr>
                <w:b/>
                <w:bCs/>
                <w:color w:val="1E3A8A"/>
                <w:sz w:val="15"/>
                <w:szCs w:val="15"/>
              </w:rPr>
              <w:t xml:space="preserve">Caltech · Cornell · Meta</w:t>
            </w:r>
          </w:p>
        </w:tc>
      </w:tr>
      <w:tr>
        <w:trPr>
          <w:cantSplit/>
        </w:trPr>
        <w:tc>
          <w:tcPr>
            <w:tcW w:type="dxa" w:w="600"/>
            <w:shd w:fill="F7F9FC" w:color="auto" w:val="clear"/>
            <w:tcMar>
              <w:top w:type="dxa" w:w="15"/>
              <w:left w:type="dxa" w:w="80"/>
              <w:bottom w:type="dxa" w:w="15"/>
              <w:right w:type="dxa" w:w="80"/>
            </w:tcMar>
            <w:vAlign w:val="top"/>
          </w:tcPr>
          <w:p>
            <w:r>
              <w:rPr>
                <w:b/>
                <w:bCs/>
                <w:color w:val="1E3A8A"/>
                <w:sz w:val="15"/>
                <w:szCs w:val="15"/>
              </w:rPr>
              <w:t xml:space="preserve">V2</w:t>
            </w:r>
          </w:p>
        </w:tc>
        <w:tc>
          <w:tcPr>
            <w:tcW w:type="dxa" w:w="3300"/>
            <w:shd w:fill="F7F9FC" w:color="auto" w:val="clear"/>
            <w:tcMar>
              <w:top w:type="dxa" w:w="15"/>
              <w:left w:type="dxa" w:w="80"/>
              <w:bottom w:type="dxa" w:w="15"/>
              <w:right w:type="dxa" w:w="80"/>
            </w:tcMar>
            <w:vAlign w:val="top"/>
          </w:tcPr>
          <w:p>
            <w:r>
              <w:rPr>
                <w:sz w:val="15"/>
                <w:szCs w:val="15"/>
              </w:rPr>
              <w:t xml:space="preserve">Saad, Cusumano-Towner &amp; Mansinghka (2022)</w:t>
            </w:r>
          </w:p>
        </w:tc>
        <w:tc>
          <w:tcPr>
            <w:tcW w:type="dxa" w:w="3900"/>
            <w:shd w:fill="F7F9FC" w:color="auto" w:val="clear"/>
            <w:tcMar>
              <w:top w:type="dxa" w:w="15"/>
              <w:left w:type="dxa" w:w="80"/>
              <w:bottom w:type="dxa" w:w="15"/>
              <w:right w:type="dxa" w:w="80"/>
            </w:tcMar>
            <w:vAlign w:val="top"/>
          </w:tcPr>
          <w:p>
            <w:r>
              <w:rPr>
                <w:sz w:val="15"/>
                <w:szCs w:val="15"/>
              </w:rPr>
              <w:t xml:space="preserve">AISTATS 2022</w:t>
            </w:r>
          </w:p>
        </w:tc>
        <w:tc>
          <w:tcPr>
            <w:tcW w:type="dxa" w:w="1838"/>
            <w:shd w:fill="F7F9FC" w:color="auto" w:val="clear"/>
            <w:tcMar>
              <w:top w:type="dxa" w:w="15"/>
              <w:left w:type="dxa" w:w="80"/>
              <w:bottom w:type="dxa" w:w="15"/>
              <w:right w:type="dxa" w:w="80"/>
            </w:tcMar>
            <w:vAlign w:val="top"/>
          </w:tcPr>
          <w:p>
            <w:r>
              <w:rPr>
                <w:b/>
                <w:bCs/>
                <w:color w:val="1E3A8A"/>
                <w:sz w:val="15"/>
                <w:szCs w:val="15"/>
              </w:rPr>
              <w:t xml:space="preserve">MIT</w:t>
            </w:r>
          </w:p>
        </w:tc>
      </w:tr>
      <w:tr>
        <w:trPr>
          <w:cantSplit/>
        </w:trPr>
        <w:tc>
          <w:tcPr>
            <w:tcW w:type="dxa" w:w="600"/>
            <w:tcMar>
              <w:top w:type="dxa" w:w="15"/>
              <w:left w:type="dxa" w:w="80"/>
              <w:bottom w:type="dxa" w:w="15"/>
              <w:right w:type="dxa" w:w="80"/>
            </w:tcMar>
            <w:vAlign w:val="top"/>
          </w:tcPr>
          <w:p>
            <w:r>
              <w:rPr>
                <w:b/>
                <w:bCs/>
                <w:color w:val="1E3A8A"/>
                <w:sz w:val="15"/>
                <w:szCs w:val="15"/>
              </w:rPr>
              <w:t xml:space="preserve">V3</w:t>
            </w:r>
          </w:p>
        </w:tc>
        <w:tc>
          <w:tcPr>
            <w:tcW w:type="dxa" w:w="3300"/>
            <w:tcMar>
              <w:top w:type="dxa" w:w="15"/>
              <w:left w:type="dxa" w:w="80"/>
              <w:bottom w:type="dxa" w:w="15"/>
              <w:right w:type="dxa" w:w="80"/>
            </w:tcMar>
            <w:vAlign w:val="top"/>
          </w:tcPr>
          <w:p>
            <w:r>
              <w:rPr>
                <w:sz w:val="15"/>
                <w:szCs w:val="15"/>
              </w:rPr>
              <w:t xml:space="preserve">Zhao, Liu, Anandkumar &amp; Yue (2021)</w:t>
            </w:r>
          </w:p>
        </w:tc>
        <w:tc>
          <w:tcPr>
            <w:tcW w:type="dxa" w:w="3900"/>
            <w:tcMar>
              <w:top w:type="dxa" w:w="15"/>
              <w:left w:type="dxa" w:w="80"/>
              <w:bottom w:type="dxa" w:w="15"/>
              <w:right w:type="dxa" w:w="80"/>
            </w:tcMar>
            <w:vAlign w:val="top"/>
          </w:tcPr>
          <w:p>
            <w:r>
              <w:rPr>
                <w:sz w:val="15"/>
                <w:szCs w:val="15"/>
              </w:rPr>
              <w:t xml:space="preserve">AISTATS 2021</w:t>
            </w:r>
          </w:p>
        </w:tc>
        <w:tc>
          <w:tcPr>
            <w:tcW w:type="dxa" w:w="1838"/>
            <w:tcMar>
              <w:top w:type="dxa" w:w="15"/>
              <w:left w:type="dxa" w:w="80"/>
              <w:bottom w:type="dxa" w:w="15"/>
              <w:right w:type="dxa" w:w="80"/>
            </w:tcMar>
            <w:vAlign w:val="top"/>
          </w:tcPr>
          <w:p>
            <w:r>
              <w:rPr>
                <w:b/>
                <w:bCs/>
                <w:color w:val="1E3A8A"/>
                <w:sz w:val="15"/>
                <w:szCs w:val="15"/>
              </w:rPr>
              <w:t xml:space="preserve">Caltech</w:t>
            </w:r>
          </w:p>
        </w:tc>
      </w:tr>
      <w:tr>
        <w:trPr>
          <w:cantSplit/>
        </w:trPr>
        <w:tc>
          <w:tcPr>
            <w:tcW w:type="dxa" w:w="600"/>
            <w:shd w:fill="F7F9FC" w:color="auto" w:val="clear"/>
            <w:tcMar>
              <w:top w:type="dxa" w:w="15"/>
              <w:left w:type="dxa" w:w="80"/>
              <w:bottom w:type="dxa" w:w="15"/>
              <w:right w:type="dxa" w:w="80"/>
            </w:tcMar>
            <w:vAlign w:val="top"/>
          </w:tcPr>
          <w:p>
            <w:r>
              <w:rPr>
                <w:b/>
                <w:bCs/>
                <w:color w:val="1E3A8A"/>
                <w:sz w:val="15"/>
                <w:szCs w:val="15"/>
              </w:rPr>
              <w:t xml:space="preserve">V4</w:t>
            </w:r>
          </w:p>
        </w:tc>
        <w:tc>
          <w:tcPr>
            <w:tcW w:type="dxa" w:w="3300"/>
            <w:shd w:fill="F7F9FC" w:color="auto" w:val="clear"/>
            <w:tcMar>
              <w:top w:type="dxa" w:w="15"/>
              <w:left w:type="dxa" w:w="80"/>
              <w:bottom w:type="dxa" w:w="15"/>
              <w:right w:type="dxa" w:w="80"/>
            </w:tcMar>
            <w:vAlign w:val="top"/>
          </w:tcPr>
          <w:p>
            <w:r>
              <w:rPr>
                <w:sz w:val="15"/>
                <w:szCs w:val="15"/>
              </w:rPr>
              <w:t xml:space="preserve">Jesson, Mindermann, Shalit &amp; Gal (2020)</w:t>
            </w:r>
          </w:p>
        </w:tc>
        <w:tc>
          <w:tcPr>
            <w:tcW w:type="dxa" w:w="3900"/>
            <w:shd w:fill="F7F9FC" w:color="auto" w:val="clear"/>
            <w:tcMar>
              <w:top w:type="dxa" w:w="15"/>
              <w:left w:type="dxa" w:w="80"/>
              <w:bottom w:type="dxa" w:w="15"/>
              <w:right w:type="dxa" w:w="80"/>
            </w:tcMar>
            <w:vAlign w:val="top"/>
          </w:tcPr>
          <w:p>
            <w:r>
              <w:rPr>
                <w:sz w:val="15"/>
                <w:szCs w:val="15"/>
              </w:rPr>
              <w:t xml:space="preserve">NeurIPS 2020</w:t>
            </w:r>
          </w:p>
        </w:tc>
        <w:tc>
          <w:tcPr>
            <w:tcW w:type="dxa" w:w="1838"/>
            <w:shd w:fill="F7F9FC" w:color="auto" w:val="clear"/>
            <w:tcMar>
              <w:top w:type="dxa" w:w="15"/>
              <w:left w:type="dxa" w:w="80"/>
              <w:bottom w:type="dxa" w:w="15"/>
              <w:right w:type="dxa" w:w="80"/>
            </w:tcMar>
            <w:vAlign w:val="top"/>
          </w:tcPr>
          <w:p>
            <w:r>
              <w:rPr>
                <w:b/>
                <w:bCs/>
                <w:color w:val="1E3A8A"/>
                <w:sz w:val="15"/>
                <w:szCs w:val="15"/>
              </w:rPr>
              <w:t xml:space="preserve">Oxford · Technion</w:t>
            </w:r>
          </w:p>
        </w:tc>
      </w:tr>
      <w:tr>
        <w:trPr>
          <w:cantSplit/>
        </w:trPr>
        <w:tc>
          <w:tcPr>
            <w:tcW w:type="dxa" w:w="600"/>
            <w:tcMar>
              <w:top w:type="dxa" w:w="15"/>
              <w:left w:type="dxa" w:w="80"/>
              <w:bottom w:type="dxa" w:w="15"/>
              <w:right w:type="dxa" w:w="80"/>
            </w:tcMar>
            <w:vAlign w:val="top"/>
          </w:tcPr>
          <w:p>
            <w:r>
              <w:rPr>
                <w:b/>
                <w:bCs/>
                <w:color w:val="1E3A8A"/>
                <w:sz w:val="15"/>
                <w:szCs w:val="15"/>
              </w:rPr>
              <w:t xml:space="preserve">V5</w:t>
            </w:r>
          </w:p>
        </w:tc>
        <w:tc>
          <w:tcPr>
            <w:tcW w:type="dxa" w:w="3300"/>
            <w:tcMar>
              <w:top w:type="dxa" w:w="15"/>
              <w:left w:type="dxa" w:w="80"/>
              <w:bottom w:type="dxa" w:w="15"/>
              <w:right w:type="dxa" w:w="80"/>
            </w:tcMar>
            <w:vAlign w:val="top"/>
          </w:tcPr>
          <w:p>
            <w:r>
              <w:rPr>
                <w:sz w:val="15"/>
                <w:szCs w:val="15"/>
              </w:rPr>
              <w:t xml:space="preserve">Bickford Smith, Kossen, Trollope, van der Wilk, Foster &amp; Rainforth (2025)</w:t>
            </w:r>
          </w:p>
        </w:tc>
        <w:tc>
          <w:tcPr>
            <w:tcW w:type="dxa" w:w="3900"/>
            <w:tcMar>
              <w:top w:type="dxa" w:w="15"/>
              <w:left w:type="dxa" w:w="80"/>
              <w:bottom w:type="dxa" w:w="15"/>
              <w:right w:type="dxa" w:w="80"/>
            </w:tcMar>
            <w:vAlign w:val="top"/>
          </w:tcPr>
          <w:p>
            <w:r>
              <w:rPr>
                <w:sz w:val="15"/>
                <w:szCs w:val="15"/>
              </w:rPr>
              <w:t xml:space="preserve">ICML 2025</w:t>
            </w:r>
          </w:p>
        </w:tc>
        <w:tc>
          <w:tcPr>
            <w:tcW w:type="dxa" w:w="1838"/>
            <w:tcMar>
              <w:top w:type="dxa" w:w="15"/>
              <w:left w:type="dxa" w:w="80"/>
              <w:bottom w:type="dxa" w:w="15"/>
              <w:right w:type="dxa" w:w="80"/>
            </w:tcMar>
            <w:vAlign w:val="top"/>
          </w:tcPr>
          <w:p>
            <w:r>
              <w:rPr>
                <w:b/>
                <w:bCs/>
                <w:color w:val="1E3A8A"/>
                <w:sz w:val="15"/>
                <w:szCs w:val="15"/>
              </w:rPr>
              <w:t xml:space="preserve">Oxford</w:t>
            </w:r>
          </w:p>
        </w:tc>
      </w:tr>
      <w:tr>
        <w:trPr>
          <w:cantSplit/>
        </w:trPr>
        <w:tc>
          <w:tcPr>
            <w:tcW w:type="dxa" w:w="600"/>
            <w:shd w:fill="F7F9FC" w:color="auto" w:val="clear"/>
            <w:tcMar>
              <w:top w:type="dxa" w:w="15"/>
              <w:left w:type="dxa" w:w="80"/>
              <w:bottom w:type="dxa" w:w="15"/>
              <w:right w:type="dxa" w:w="80"/>
            </w:tcMar>
            <w:vAlign w:val="top"/>
          </w:tcPr>
          <w:p>
            <w:r>
              <w:rPr>
                <w:b/>
                <w:bCs/>
                <w:color w:val="0F766E"/>
                <w:sz w:val="15"/>
                <w:szCs w:val="15"/>
              </w:rPr>
              <w:t xml:space="preserve">F1</w:t>
            </w:r>
          </w:p>
        </w:tc>
        <w:tc>
          <w:tcPr>
            <w:tcW w:type="dxa" w:w="3300"/>
            <w:shd w:fill="F7F9FC" w:color="auto" w:val="clear"/>
            <w:tcMar>
              <w:top w:type="dxa" w:w="15"/>
              <w:left w:type="dxa" w:w="80"/>
              <w:bottom w:type="dxa" w:w="15"/>
              <w:right w:type="dxa" w:w="80"/>
            </w:tcMar>
            <w:vAlign w:val="top"/>
          </w:tcPr>
          <w:p>
            <w:r>
              <w:rPr>
                <w:sz w:val="15"/>
                <w:szCs w:val="15"/>
              </w:rPr>
              <w:t xml:space="preserve">Han, Hou, Cho, Duan &amp; Cai (2025)</w:t>
            </w:r>
          </w:p>
        </w:tc>
        <w:tc>
          <w:tcPr>
            <w:tcW w:type="dxa" w:w="3900"/>
            <w:shd w:fill="F7F9FC" w:color="auto" w:val="clear"/>
            <w:tcMar>
              <w:top w:type="dxa" w:w="15"/>
              <w:left w:type="dxa" w:w="80"/>
              <w:bottom w:type="dxa" w:w="15"/>
              <w:right w:type="dxa" w:w="80"/>
            </w:tcMar>
            <w:vAlign w:val="top"/>
          </w:tcPr>
          <w:p>
            <w:r>
              <w:rPr>
                <w:sz w:val="15"/>
                <w:szCs w:val="15"/>
              </w:rPr>
              <w:t xml:space="preserve">J. Amer. Statist. Assoc. 2025</w:t>
            </w:r>
          </w:p>
        </w:tc>
        <w:tc>
          <w:tcPr>
            <w:tcW w:type="dxa" w:w="1838"/>
            <w:shd w:fill="F7F9FC" w:color="auto" w:val="clear"/>
            <w:tcMar>
              <w:top w:type="dxa" w:w="15"/>
              <w:left w:type="dxa" w:w="80"/>
              <w:bottom w:type="dxa" w:w="15"/>
              <w:right w:type="dxa" w:w="80"/>
            </w:tcMar>
            <w:vAlign w:val="top"/>
          </w:tcPr>
          <w:p>
            <w:r>
              <w:rPr>
                <w:b/>
                <w:bCs/>
                <w:color w:val="0F766E"/>
                <w:sz w:val="15"/>
                <w:szCs w:val="15"/>
              </w:rPr>
              <w:t xml:space="preserve">Harvard · Minnesota · VA</w:t>
            </w:r>
          </w:p>
        </w:tc>
      </w:tr>
      <w:tr>
        <w:trPr>
          <w:cantSplit/>
        </w:trPr>
        <w:tc>
          <w:tcPr>
            <w:tcW w:type="dxa" w:w="600"/>
            <w:tcMar>
              <w:top w:type="dxa" w:w="15"/>
              <w:left w:type="dxa" w:w="80"/>
              <w:bottom w:type="dxa" w:w="15"/>
              <w:right w:type="dxa" w:w="80"/>
            </w:tcMar>
            <w:vAlign w:val="top"/>
          </w:tcPr>
          <w:p>
            <w:r>
              <w:rPr>
                <w:b/>
                <w:bCs/>
                <w:color w:val="0F766E"/>
                <w:sz w:val="15"/>
                <w:szCs w:val="15"/>
              </w:rPr>
              <w:t xml:space="preserve">F2</w:t>
            </w:r>
          </w:p>
        </w:tc>
        <w:tc>
          <w:tcPr>
            <w:tcW w:type="dxa" w:w="3300"/>
            <w:tcMar>
              <w:top w:type="dxa" w:w="15"/>
              <w:left w:type="dxa" w:w="80"/>
              <w:bottom w:type="dxa" w:w="15"/>
              <w:right w:type="dxa" w:w="80"/>
            </w:tcMar>
            <w:vAlign w:val="top"/>
          </w:tcPr>
          <w:p>
            <w:r>
              <w:rPr>
                <w:sz w:val="15"/>
                <w:szCs w:val="15"/>
              </w:rPr>
              <w:t xml:space="preserve">Han, Shen &amp; Zubizarreta (2023)</w:t>
            </w:r>
          </w:p>
        </w:tc>
        <w:tc>
          <w:tcPr>
            <w:tcW w:type="dxa" w:w="3900"/>
            <w:tcMar>
              <w:top w:type="dxa" w:w="15"/>
              <w:left w:type="dxa" w:w="80"/>
              <w:bottom w:type="dxa" w:w="15"/>
              <w:right w:type="dxa" w:w="80"/>
            </w:tcMar>
            <w:vAlign w:val="top"/>
          </w:tcPr>
          <w:p>
            <w:r>
              <w:rPr>
                <w:sz w:val="15"/>
                <w:szCs w:val="15"/>
              </w:rPr>
              <w:t xml:space="preserve">NeurIPS 2023</w:t>
            </w:r>
          </w:p>
        </w:tc>
        <w:tc>
          <w:tcPr>
            <w:tcW w:type="dxa" w:w="1838"/>
            <w:tcMar>
              <w:top w:type="dxa" w:w="15"/>
              <w:left w:type="dxa" w:w="80"/>
              <w:bottom w:type="dxa" w:w="15"/>
              <w:right w:type="dxa" w:w="80"/>
            </w:tcMar>
            <w:vAlign w:val="top"/>
          </w:tcPr>
          <w:p>
            <w:r>
              <w:rPr>
                <w:b/>
                <w:bCs/>
                <w:color w:val="0F766E"/>
                <w:sz w:val="15"/>
                <w:szCs w:val="15"/>
              </w:rPr>
              <w:t xml:space="preserve">Harvard · Northeastern</w:t>
            </w:r>
          </w:p>
        </w:tc>
      </w:tr>
      <w:tr>
        <w:trPr>
          <w:cantSplit/>
        </w:trPr>
        <w:tc>
          <w:tcPr>
            <w:tcW w:type="dxa" w:w="600"/>
            <w:shd w:fill="F7F9FC" w:color="auto" w:val="clear"/>
            <w:tcMar>
              <w:top w:type="dxa" w:w="15"/>
              <w:left w:type="dxa" w:w="80"/>
              <w:bottom w:type="dxa" w:w="15"/>
              <w:right w:type="dxa" w:w="80"/>
            </w:tcMar>
            <w:vAlign w:val="top"/>
          </w:tcPr>
          <w:p>
            <w:r>
              <w:rPr>
                <w:b/>
                <w:bCs/>
                <w:color w:val="0F766E"/>
                <w:sz w:val="15"/>
                <w:szCs w:val="15"/>
              </w:rPr>
              <w:t xml:space="preserve">F3</w:t>
            </w:r>
          </w:p>
        </w:tc>
        <w:tc>
          <w:tcPr>
            <w:tcW w:type="dxa" w:w="3300"/>
            <w:shd w:fill="F7F9FC" w:color="auto" w:val="clear"/>
            <w:tcMar>
              <w:top w:type="dxa" w:w="15"/>
              <w:left w:type="dxa" w:w="80"/>
              <w:bottom w:type="dxa" w:w="15"/>
              <w:right w:type="dxa" w:w="80"/>
            </w:tcMar>
            <w:vAlign w:val="top"/>
          </w:tcPr>
          <w:p>
            <w:r>
              <w:rPr>
                <w:sz w:val="15"/>
                <w:szCs w:val="15"/>
              </w:rPr>
              <w:t xml:space="preserve">Chau, Ton, González, Teh &amp; Sejdinovic (2021)</w:t>
            </w:r>
          </w:p>
        </w:tc>
        <w:tc>
          <w:tcPr>
            <w:tcW w:type="dxa" w:w="3900"/>
            <w:shd w:fill="F7F9FC" w:color="auto" w:val="clear"/>
            <w:tcMar>
              <w:top w:type="dxa" w:w="15"/>
              <w:left w:type="dxa" w:w="80"/>
              <w:bottom w:type="dxa" w:w="15"/>
              <w:right w:type="dxa" w:w="80"/>
            </w:tcMar>
            <w:vAlign w:val="top"/>
          </w:tcPr>
          <w:p>
            <w:r>
              <w:rPr>
                <w:sz w:val="15"/>
                <w:szCs w:val="15"/>
              </w:rPr>
              <w:t xml:space="preserve">NeurIPS 2021</w:t>
            </w:r>
          </w:p>
        </w:tc>
        <w:tc>
          <w:tcPr>
            <w:tcW w:type="dxa" w:w="1838"/>
            <w:shd w:fill="F7F9FC" w:color="auto" w:val="clear"/>
            <w:tcMar>
              <w:top w:type="dxa" w:w="15"/>
              <w:left w:type="dxa" w:w="80"/>
              <w:bottom w:type="dxa" w:w="15"/>
              <w:right w:type="dxa" w:w="80"/>
            </w:tcMar>
            <w:vAlign w:val="top"/>
          </w:tcPr>
          <w:p>
            <w:r>
              <w:rPr>
                <w:b/>
                <w:bCs/>
                <w:color w:val="0F766E"/>
                <w:sz w:val="15"/>
                <w:szCs w:val="15"/>
              </w:rPr>
              <w:t xml:space="preserve">Oxford · Microsoft Research</w:t>
            </w:r>
          </w:p>
        </w:tc>
      </w:tr>
      <w:tr>
        <w:trPr>
          <w:cantSplit/>
        </w:trPr>
        <w:tc>
          <w:tcPr>
            <w:tcW w:type="dxa" w:w="600"/>
            <w:tcMar>
              <w:top w:type="dxa" w:w="15"/>
              <w:left w:type="dxa" w:w="80"/>
              <w:bottom w:type="dxa" w:w="15"/>
              <w:right w:type="dxa" w:w="80"/>
            </w:tcMar>
            <w:vAlign w:val="top"/>
          </w:tcPr>
          <w:p>
            <w:r>
              <w:rPr>
                <w:b/>
                <w:bCs/>
                <w:color w:val="0F766E"/>
                <w:sz w:val="15"/>
                <w:szCs w:val="15"/>
              </w:rPr>
              <w:t xml:space="preserve">F4</w:t>
            </w:r>
          </w:p>
        </w:tc>
        <w:tc>
          <w:tcPr>
            <w:tcW w:type="dxa" w:w="3300"/>
            <w:tcMar>
              <w:top w:type="dxa" w:w="15"/>
              <w:left w:type="dxa" w:w="80"/>
              <w:bottom w:type="dxa" w:w="15"/>
              <w:right w:type="dxa" w:w="80"/>
            </w:tcMar>
            <w:vAlign w:val="top"/>
          </w:tcPr>
          <w:p>
            <w:r>
              <w:rPr>
                <w:sz w:val="15"/>
                <w:szCs w:val="15"/>
              </w:rPr>
              <w:t xml:space="preserve">Demirel, Alaa, Philippakis &amp; Sontag (2024)</w:t>
            </w:r>
          </w:p>
        </w:tc>
        <w:tc>
          <w:tcPr>
            <w:tcW w:type="dxa" w:w="3900"/>
            <w:tcMar>
              <w:top w:type="dxa" w:w="15"/>
              <w:left w:type="dxa" w:w="80"/>
              <w:bottom w:type="dxa" w:w="15"/>
              <w:right w:type="dxa" w:w="80"/>
            </w:tcMar>
            <w:vAlign w:val="top"/>
          </w:tcPr>
          <w:p>
            <w:r>
              <w:rPr>
                <w:sz w:val="15"/>
                <w:szCs w:val="15"/>
              </w:rPr>
              <w:t xml:space="preserve">ICML 2024</w:t>
            </w:r>
          </w:p>
        </w:tc>
        <w:tc>
          <w:tcPr>
            <w:tcW w:type="dxa" w:w="1838"/>
            <w:tcMar>
              <w:top w:type="dxa" w:w="15"/>
              <w:left w:type="dxa" w:w="80"/>
              <w:bottom w:type="dxa" w:w="15"/>
              <w:right w:type="dxa" w:w="80"/>
            </w:tcMar>
            <w:vAlign w:val="top"/>
          </w:tcPr>
          <w:p>
            <w:r>
              <w:rPr>
                <w:b/>
                <w:bCs/>
                <w:color w:val="0F766E"/>
                <w:sz w:val="15"/>
                <w:szCs w:val="15"/>
              </w:rPr>
              <w:t xml:space="preserve">MIT · Berkeley</w:t>
            </w:r>
          </w:p>
        </w:tc>
      </w:tr>
      <w:tr>
        <w:trPr>
          <w:cantSplit/>
        </w:trPr>
        <w:tc>
          <w:tcPr>
            <w:tcW w:type="dxa" w:w="600"/>
            <w:shd w:fill="F7F9FC" w:color="auto" w:val="clear"/>
            <w:tcMar>
              <w:top w:type="dxa" w:w="15"/>
              <w:left w:type="dxa" w:w="80"/>
              <w:bottom w:type="dxa" w:w="15"/>
              <w:right w:type="dxa" w:w="80"/>
            </w:tcMar>
            <w:vAlign w:val="top"/>
          </w:tcPr>
          <w:p>
            <w:r>
              <w:rPr>
                <w:b/>
                <w:bCs/>
                <w:color w:val="0F766E"/>
                <w:sz w:val="15"/>
                <w:szCs w:val="15"/>
              </w:rPr>
              <w:t xml:space="preserve">F5</w:t>
            </w:r>
          </w:p>
        </w:tc>
        <w:tc>
          <w:tcPr>
            <w:tcW w:type="dxa" w:w="3300"/>
            <w:shd w:fill="F7F9FC" w:color="auto" w:val="clear"/>
            <w:tcMar>
              <w:top w:type="dxa" w:w="15"/>
              <w:left w:type="dxa" w:w="80"/>
              <w:bottom w:type="dxa" w:w="15"/>
              <w:right w:type="dxa" w:w="80"/>
            </w:tcMar>
            <w:vAlign w:val="top"/>
          </w:tcPr>
          <w:p>
            <w:r>
              <w:rPr>
                <w:sz w:val="15"/>
                <w:szCs w:val="15"/>
              </w:rPr>
              <w:t xml:space="preserve">Fan, Guo &amp; Wang (2023)</w:t>
            </w:r>
          </w:p>
        </w:tc>
        <w:tc>
          <w:tcPr>
            <w:tcW w:type="dxa" w:w="3900"/>
            <w:shd w:fill="F7F9FC" w:color="auto" w:val="clear"/>
            <w:tcMar>
              <w:top w:type="dxa" w:w="15"/>
              <w:left w:type="dxa" w:w="80"/>
              <w:bottom w:type="dxa" w:w="15"/>
              <w:right w:type="dxa" w:w="80"/>
            </w:tcMar>
            <w:vAlign w:val="top"/>
          </w:tcPr>
          <w:p>
            <w:r>
              <w:rPr>
                <w:sz w:val="15"/>
                <w:szCs w:val="15"/>
              </w:rPr>
              <w:t xml:space="preserve">J. Amer. Statist. Assoc. 2023</w:t>
            </w:r>
          </w:p>
        </w:tc>
        <w:tc>
          <w:tcPr>
            <w:tcW w:type="dxa" w:w="1838"/>
            <w:shd w:fill="F7F9FC" w:color="auto" w:val="clear"/>
            <w:tcMar>
              <w:top w:type="dxa" w:w="15"/>
              <w:left w:type="dxa" w:w="80"/>
              <w:bottom w:type="dxa" w:w="15"/>
              <w:right w:type="dxa" w:w="80"/>
            </w:tcMar>
            <w:vAlign w:val="top"/>
          </w:tcPr>
          <w:p>
            <w:r>
              <w:rPr>
                <w:b/>
                <w:bCs/>
                <w:color w:val="0F766E"/>
                <w:sz w:val="15"/>
                <w:szCs w:val="15"/>
              </w:rPr>
              <w:t xml:space="preserve">Princeton · Columbia</w:t>
            </w:r>
          </w:p>
        </w:tc>
      </w:tr>
      <w:tr>
        <w:trPr>
          <w:cantSplit/>
        </w:trPr>
        <w:tc>
          <w:tcPr>
            <w:tcW w:type="dxa" w:w="600"/>
            <w:tcMar>
              <w:top w:type="dxa" w:w="15"/>
              <w:left w:type="dxa" w:w="80"/>
              <w:bottom w:type="dxa" w:w="15"/>
              <w:right w:type="dxa" w:w="80"/>
            </w:tcMar>
            <w:vAlign w:val="top"/>
          </w:tcPr>
          <w:p>
            <w:r>
              <w:rPr>
                <w:b/>
                <w:bCs/>
                <w:color w:val="9A3412"/>
                <w:sz w:val="15"/>
                <w:szCs w:val="15"/>
              </w:rPr>
              <w:t xml:space="preserve">P1</w:t>
            </w:r>
          </w:p>
        </w:tc>
        <w:tc>
          <w:tcPr>
            <w:tcW w:type="dxa" w:w="3300"/>
            <w:tcMar>
              <w:top w:type="dxa" w:w="15"/>
              <w:left w:type="dxa" w:w="80"/>
              <w:bottom w:type="dxa" w:w="15"/>
              <w:right w:type="dxa" w:w="80"/>
            </w:tcMar>
            <w:vAlign w:val="top"/>
          </w:tcPr>
          <w:p>
            <w:r>
              <w:rPr>
                <w:sz w:val="15"/>
                <w:szCs w:val="15"/>
              </w:rPr>
              <w:t xml:space="preserve">Awan &amp; Vadhan (2023)</w:t>
            </w:r>
          </w:p>
        </w:tc>
        <w:tc>
          <w:tcPr>
            <w:tcW w:type="dxa" w:w="3900"/>
            <w:tcMar>
              <w:top w:type="dxa" w:w="15"/>
              <w:left w:type="dxa" w:w="80"/>
              <w:bottom w:type="dxa" w:w="15"/>
              <w:right w:type="dxa" w:w="80"/>
            </w:tcMar>
            <w:vAlign w:val="top"/>
          </w:tcPr>
          <w:p>
            <w:r>
              <w:rPr>
                <w:sz w:val="15"/>
                <w:szCs w:val="15"/>
              </w:rPr>
              <w:t xml:space="preserve">Ann. Statist. 2023</w:t>
            </w:r>
          </w:p>
        </w:tc>
        <w:tc>
          <w:tcPr>
            <w:tcW w:type="dxa" w:w="1838"/>
            <w:tcMar>
              <w:top w:type="dxa" w:w="15"/>
              <w:left w:type="dxa" w:w="80"/>
              <w:bottom w:type="dxa" w:w="15"/>
              <w:right w:type="dxa" w:w="80"/>
            </w:tcMar>
            <w:vAlign w:val="top"/>
          </w:tcPr>
          <w:p>
            <w:r>
              <w:rPr>
                <w:b/>
                <w:bCs/>
                <w:color w:val="9A3412"/>
                <w:sz w:val="15"/>
                <w:szCs w:val="15"/>
              </w:rPr>
              <w:t xml:space="preserve">Harvard · Purdue</w:t>
            </w:r>
          </w:p>
        </w:tc>
      </w:tr>
      <w:tr>
        <w:trPr>
          <w:cantSplit/>
        </w:trPr>
        <w:tc>
          <w:tcPr>
            <w:tcW w:type="dxa" w:w="600"/>
            <w:shd w:fill="F7F9FC" w:color="auto" w:val="clear"/>
            <w:tcMar>
              <w:top w:type="dxa" w:w="15"/>
              <w:left w:type="dxa" w:w="80"/>
              <w:bottom w:type="dxa" w:w="15"/>
              <w:right w:type="dxa" w:w="80"/>
            </w:tcMar>
            <w:vAlign w:val="top"/>
          </w:tcPr>
          <w:p>
            <w:r>
              <w:rPr>
                <w:b/>
                <w:bCs/>
                <w:color w:val="9A3412"/>
                <w:sz w:val="15"/>
                <w:szCs w:val="15"/>
              </w:rPr>
              <w:t xml:space="preserve">P2</w:t>
            </w:r>
          </w:p>
        </w:tc>
        <w:tc>
          <w:tcPr>
            <w:tcW w:type="dxa" w:w="3300"/>
            <w:shd w:fill="F7F9FC" w:color="auto" w:val="clear"/>
            <w:tcMar>
              <w:top w:type="dxa" w:w="15"/>
              <w:left w:type="dxa" w:w="80"/>
              <w:bottom w:type="dxa" w:w="15"/>
              <w:right w:type="dxa" w:w="80"/>
            </w:tcMar>
            <w:vAlign w:val="top"/>
          </w:tcPr>
          <w:p>
            <w:r>
              <w:rPr>
                <w:sz w:val="15"/>
                <w:szCs w:val="15"/>
              </w:rPr>
              <w:t xml:space="preserve">Cadambe, Jeong &amp; Calmon (2023)</w:t>
            </w:r>
          </w:p>
        </w:tc>
        <w:tc>
          <w:tcPr>
            <w:tcW w:type="dxa" w:w="3900"/>
            <w:shd w:fill="F7F9FC" w:color="auto" w:val="clear"/>
            <w:tcMar>
              <w:top w:type="dxa" w:w="15"/>
              <w:left w:type="dxa" w:w="80"/>
              <w:bottom w:type="dxa" w:w="15"/>
              <w:right w:type="dxa" w:w="80"/>
            </w:tcMar>
            <w:vAlign w:val="top"/>
          </w:tcPr>
          <w:p>
            <w:r>
              <w:rPr>
                <w:sz w:val="15"/>
                <w:szCs w:val="15"/>
              </w:rPr>
              <w:t xml:space="preserve">IEEE ISIT 2023</w:t>
            </w:r>
          </w:p>
        </w:tc>
        <w:tc>
          <w:tcPr>
            <w:tcW w:type="dxa" w:w="1838"/>
            <w:shd w:fill="F7F9FC" w:color="auto" w:val="clear"/>
            <w:tcMar>
              <w:top w:type="dxa" w:w="15"/>
              <w:left w:type="dxa" w:w="80"/>
              <w:bottom w:type="dxa" w:w="15"/>
              <w:right w:type="dxa" w:w="80"/>
            </w:tcMar>
            <w:vAlign w:val="top"/>
          </w:tcPr>
          <w:p>
            <w:r>
              <w:rPr>
                <w:b/>
                <w:bCs/>
                <w:color w:val="9A3412"/>
                <w:sz w:val="15"/>
                <w:szCs w:val="15"/>
              </w:rPr>
              <w:t xml:space="preserve">Harvard · Penn State · UCSB</w:t>
            </w:r>
          </w:p>
        </w:tc>
      </w:tr>
      <w:tr>
        <w:trPr>
          <w:cantSplit/>
        </w:trPr>
        <w:tc>
          <w:tcPr>
            <w:tcW w:type="dxa" w:w="600"/>
            <w:tcMar>
              <w:top w:type="dxa" w:w="15"/>
              <w:left w:type="dxa" w:w="80"/>
              <w:bottom w:type="dxa" w:w="15"/>
              <w:right w:type="dxa" w:w="80"/>
            </w:tcMar>
            <w:vAlign w:val="top"/>
          </w:tcPr>
          <w:p>
            <w:r>
              <w:rPr>
                <w:b/>
                <w:bCs/>
                <w:color w:val="9A3412"/>
                <w:sz w:val="15"/>
                <w:szCs w:val="15"/>
              </w:rPr>
              <w:t xml:space="preserve">P3</w:t>
            </w:r>
          </w:p>
        </w:tc>
        <w:tc>
          <w:tcPr>
            <w:tcW w:type="dxa" w:w="3300"/>
            <w:tcMar>
              <w:top w:type="dxa" w:w="15"/>
              <w:left w:type="dxa" w:w="80"/>
              <w:bottom w:type="dxa" w:w="15"/>
              <w:right w:type="dxa" w:w="80"/>
            </w:tcMar>
            <w:vAlign w:val="top"/>
          </w:tcPr>
          <w:p>
            <w:r>
              <w:rPr>
                <w:sz w:val="15"/>
                <w:szCs w:val="15"/>
              </w:rPr>
              <w:t xml:space="preserve">Cho, Froelicher, Chen, …, Hubaux &amp; Berger (2025)</w:t>
            </w:r>
          </w:p>
        </w:tc>
        <w:tc>
          <w:tcPr>
            <w:tcW w:type="dxa" w:w="3900"/>
            <w:tcMar>
              <w:top w:type="dxa" w:w="15"/>
              <w:left w:type="dxa" w:w="80"/>
              <w:bottom w:type="dxa" w:w="15"/>
              <w:right w:type="dxa" w:w="80"/>
            </w:tcMar>
            <w:vAlign w:val="top"/>
          </w:tcPr>
          <w:p>
            <w:r>
              <w:rPr>
                <w:sz w:val="15"/>
                <w:szCs w:val="15"/>
              </w:rPr>
              <w:t xml:space="preserve">Nat. Genet. 2025</w:t>
            </w:r>
          </w:p>
        </w:tc>
        <w:tc>
          <w:tcPr>
            <w:tcW w:type="dxa" w:w="1838"/>
            <w:tcMar>
              <w:top w:type="dxa" w:w="15"/>
              <w:left w:type="dxa" w:w="80"/>
              <w:bottom w:type="dxa" w:w="15"/>
              <w:right w:type="dxa" w:w="80"/>
            </w:tcMar>
            <w:vAlign w:val="top"/>
          </w:tcPr>
          <w:p>
            <w:r>
              <w:rPr>
                <w:b/>
                <w:bCs/>
                <w:color w:val="9A3412"/>
                <w:sz w:val="15"/>
                <w:szCs w:val="15"/>
              </w:rPr>
              <w:t xml:space="preserve">MIT · Broad · Yale · EPFL</w:t>
            </w:r>
          </w:p>
        </w:tc>
      </w:tr>
      <w:tr>
        <w:trPr>
          <w:cantSplit/>
        </w:trPr>
        <w:tc>
          <w:tcPr>
            <w:tcW w:type="dxa" w:w="600"/>
            <w:shd w:fill="F7F9FC" w:color="auto" w:val="clear"/>
            <w:tcMar>
              <w:top w:type="dxa" w:w="15"/>
              <w:left w:type="dxa" w:w="80"/>
              <w:bottom w:type="dxa" w:w="15"/>
              <w:right w:type="dxa" w:w="80"/>
            </w:tcMar>
            <w:vAlign w:val="top"/>
          </w:tcPr>
          <w:p>
            <w:r>
              <w:rPr>
                <w:b/>
                <w:bCs/>
                <w:color w:val="9A3412"/>
                <w:sz w:val="15"/>
                <w:szCs w:val="15"/>
              </w:rPr>
              <w:t xml:space="preserve">P4</w:t>
            </w:r>
          </w:p>
        </w:tc>
        <w:tc>
          <w:tcPr>
            <w:tcW w:type="dxa" w:w="3300"/>
            <w:shd w:fill="F7F9FC" w:color="auto" w:val="clear"/>
            <w:tcMar>
              <w:top w:type="dxa" w:w="15"/>
              <w:left w:type="dxa" w:w="80"/>
              <w:bottom w:type="dxa" w:w="15"/>
              <w:right w:type="dxa" w:w="80"/>
            </w:tcMar>
            <w:vAlign w:val="top"/>
          </w:tcPr>
          <w:p>
            <w:r>
              <w:rPr>
                <w:sz w:val="15"/>
                <w:szCs w:val="15"/>
              </w:rPr>
              <w:t xml:space="preserve">Wilde, Jewson, Vollmer &amp; Holmes (2021)</w:t>
            </w:r>
          </w:p>
        </w:tc>
        <w:tc>
          <w:tcPr>
            <w:tcW w:type="dxa" w:w="3900"/>
            <w:shd w:fill="F7F9FC" w:color="auto" w:val="clear"/>
            <w:tcMar>
              <w:top w:type="dxa" w:w="15"/>
              <w:left w:type="dxa" w:w="80"/>
              <w:bottom w:type="dxa" w:w="15"/>
              <w:right w:type="dxa" w:w="80"/>
            </w:tcMar>
            <w:vAlign w:val="top"/>
          </w:tcPr>
          <w:p>
            <w:r>
              <w:rPr>
                <w:sz w:val="15"/>
                <w:szCs w:val="15"/>
              </w:rPr>
              <w:t xml:space="preserve">AISTATS 2021</w:t>
            </w:r>
          </w:p>
        </w:tc>
        <w:tc>
          <w:tcPr>
            <w:tcW w:type="dxa" w:w="1838"/>
            <w:shd w:fill="F7F9FC" w:color="auto" w:val="clear"/>
            <w:tcMar>
              <w:top w:type="dxa" w:w="15"/>
              <w:left w:type="dxa" w:w="80"/>
              <w:bottom w:type="dxa" w:w="15"/>
              <w:right w:type="dxa" w:w="80"/>
            </w:tcMar>
            <w:vAlign w:val="top"/>
          </w:tcPr>
          <w:p>
            <w:r>
              <w:rPr>
                <w:b/>
                <w:bCs/>
                <w:color w:val="9A3412"/>
                <w:sz w:val="15"/>
                <w:szCs w:val="15"/>
              </w:rPr>
              <w:t xml:space="preserve">Oxford · Warwick · UPF</w:t>
            </w:r>
          </w:p>
        </w:tc>
      </w:tr>
      <w:tr>
        <w:trPr>
          <w:cantSplit/>
        </w:trPr>
        <w:tc>
          <w:tcPr>
            <w:tcW w:type="dxa" w:w="600"/>
            <w:tcMar>
              <w:top w:type="dxa" w:w="15"/>
              <w:left w:type="dxa" w:w="80"/>
              <w:bottom w:type="dxa" w:w="15"/>
              <w:right w:type="dxa" w:w="80"/>
            </w:tcMar>
            <w:vAlign w:val="top"/>
          </w:tcPr>
          <w:p>
            <w:r>
              <w:rPr>
                <w:b/>
                <w:bCs/>
                <w:color w:val="9A3412"/>
                <w:sz w:val="15"/>
                <w:szCs w:val="15"/>
              </w:rPr>
              <w:t xml:space="preserve">P5</w:t>
            </w:r>
          </w:p>
        </w:tc>
        <w:tc>
          <w:tcPr>
            <w:tcW w:type="dxa" w:w="3300"/>
            <w:tcMar>
              <w:top w:type="dxa" w:w="15"/>
              <w:left w:type="dxa" w:w="80"/>
              <w:bottom w:type="dxa" w:w="15"/>
              <w:right w:type="dxa" w:w="80"/>
            </w:tcMar>
            <w:vAlign w:val="top"/>
          </w:tcPr>
          <w:p>
            <w:r>
              <w:rPr>
                <w:sz w:val="15"/>
                <w:szCs w:val="15"/>
              </w:rPr>
              <w:t xml:space="preserve">Ghalebikesabi, Wilde, Jewson, Doucet, Vollmer &amp; Holmes (2022)</w:t>
            </w:r>
          </w:p>
        </w:tc>
        <w:tc>
          <w:tcPr>
            <w:tcW w:type="dxa" w:w="3900"/>
            <w:tcMar>
              <w:top w:type="dxa" w:w="15"/>
              <w:left w:type="dxa" w:w="80"/>
              <w:bottom w:type="dxa" w:w="15"/>
              <w:right w:type="dxa" w:w="80"/>
            </w:tcMar>
            <w:vAlign w:val="top"/>
          </w:tcPr>
          <w:p>
            <w:r>
              <w:rPr>
                <w:sz w:val="15"/>
                <w:szCs w:val="15"/>
              </w:rPr>
              <w:t xml:space="preserve">UAI 2022</w:t>
            </w:r>
          </w:p>
        </w:tc>
        <w:tc>
          <w:tcPr>
            <w:tcW w:type="dxa" w:w="1838"/>
            <w:tcMar>
              <w:top w:type="dxa" w:w="15"/>
              <w:left w:type="dxa" w:w="80"/>
              <w:bottom w:type="dxa" w:w="15"/>
              <w:right w:type="dxa" w:w="80"/>
            </w:tcMar>
            <w:vAlign w:val="top"/>
          </w:tcPr>
          <w:p>
            <w:r>
              <w:rPr>
                <w:b/>
                <w:bCs/>
                <w:color w:val="9A3412"/>
                <w:sz w:val="15"/>
                <w:szCs w:val="15"/>
              </w:rPr>
              <w:t xml:space="preserve">Oxford · Warwick · UPF</w:t>
            </w:r>
          </w:p>
        </w:tc>
      </w:tr>
      <w:tr>
        <w:trPr>
          <w:cantSplit/>
        </w:trPr>
        <w:tc>
          <w:tcPr>
            <w:tcW w:type="dxa" w:w="600"/>
            <w:shd w:fill="F7F9FC" w:color="auto" w:val="clear"/>
            <w:tcMar>
              <w:top w:type="dxa" w:w="15"/>
              <w:left w:type="dxa" w:w="80"/>
              <w:bottom w:type="dxa" w:w="15"/>
              <w:right w:type="dxa" w:w="80"/>
            </w:tcMar>
            <w:vAlign w:val="top"/>
          </w:tcPr>
          <w:p>
            <w:r>
              <w:rPr>
                <w:b/>
                <w:bCs/>
                <w:color w:val="5B21B6"/>
                <w:sz w:val="15"/>
                <w:szCs w:val="15"/>
              </w:rPr>
              <w:t xml:space="preserve">D1</w:t>
            </w:r>
          </w:p>
        </w:tc>
        <w:tc>
          <w:tcPr>
            <w:tcW w:type="dxa" w:w="3300"/>
            <w:shd w:fill="F7F9FC" w:color="auto" w:val="clear"/>
            <w:tcMar>
              <w:top w:type="dxa" w:w="15"/>
              <w:left w:type="dxa" w:w="80"/>
              <w:bottom w:type="dxa" w:w="15"/>
              <w:right w:type="dxa" w:w="80"/>
            </w:tcMar>
            <w:vAlign w:val="top"/>
          </w:tcPr>
          <w:p>
            <w:r>
              <w:rPr>
                <w:sz w:val="15"/>
                <w:szCs w:val="15"/>
              </w:rPr>
              <w:t xml:space="preserve">Wang &amp; Jia (2023)</w:t>
            </w:r>
          </w:p>
        </w:tc>
        <w:tc>
          <w:tcPr>
            <w:tcW w:type="dxa" w:w="3900"/>
            <w:shd w:fill="F7F9FC" w:color="auto" w:val="clear"/>
            <w:tcMar>
              <w:top w:type="dxa" w:w="15"/>
              <w:left w:type="dxa" w:w="80"/>
              <w:bottom w:type="dxa" w:w="15"/>
              <w:right w:type="dxa" w:w="80"/>
            </w:tcMar>
            <w:vAlign w:val="top"/>
          </w:tcPr>
          <w:p>
            <w:r>
              <w:rPr>
                <w:sz w:val="15"/>
                <w:szCs w:val="15"/>
              </w:rPr>
              <w:t xml:space="preserve">AISTATS 2023</w:t>
            </w:r>
          </w:p>
        </w:tc>
        <w:tc>
          <w:tcPr>
            <w:tcW w:type="dxa" w:w="1838"/>
            <w:shd w:fill="F7F9FC" w:color="auto" w:val="clear"/>
            <w:tcMar>
              <w:top w:type="dxa" w:w="15"/>
              <w:left w:type="dxa" w:w="80"/>
              <w:bottom w:type="dxa" w:w="15"/>
              <w:right w:type="dxa" w:w="80"/>
            </w:tcMar>
            <w:vAlign w:val="top"/>
          </w:tcPr>
          <w:p>
            <w:r>
              <w:rPr>
                <w:b/>
                <w:bCs/>
                <w:color w:val="5B21B6"/>
                <w:sz w:val="15"/>
                <w:szCs w:val="15"/>
              </w:rPr>
              <w:t xml:space="preserve">Princeton · Virginia Tech</w:t>
            </w:r>
          </w:p>
        </w:tc>
      </w:tr>
      <w:tr>
        <w:trPr>
          <w:cantSplit/>
        </w:trPr>
        <w:tc>
          <w:tcPr>
            <w:tcW w:type="dxa" w:w="600"/>
            <w:tcMar>
              <w:top w:type="dxa" w:w="15"/>
              <w:left w:type="dxa" w:w="80"/>
              <w:bottom w:type="dxa" w:w="15"/>
              <w:right w:type="dxa" w:w="80"/>
            </w:tcMar>
            <w:vAlign w:val="top"/>
          </w:tcPr>
          <w:p>
            <w:r>
              <w:rPr>
                <w:b/>
                <w:bCs/>
                <w:color w:val="5B21B6"/>
                <w:sz w:val="15"/>
                <w:szCs w:val="15"/>
              </w:rPr>
              <w:t xml:space="preserve">D2</w:t>
            </w:r>
          </w:p>
        </w:tc>
        <w:tc>
          <w:tcPr>
            <w:tcW w:type="dxa" w:w="3300"/>
            <w:tcMar>
              <w:top w:type="dxa" w:w="15"/>
              <w:left w:type="dxa" w:w="80"/>
              <w:bottom w:type="dxa" w:w="15"/>
              <w:right w:type="dxa" w:w="80"/>
            </w:tcMar>
            <w:vAlign w:val="top"/>
          </w:tcPr>
          <w:p>
            <w:r>
              <w:rPr>
                <w:sz w:val="15"/>
                <w:szCs w:val="15"/>
              </w:rPr>
              <w:t xml:space="preserve">Wang, Zhu, Wang, Jia &amp; Mittal (2023)</w:t>
            </w:r>
          </w:p>
        </w:tc>
        <w:tc>
          <w:tcPr>
            <w:tcW w:type="dxa" w:w="3900"/>
            <w:tcMar>
              <w:top w:type="dxa" w:w="15"/>
              <w:left w:type="dxa" w:w="80"/>
              <w:bottom w:type="dxa" w:w="15"/>
              <w:right w:type="dxa" w:w="80"/>
            </w:tcMar>
            <w:vAlign w:val="top"/>
          </w:tcPr>
          <w:p>
            <w:r>
              <w:rPr>
                <w:sz w:val="15"/>
                <w:szCs w:val="15"/>
              </w:rPr>
              <w:t xml:space="preserve">NeurIPS 2023</w:t>
            </w:r>
          </w:p>
        </w:tc>
        <w:tc>
          <w:tcPr>
            <w:tcW w:type="dxa" w:w="1838"/>
            <w:tcMar>
              <w:top w:type="dxa" w:w="15"/>
              <w:left w:type="dxa" w:w="80"/>
              <w:bottom w:type="dxa" w:w="15"/>
              <w:right w:type="dxa" w:w="80"/>
            </w:tcMar>
            <w:vAlign w:val="top"/>
          </w:tcPr>
          <w:p>
            <w:r>
              <w:rPr>
                <w:b/>
                <w:bCs/>
                <w:color w:val="5B21B6"/>
                <w:sz w:val="15"/>
                <w:szCs w:val="15"/>
              </w:rPr>
              <w:t xml:space="preserve">Princeton · UC Santa Barbara · Virginia Tech</w:t>
            </w:r>
          </w:p>
        </w:tc>
      </w:tr>
      <w:tr>
        <w:trPr>
          <w:cantSplit/>
        </w:trPr>
        <w:tc>
          <w:tcPr>
            <w:tcW w:type="dxa" w:w="600"/>
            <w:shd w:fill="F7F9FC" w:color="auto" w:val="clear"/>
            <w:tcMar>
              <w:top w:type="dxa" w:w="15"/>
              <w:left w:type="dxa" w:w="80"/>
              <w:bottom w:type="dxa" w:w="15"/>
              <w:right w:type="dxa" w:w="80"/>
            </w:tcMar>
            <w:vAlign w:val="top"/>
          </w:tcPr>
          <w:p>
            <w:r>
              <w:rPr>
                <w:b/>
                <w:bCs/>
                <w:color w:val="5B21B6"/>
                <w:sz w:val="15"/>
                <w:szCs w:val="15"/>
              </w:rPr>
              <w:t xml:space="preserve">D3</w:t>
            </w:r>
          </w:p>
        </w:tc>
        <w:tc>
          <w:tcPr>
            <w:tcW w:type="dxa" w:w="3300"/>
            <w:shd w:fill="F7F9FC" w:color="auto" w:val="clear"/>
            <w:tcMar>
              <w:top w:type="dxa" w:w="15"/>
              <w:left w:type="dxa" w:w="80"/>
              <w:bottom w:type="dxa" w:w="15"/>
              <w:right w:type="dxa" w:w="80"/>
            </w:tcMar>
            <w:vAlign w:val="top"/>
          </w:tcPr>
          <w:p>
            <w:r>
              <w:rPr>
                <w:sz w:val="15"/>
                <w:szCs w:val="15"/>
              </w:rPr>
              <w:t xml:space="preserve">Lu, Huang, Karimireddy, Vepakomma, Jordan &amp; Raskar (2024)</w:t>
            </w:r>
          </w:p>
        </w:tc>
        <w:tc>
          <w:tcPr>
            <w:tcW w:type="dxa" w:w="3900"/>
            <w:shd w:fill="F7F9FC" w:color="auto" w:val="clear"/>
            <w:tcMar>
              <w:top w:type="dxa" w:w="15"/>
              <w:left w:type="dxa" w:w="80"/>
              <w:bottom w:type="dxa" w:w="15"/>
              <w:right w:type="dxa" w:w="80"/>
            </w:tcMar>
            <w:vAlign w:val="top"/>
          </w:tcPr>
          <w:p>
            <w:r>
              <w:rPr>
                <w:sz w:val="15"/>
                <w:szCs w:val="15"/>
              </w:rPr>
              <w:t xml:space="preserve">NeurIPS 2024</w:t>
            </w:r>
          </w:p>
        </w:tc>
        <w:tc>
          <w:tcPr>
            <w:tcW w:type="dxa" w:w="1838"/>
            <w:shd w:fill="F7F9FC" w:color="auto" w:val="clear"/>
            <w:tcMar>
              <w:top w:type="dxa" w:w="15"/>
              <w:left w:type="dxa" w:w="80"/>
              <w:bottom w:type="dxa" w:w="15"/>
              <w:right w:type="dxa" w:w="80"/>
            </w:tcMar>
            <w:vAlign w:val="top"/>
          </w:tcPr>
          <w:p>
            <w:r>
              <w:rPr>
                <w:b/>
                <w:bCs/>
                <w:color w:val="5B21B6"/>
                <w:sz w:val="15"/>
                <w:szCs w:val="15"/>
              </w:rPr>
              <w:t xml:space="preserve">MIT</w:t>
            </w:r>
          </w:p>
        </w:tc>
      </w:tr>
      <w:tr>
        <w:trPr>
          <w:cantSplit/>
        </w:trPr>
        <w:tc>
          <w:tcPr>
            <w:tcW w:type="dxa" w:w="600"/>
            <w:tcMar>
              <w:top w:type="dxa" w:w="15"/>
              <w:left w:type="dxa" w:w="80"/>
              <w:bottom w:type="dxa" w:w="15"/>
              <w:right w:type="dxa" w:w="80"/>
            </w:tcMar>
            <w:vAlign w:val="top"/>
          </w:tcPr>
          <w:p>
            <w:r>
              <w:rPr>
                <w:b/>
                <w:bCs/>
                <w:color w:val="5B21B6"/>
                <w:sz w:val="15"/>
                <w:szCs w:val="15"/>
              </w:rPr>
              <w:t xml:space="preserve">D4</w:t>
            </w:r>
          </w:p>
        </w:tc>
        <w:tc>
          <w:tcPr>
            <w:tcW w:type="dxa" w:w="3300"/>
            <w:tcMar>
              <w:top w:type="dxa" w:w="15"/>
              <w:left w:type="dxa" w:w="80"/>
              <w:bottom w:type="dxa" w:w="15"/>
              <w:right w:type="dxa" w:w="80"/>
            </w:tcMar>
            <w:vAlign w:val="top"/>
          </w:tcPr>
          <w:p>
            <w:r>
              <w:rPr>
                <w:sz w:val="15"/>
                <w:szCs w:val="15"/>
              </w:rPr>
              <w:t xml:space="preserve">Echenique &amp; Prasad (2020)</w:t>
            </w:r>
          </w:p>
        </w:tc>
        <w:tc>
          <w:tcPr>
            <w:tcW w:type="dxa" w:w="3900"/>
            <w:tcMar>
              <w:top w:type="dxa" w:w="15"/>
              <w:left w:type="dxa" w:w="80"/>
              <w:bottom w:type="dxa" w:w="15"/>
              <w:right w:type="dxa" w:w="80"/>
            </w:tcMar>
            <w:vAlign w:val="top"/>
          </w:tcPr>
          <w:p>
            <w:r>
              <w:rPr>
                <w:sz w:val="15"/>
                <w:szCs w:val="15"/>
              </w:rPr>
              <w:t xml:space="preserve">ITCS 2020</w:t>
            </w:r>
          </w:p>
        </w:tc>
        <w:tc>
          <w:tcPr>
            <w:tcW w:type="dxa" w:w="1838"/>
            <w:tcMar>
              <w:top w:type="dxa" w:w="15"/>
              <w:left w:type="dxa" w:w="80"/>
              <w:bottom w:type="dxa" w:w="15"/>
              <w:right w:type="dxa" w:w="80"/>
            </w:tcMar>
            <w:vAlign w:val="top"/>
          </w:tcPr>
          <w:p>
            <w:r>
              <w:rPr>
                <w:b/>
                <w:bCs/>
                <w:color w:val="5B21B6"/>
                <w:sz w:val="15"/>
                <w:szCs w:val="15"/>
              </w:rPr>
              <w:t xml:space="preserve">Caltech · CMU</w:t>
            </w:r>
          </w:p>
        </w:tc>
      </w:tr>
      <w:tr>
        <w:trPr>
          <w:cantSplit/>
        </w:trPr>
        <w:tc>
          <w:tcPr>
            <w:tcW w:type="dxa" w:w="600"/>
            <w:shd w:fill="F7F9FC" w:color="auto" w:val="clear"/>
            <w:tcMar>
              <w:top w:type="dxa" w:w="15"/>
              <w:left w:type="dxa" w:w="80"/>
              <w:bottom w:type="dxa" w:w="15"/>
              <w:right w:type="dxa" w:w="80"/>
            </w:tcMar>
            <w:vAlign w:val="top"/>
          </w:tcPr>
          <w:p>
            <w:r>
              <w:rPr>
                <w:b/>
                <w:bCs/>
                <w:color w:val="5B21B6"/>
                <w:sz w:val="15"/>
                <w:szCs w:val="15"/>
              </w:rPr>
              <w:t xml:space="preserve">D5</w:t>
            </w:r>
          </w:p>
        </w:tc>
        <w:tc>
          <w:tcPr>
            <w:tcW w:type="dxa" w:w="3300"/>
            <w:shd w:fill="F7F9FC" w:color="auto" w:val="clear"/>
            <w:tcMar>
              <w:top w:type="dxa" w:w="15"/>
              <w:left w:type="dxa" w:w="80"/>
              <w:bottom w:type="dxa" w:w="15"/>
              <w:right w:type="dxa" w:w="80"/>
            </w:tcMar>
            <w:vAlign w:val="top"/>
          </w:tcPr>
          <w:p>
            <w:r>
              <w:rPr>
                <w:sz w:val="15"/>
                <w:szCs w:val="15"/>
              </w:rPr>
              <w:t xml:space="preserve">Chen, Shen &amp; Zheng (2020)</w:t>
            </w:r>
          </w:p>
        </w:tc>
        <w:tc>
          <w:tcPr>
            <w:tcW w:type="dxa" w:w="3900"/>
            <w:shd w:fill="F7F9FC" w:color="auto" w:val="clear"/>
            <w:tcMar>
              <w:top w:type="dxa" w:w="15"/>
              <w:left w:type="dxa" w:w="80"/>
              <w:bottom w:type="dxa" w:w="15"/>
              <w:right w:type="dxa" w:w="80"/>
            </w:tcMar>
            <w:vAlign w:val="top"/>
          </w:tcPr>
          <w:p>
            <w:r>
              <w:rPr>
                <w:sz w:val="15"/>
                <w:szCs w:val="15"/>
              </w:rPr>
              <w:t xml:space="preserve">NeurIPS 2020</w:t>
            </w:r>
          </w:p>
        </w:tc>
        <w:tc>
          <w:tcPr>
            <w:tcW w:type="dxa" w:w="1838"/>
            <w:shd w:fill="F7F9FC" w:color="auto" w:val="clear"/>
            <w:tcMar>
              <w:top w:type="dxa" w:w="15"/>
              <w:left w:type="dxa" w:w="80"/>
              <w:bottom w:type="dxa" w:w="15"/>
              <w:right w:type="dxa" w:w="80"/>
            </w:tcMar>
            <w:vAlign w:val="top"/>
          </w:tcPr>
          <w:p>
            <w:r>
              <w:rPr>
                <w:b/>
                <w:bCs/>
                <w:color w:val="5B21B6"/>
                <w:sz w:val="15"/>
                <w:szCs w:val="15"/>
              </w:rPr>
              <w:t xml:space="preserve">Harvard · Tsinghua</w:t>
            </w:r>
          </w:p>
        </w:tc>
      </w:tr>
    </w:tbl>
    <w:p>
      <w:pPr>
        <w:spacing w:after="160"/>
      </w:pPr>
    </w:p>
    <w:p>
      <w:pPr>
        <w:pStyle w:val="Heading1"/>
      </w:pPr>
      <w:r>
        <w:rPr>
          <w:color w:val="1E3A8A"/>
        </w:rPr>
        <w:t xml:space="preserve">4. Value of information for acquiring causal data</w:t>
      </w:r>
    </w:p>
    <w:p>
      <w:pPr>
        <w:spacing w:after="120"/>
        <w:jc w:val="both"/>
      </w:pPr>
      <w:r>
        <w:t xml:space="preserve">Five groups compute what data are worth before buying them. Raul Astudillo, Zhiyuan Jerry Lin, Eytan Bakshy and Peter Frazier show that a decision-theoretic acquisition function is the one-step value of information in preferential optimisation [V1]; Feras Saad, Marco Cusumano-Towner and Vikash Mansinghka estimate entropy and information in general probabilistic programs [V2]; Eric Zhao, Anqi Liu, Animashree Anandkumar and Yisong Yue buy labels when the pool and the target populations differ [V3]; Andrew Jesson, Sören Mindermann, Uri Shalit and Yarin Gal flag CATE estimates that fail for lack of overlap [V4]; and Freddie Bickford Smith, Tom Rainforth and colleagues rebuild uncertainty from the loss of the final decision [V5].</w:t>
      </w:r>
    </w:p>
    <w:p>
      <w:pPr>
        <w:keepNext/>
        <w:pBdr>
          <w:top w:val="single" w:color="1E3A8A" w:sz="6" w:space="4"/>
        </w:pBdr>
        <w:spacing w:after="60" w:before="220"/>
      </w:pPr>
      <w:r>
        <w:rPr>
          <w:b/>
          <w:bCs/>
          <w:color w:val="1E3A8A"/>
          <w:sz w:val="23"/>
          <w:szCs w:val="23"/>
        </w:rPr>
        <w:t xml:space="preserve">V1  </w:t>
      </w:r>
      <w:r>
        <w:rPr>
          <w:b/>
          <w:bCs/>
          <w:color w:val="1F3864"/>
          <w:sz w:val="23"/>
          <w:szCs w:val="23"/>
        </w:rPr>
        <w:t xml:space="preserve">qEUBO: A Decision-Theoretic Acquisition Function for Preferential Bayesian Optimization</w:t>
      </w:r>
    </w:p>
    <w:p>
      <w:pPr>
        <w:keepNext/>
        <w:spacing w:after="60" w:line="240" w:lineRule="auto"/>
      </w:pPr>
      <w:r>
        <w:rPr>
          <w:b/>
          <w:bCs/>
          <w:color w:val="333B47"/>
          <w:sz w:val="15"/>
          <w:szCs w:val="15"/>
        </w:rPr>
        <w:t xml:space="preserve">Authors: </w:t>
      </w:r>
      <w:r>
        <w:rPr>
          <w:sz w:val="15"/>
          <w:szCs w:val="15"/>
        </w:rPr>
        <w:t xml:space="preserve">Raul Astudillo, Zhiyuan Jerry Lin, Eytan Bakshy, Peter Frazier</w:t>
      </w:r>
      <w:r>
        <w:rPr>
          <w:sz w:val="15"/>
          <w:szCs w:val="15"/>
        </w:rPr>
        <w:t xml:space="preserve">   </w:t>
      </w:r>
      <w:r>
        <w:rPr>
          <w:b/>
          <w:bCs/>
          <w:color w:val="333B47"/>
          <w:sz w:val="15"/>
          <w:szCs w:val="15"/>
        </w:rPr>
        <w:t xml:space="preserve">Published in: </w:t>
      </w:r>
      <w:r>
        <w:rPr>
          <w:sz w:val="15"/>
          <w:szCs w:val="15"/>
        </w:rPr>
        <w:t xml:space="preserve">Proceedings of the 26th International Conference on Artificial Intelligence and Statistics (AISTATS), PMLR 206, 1093–1114 (2023)</w:t>
      </w:r>
      <w:r>
        <w:rPr>
          <w:sz w:val="15"/>
          <w:szCs w:val="15"/>
        </w:rPr>
        <w:t xml:space="preserve">   </w:t>
      </w:r>
      <w:r>
        <w:rPr>
          <w:b/>
          <w:bCs/>
          <w:color w:val="333B47"/>
          <w:sz w:val="15"/>
          <w:szCs w:val="15"/>
        </w:rPr>
        <w:t xml:space="preserve">Link: </w:t>
      </w:r>
      <w:hyperlink w:history="1" r:id="rIdxe2mm4rok2mecxhcfkj72">
        <w:r>
          <w:rPr>
            <w:color w:val="1D4ED8"/>
            <w:sz w:val="15"/>
            <w:szCs w:val="15"/>
            <w:u w:val="single"/>
          </w:rPr>
          <w:t xml:space="preserve">https://proceedings.mlr.press/v206/astudillo23a.html</w:t>
        </w:r>
      </w:hyperlink>
    </w:p>
    <w:p>
      <w:pPr>
        <w:keepNext/>
        <w:spacing w:after="80" w:line="240" w:lineRule="auto"/>
      </w:pPr>
      <w:r>
        <w:rPr>
          <w:b/>
          <w:bCs/>
          <w:color w:val="333B47"/>
          <w:sz w:val="15"/>
          <w:szCs w:val="15"/>
        </w:rPr>
        <w:t xml:space="preserve">Affiliation: </w:t>
      </w:r>
      <w:r>
        <w:rPr>
          <w:color w:val="3A4350"/>
          <w:sz w:val="15"/>
          <w:szCs w:val="15"/>
        </w:rPr>
        <w:t xml:space="preserve">Raul Astudillo, California Institute of Technology; Lin and Bakshy, Meta; Frazier, Cornell (author list of the PMLR/arXiv 2303.15746 record, per a search summary). Volume and pages from the PMLR entry.</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1E3A8A"/>
          <w:sz w:val="17"/>
          <w:szCs w:val="17"/>
        </w:rPr>
        <w:t xml:space="preserve">Summary. </w:t>
      </w:r>
      <w:r>
        <w:rPr>
          <w:sz w:val="17"/>
          <w:szCs w:val="17"/>
        </w:rPr>
        <w:t xml:space="preserve">Preferential Bayesian optimisation learns a decision maker's latent utility </w:t>
      </w:r>
      <m:oMath>
        <m:r>
          <m:t>f</m:t>
        </m:r>
      </m:oMath>
      <w:r>
        <w:rPr>
          <w:sz w:val="17"/>
          <w:szCs w:val="17"/>
        </w:rPr>
        <w:t xml:space="preserve"> from answers to queries of the form "which of these </w:t>
      </w:r>
      <m:oMath>
        <m:r>
          <m:t>q</m:t>
        </m:r>
      </m:oMath>
      <w:r>
        <w:rPr>
          <w:sz w:val="17"/>
          <w:szCs w:val="17"/>
        </w:rPr>
        <w:t xml:space="preserve"> options do you prefer?". The paper proposes qEUBO, the posterior expected utility of the best option in the query. It proves that, with noise-free responses, maximising qEUBO is one-step Bayes optimal and equivalent to the knowledge gradient, that is, to the value of information of the query for the final choice. With noisy responses it proves an additive-constant approximation guarantee to the one-step Bayes-optimal policy, and it shows that Bayesian simple regret goes to zero at rate </w:t>
      </w:r>
      <m:oMath>
        <m:r>
          <m:t>o</m:t>
        </m:r>
        <m:d>
          <m:dPr>
            <m:begChr m:val="("/>
            <m:sepChr m:val=""/>
            <m:endChr m:val=")"/>
            <m:grow/>
          </m:dPr>
          <m:e>
            <m:r>
              <m:t>1</m:t>
            </m:r>
            <m:r>
              <m:rPr>
                <m:sty m:val="p"/>
              </m:rPr>
              <m:t>/</m:t>
            </m:r>
            <m:r>
              <m:t>n</m:t>
            </m:r>
          </m:e>
        </m:d>
      </m:oMath>
      <w:r>
        <w:rPr>
          <w:sz w:val="17"/>
          <w:szCs w:val="17"/>
        </w:rPr>
        <w:t xml:space="preserve">, whereas simple regret under qEI can fail to converge.</w:t>
      </w:r>
    </w:p>
    <w:p>
      <w:pPr>
        <w:keepNext/>
        <w:spacing w:after="20" w:before="40"/>
      </w:pPr>
      <w:r>
        <w:rPr>
          <w:b/>
          <w:bCs/>
          <w:color w:val="1E3A8A"/>
          <w:sz w:val="17"/>
          <w:szCs w:val="17"/>
        </w:rPr>
        <w:t xml:space="preserve">Key equation.</w:t>
      </w:r>
      <w:r>
        <w:rPr>
          <w:i/>
          <w:iCs/>
          <w:color w:val="5B6573"/>
          <w:sz w:val="15"/>
          <w:szCs w:val="15"/>
        </w:rPr>
        <w:t xml:space="preserve">  The qEUBO acquisition: posterior expected utility of the best of the q queried options (representative formulation)</w:t>
      </w:r>
    </w:p>
    <w:p>
      <w:pPr>
        <w:pStyle w:val="Equation"/>
      </w:pPr>
      <m:oMathPara>
        <m:oMathParaPr>
          <m:jc m:val="center"/>
        </m:oMathParaPr>
        <m:oMath>
          <m:sSub>
            <m:e>
              <m:r>
                <m:rPr>
                  <m:nor/>
                </m:rPr>
                <m:t>qEUBO</m:t>
              </m:r>
            </m:e>
            <m:sub>
              <m:r>
                <m:t>n</m:t>
              </m:r>
            </m:sub>
          </m:sSub>
          <m:d>
            <m:dPr>
              <m:begChr m:val="("/>
              <m:sepChr m:val=""/>
              <m:endChr m:val=")"/>
              <m:grow/>
            </m:dPr>
            <m:e>
              <m:sSub>
                <m:e>
                  <m:r>
                    <m:t>x</m:t>
                  </m:r>
                </m:e>
                <m:sub>
                  <m:r>
                    <m:t>1</m:t>
                  </m:r>
                </m:sub>
              </m:sSub>
              <m:r>
                <m:rPr>
                  <m:sty m:val="p"/>
                </m:rPr>
                <m:t>,</m:t>
              </m:r>
              <m:r>
                <m:rPr>
                  <m:sty m:val="p"/>
                </m:rPr>
                <m:t>…</m:t>
              </m:r>
              <m:r>
                <m:rPr>
                  <m:sty m:val="p"/>
                </m:rPr>
                <m:t>,</m:t>
              </m:r>
              <m:sSub>
                <m:e>
                  <m:r>
                    <m:t>x</m:t>
                  </m:r>
                </m:e>
                <m:sub>
                  <m:r>
                    <m:t>q</m:t>
                  </m:r>
                </m:sub>
              </m:sSub>
            </m:e>
          </m:d>
          <m:r>
            <m:rPr>
              <m:sty m:val="p"/>
            </m:rPr>
            <m:t>=</m:t>
          </m:r>
          <m:sSub>
            <m:e>
              <m:r>
                <m:rPr>
                  <m:scr m:val="double-struck"/>
                  <m:sty m:val="p"/>
                </m:rPr>
                <m:t>E</m:t>
              </m:r>
            </m:e>
            <m:sub>
              <m:r>
                <m:t>n</m:t>
              </m:r>
            </m:sub>
          </m:sSub>
          <m:d>
            <m:dPr>
              <m:begChr m:val="["/>
              <m:sepChr m:val=""/>
              <m:endChr m:val="]"/>
              <m:grow/>
            </m:dPr>
            <m:e>
              <m:r>
                <m:rPr>
                  <m:sty m:val="p"/>
                </m:rPr>
                <m:t>max</m:t>
              </m:r>
              <m:d>
                <m:dPr>
                  <m:begChr m:val="{"/>
                  <m:sepChr m:val=""/>
                  <m:endChr m:val="}"/>
                  <m:grow/>
                </m:dPr>
                <m:e>
                  <m:r>
                    <m:t>f</m:t>
                  </m:r>
                  <m:d>
                    <m:dPr>
                      <m:begChr m:val="("/>
                      <m:sepChr m:val=""/>
                      <m:endChr m:val=")"/>
                      <m:grow/>
                    </m:dPr>
                    <m:e>
                      <m:sSub>
                        <m:e>
                          <m:r>
                            <m:t>x</m:t>
                          </m:r>
                        </m:e>
                        <m:sub>
                          <m:r>
                            <m:t>1</m:t>
                          </m:r>
                        </m:sub>
                      </m:sSub>
                    </m:e>
                  </m:d>
                  <m:r>
                    <m:rPr>
                      <m:sty m:val="p"/>
                    </m:rPr>
                    <m:t>,</m:t>
                  </m:r>
                  <m:r>
                    <m:rPr>
                      <m:sty m:val="p"/>
                    </m:rPr>
                    <m:t>…</m:t>
                  </m:r>
                  <m:r>
                    <m:rPr>
                      <m:sty m:val="p"/>
                    </m:rPr>
                    <m:t>,</m:t>
                  </m:r>
                  <m:r>
                    <m:t>f</m:t>
                  </m:r>
                  <m:d>
                    <m:dPr>
                      <m:begChr m:val="("/>
                      <m:sepChr m:val=""/>
                      <m:endChr m:val=")"/>
                      <m:grow/>
                    </m:dPr>
                    <m:e>
                      <m:sSub>
                        <m:e>
                          <m:r>
                            <m:t>x</m:t>
                          </m:r>
                        </m:e>
                        <m:sub>
                          <m:r>
                            <m:t>q</m:t>
                          </m:r>
                        </m:sub>
                      </m:sSub>
                    </m:e>
                  </m:d>
                </m:e>
              </m:d>
            </m:e>
          </m:d>
        </m:oMath>
      </m:oMathPara>
    </w:p>
    <w:p>
      <w:pPr>
        <w:spacing w:after="60"/>
        <w:jc w:val="both"/>
      </w:pPr>
      <m:oMath>
        <m:r>
          <m:t>f</m:t>
        </m:r>
      </m:oMath>
      <w:r>
        <w:rPr>
          <w:color w:val="3A4350"/>
          <w:sz w:val="15"/>
          <w:szCs w:val="15"/>
        </w:rPr>
        <w:t xml:space="preserve"> is the latent utility, </w:t>
      </w:r>
      <m:oMath>
        <m:sSub>
          <m:e>
            <m:r>
              <m:rPr>
                <m:scr m:val="double-struck"/>
                <m:sty m:val="p"/>
              </m:rPr>
              <m:t>E</m:t>
            </m:r>
          </m:e>
          <m:sub>
            <m:r>
              <m:t>n</m:t>
            </m:r>
          </m:sub>
        </m:sSub>
      </m:oMath>
      <w:r>
        <w:rPr>
          <w:color w:val="3A4350"/>
          <w:sz w:val="15"/>
          <w:szCs w:val="15"/>
        </w:rPr>
        <w:t xml:space="preserve"> the posterior expectation after </w:t>
      </w:r>
      <m:oMath>
        <m:r>
          <m:t>n</m:t>
        </m:r>
      </m:oMath>
      <w:r>
        <w:rPr>
          <w:color w:val="3A4350"/>
          <w:sz w:val="15"/>
          <w:szCs w:val="15"/>
        </w:rPr>
        <w:t xml:space="preserve"> answered queries and </w:t>
      </w:r>
      <m:oMath>
        <m:sSub>
          <m:e>
            <m:r>
              <m:t>x</m:t>
            </m:r>
          </m:e>
          <m:sub>
            <m:r>
              <m:t>1</m:t>
            </m:r>
          </m:sub>
        </m:sSub>
        <m:r>
          <m:rPr>
            <m:sty m:val="p"/>
          </m:rPr>
          <m:t>,</m:t>
        </m:r>
        <m:r>
          <m:rPr>
            <m:sty m:val="p"/>
          </m:rPr>
          <m:t>…</m:t>
        </m:r>
        <m:r>
          <m:rPr>
            <m:sty m:val="p"/>
          </m:rPr>
          <m:t>,</m:t>
        </m:r>
        <m:sSub>
          <m:e>
            <m:r>
              <m:t>x</m:t>
            </m:r>
          </m:e>
          <m:sub>
            <m:r>
              <m:t>q</m:t>
            </m:r>
          </m:sub>
        </m:sSub>
      </m:oMath>
      <w:r>
        <w:rPr>
          <w:color w:val="3A4350"/>
          <w:sz w:val="15"/>
          <w:szCs w:val="15"/>
        </w:rPr>
        <w:t xml:space="preserve"> the options shown; the knowledge gradient it matches in the noise-free case is the expected gain in the maximum of the posterior mean </w:t>
      </w:r>
      <m:oMath>
        <m:sSub>
          <m:e>
            <m:r>
              <m:t>μ</m:t>
            </m:r>
          </m:e>
          <m:sub>
            <m:r>
              <m:t>n</m:t>
            </m:r>
          </m:sub>
        </m:sSub>
      </m:oMath>
      <w:r>
        <w:rPr>
          <w:color w:val="3A4350"/>
          <w:sz w:val="15"/>
          <w:szCs w:val="15"/>
        </w:rPr>
        <w:t xml:space="preserve"> produced by the answer.</w:t>
      </w:r>
    </w:p>
    <w:p>
      <w:pPr>
        <w:spacing w:after="60"/>
        <w:jc w:val="both"/>
      </w:pPr>
      <w:r>
        <w:rPr>
          <w:b/>
          <w:bCs/>
          <w:color w:val="1E3A8A"/>
          <w:sz w:val="17"/>
          <w:szCs w:val="17"/>
        </w:rPr>
        <w:t xml:space="preserve">Link to the Fushë-Kuqe records. </w:t>
      </w:r>
      <w:r>
        <w:rPr>
          <w:sz w:val="17"/>
          <w:szCs w:val="17"/>
        </w:rPr>
        <w:t xml:space="preserve">Belongs to theme V (value of information for acquiring causal data). It computes how much an acquisition improves the final choice as the expected value of the best option. At Fushë-Kuqe a candidate merge plays the query and the final choice is which wells to cap, so a merge is worth its expected improvement of the best capping plan.</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shows that a simple, cheap criterion is exactly the decision-theoretic value of information when answers are noise-free and provably close to it when they are noisy, with a regret guarantee that the popular qEI lacks. Main-track AISTATS 2023; BoTorch implements it and cites the paper.</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theorems assume a Gaussian-process utility and repeatable comparison queries. Whether one-step Bayes optimality survives when the query is a one-off, privately computed merge of institutional records and the utility depends on a CATE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the proof that maximising the expected best utility of a query is one-step Bayes optimal (the knowledge gradient) without noise, an additive-constant guarantee with noise, and </w:t>
      </w:r>
      <m:oMath>
        <m:r>
          <m:t>o</m:t>
        </m:r>
        <m:d>
          <m:dPr>
            <m:begChr m:val="("/>
            <m:sepChr m:val=""/>
            <m:endChr m:val=")"/>
            <m:grow/>
          </m:dPr>
          <m:e>
            <m:r>
              <m:t>1</m:t>
            </m:r>
            <m:r>
              <m:rPr>
                <m:sty m:val="p"/>
              </m:rPr>
              <m:t>/</m:t>
            </m:r>
            <m:r>
              <m:t>n</m:t>
            </m:r>
          </m:e>
        </m:d>
      </m:oMath>
      <w:r>
        <w:rPr>
          <w:sz w:val="17"/>
          <w:szCs w:val="17"/>
        </w:rPr>
        <w:t xml:space="preserve"> Bayesian simple regret. Proposed extension: score each institution's merge by the posterior expected utility of the best capping plan after merging, computed under secure aggregation, and test on synthetic Fushë-Kuqe data whether this ranking caps fewer wells than an EIG ranking at equal salinisation risk.</w:t>
      </w:r>
    </w:p>
    <w:p>
      <w:pPr>
        <w:keepNext/>
        <w:pBdr>
          <w:top w:val="single" w:color="1E3A8A" w:sz="6" w:space="4"/>
        </w:pBdr>
        <w:spacing w:after="60" w:before="220"/>
      </w:pPr>
      <w:r>
        <w:rPr>
          <w:b/>
          <w:bCs/>
          <w:color w:val="1E3A8A"/>
          <w:sz w:val="23"/>
          <w:szCs w:val="23"/>
        </w:rPr>
        <w:t xml:space="preserve">V2  </w:t>
      </w:r>
      <w:r>
        <w:rPr>
          <w:b/>
          <w:bCs/>
          <w:color w:val="1F3864"/>
          <w:sz w:val="23"/>
          <w:szCs w:val="23"/>
        </w:rPr>
        <w:t xml:space="preserve">Estimators of Entropy and Information via Inference in Probabilistic Models</w:t>
      </w:r>
    </w:p>
    <w:p>
      <w:pPr>
        <w:keepNext/>
        <w:spacing w:after="60" w:line="240" w:lineRule="auto"/>
      </w:pPr>
      <w:r>
        <w:rPr>
          <w:b/>
          <w:bCs/>
          <w:color w:val="333B47"/>
          <w:sz w:val="15"/>
          <w:szCs w:val="15"/>
        </w:rPr>
        <w:t xml:space="preserve">Authors: </w:t>
      </w:r>
      <w:r>
        <w:rPr>
          <w:sz w:val="15"/>
          <w:szCs w:val="15"/>
        </w:rPr>
        <w:t xml:space="preserve">Feras Saad, Marco Cusumano-Towner, Vikash Mansinghka</w:t>
      </w:r>
      <w:r>
        <w:rPr>
          <w:sz w:val="15"/>
          <w:szCs w:val="15"/>
        </w:rPr>
        <w:t xml:space="preserve">   </w:t>
      </w:r>
      <w:r>
        <w:rPr>
          <w:b/>
          <w:bCs/>
          <w:color w:val="333B47"/>
          <w:sz w:val="15"/>
          <w:szCs w:val="15"/>
        </w:rPr>
        <w:t xml:space="preserve">Published in: </w:t>
      </w:r>
      <w:r>
        <w:rPr>
          <w:sz w:val="15"/>
          <w:szCs w:val="15"/>
        </w:rPr>
        <w:t xml:space="preserve">Proceedings of the 25th International Conference on Artificial Intelligence and Statistics (AISTATS), PMLR 151, 5604–5621 (2022)</w:t>
      </w:r>
      <w:r>
        <w:rPr>
          <w:sz w:val="15"/>
          <w:szCs w:val="15"/>
        </w:rPr>
        <w:t xml:space="preserve">   </w:t>
      </w:r>
      <w:r>
        <w:rPr>
          <w:b/>
          <w:bCs/>
          <w:color w:val="333B47"/>
          <w:sz w:val="15"/>
          <w:szCs w:val="15"/>
        </w:rPr>
        <w:t xml:space="preserve">Link: </w:t>
      </w:r>
      <w:hyperlink w:history="1" r:id="rIdsjo3hl_b7eclmvhpohlyk">
        <w:r>
          <w:rPr>
            <w:color w:val="1D4ED8"/>
            <w:sz w:val="15"/>
            <w:szCs w:val="15"/>
            <w:u w:val="single"/>
          </w:rPr>
          <w:t xml:space="preserve">https://proceedings.mlr.press/v151/saad22a.html</w:t>
        </w:r>
      </w:hyperlink>
    </w:p>
    <w:p>
      <w:pPr>
        <w:keepNext/>
        <w:spacing w:after="80" w:line="240" w:lineRule="auto"/>
      </w:pPr>
      <w:r>
        <w:rPr>
          <w:b/>
          <w:bCs/>
          <w:color w:val="333B47"/>
          <w:sz w:val="15"/>
          <w:szCs w:val="15"/>
        </w:rPr>
        <w:t xml:space="preserve">Affiliation: </w:t>
      </w:r>
      <w:r>
        <w:rPr>
          <w:color w:val="3A4350"/>
          <w:sz w:val="15"/>
          <w:szCs w:val="15"/>
        </w:rPr>
        <w:t xml:space="preserve">MIT: an MIT News article of April 2022 (news.mit.edu/2022/estimating-informativeness-data-0425) reports the work as MIT research (search result). Volume and pages from the PMLR entry; individual departments not checked.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(3/5)</w:t>
      </w:r>
    </w:p>
    <w:p>
      <w:pPr>
        <w:spacing w:after="60"/>
        <w:jc w:val="both"/>
      </w:pPr>
      <w:r>
        <w:rPr>
          <w:b/>
          <w:bCs/>
          <w:color w:val="1E3A8A"/>
          <w:sz w:val="17"/>
          <w:szCs w:val="17"/>
        </w:rPr>
        <w:t xml:space="preserve">Summary. </w:t>
      </w:r>
      <w:r>
        <w:rPr>
          <w:sz w:val="17"/>
          <w:szCs w:val="17"/>
        </w:rPr>
        <w:t xml:space="preserve">Choosing which measurement to take requires information quantities, such as the conditional mutual information between a latent diagnosis and a test result, that are intractable in most generative models. The paper introduces EEVI (estimators of entropy via inference), which turn importance-sampling proposals built from amortised variational inference or sequential Monte Carlo into estimators whose expectations are guaranteed upper and lower bounds on the entropy of arbitrary sets of variables. Combining such bounds gives interval estimates of (conditional) mutual information, which tighten as the proposal approaches the posterior. Demonstrations rank medical tests for liver disorders by informativeness and choose blood-glucose sampling times in a metabolic ODE model.</w:t>
      </w:r>
    </w:p>
    <w:p>
      <w:pPr>
        <w:keepNext/>
        <w:spacing w:after="20" w:before="40"/>
      </w:pPr>
      <w:r>
        <w:rPr>
          <w:b/>
          <w:bCs/>
          <w:color w:val="1E3A8A"/>
          <w:sz w:val="17"/>
          <w:szCs w:val="17"/>
        </w:rPr>
        <w:t xml:space="preserve">Key equation.</w:t>
      </w:r>
      <w:r>
        <w:rPr>
          <w:i/>
          <w:iCs/>
          <w:color w:val="5B6573"/>
          <w:sz w:val="15"/>
          <w:szCs w:val="15"/>
        </w:rPr>
        <w:t xml:space="preserve">  Sandwich bounds on the entropy of a variable from importance weights (representative formulation)</w:t>
      </w:r>
    </w:p>
    <w:p>
      <w:pPr>
        <w:pStyle w:val="Equation"/>
      </w:pPr>
      <m:oMathPara>
        <m:oMathParaPr>
          <m:jc m:val="center"/>
        </m:oMathParaPr>
        <m:oMath>
          <m:r>
            <m:rPr>
              <m:scr m:val="double-struck"/>
              <m:sty m:val="p"/>
            </m:rPr>
            <m:t>E</m:t>
          </m:r>
          <m:d>
            <m:dPr>
              <m:begChr m:val="["/>
              <m:sepChr m:val=""/>
              <m:endChr m:val="]"/>
              <m:grow/>
            </m:dPr>
            <m:e>
              <m:r>
                <m:rPr>
                  <m:sty m:val="p"/>
                </m:rPr>
                <m:t>−</m:t>
              </m:r>
              <m:r>
                <m:rPr>
                  <m:sty m:val="p"/>
                </m:rPr>
                <m:t>log</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p</m:t>
                      </m:r>
                      <m:d>
                        <m:dPr>
                          <m:begChr m:val="("/>
                          <m:sepChr m:val=""/>
                          <m:endChr m:val=")"/>
                          <m:grow/>
                        </m:dPr>
                        <m:e>
                          <m:r>
                            <m:t>X</m:t>
                          </m:r>
                          <m:r>
                            <m:rPr>
                              <m:sty m:val="p"/>
                            </m:rPr>
                            <m:t>,</m:t>
                          </m:r>
                          <m:sSubSup>
                            <m:e>
                              <m:r>
                                <m:t>Z</m:t>
                              </m:r>
                            </m:e>
                            <m:sub>
                              <m:r>
                                <m:t>i</m:t>
                              </m:r>
                            </m:sub>
                            <m:sup>
                              <m:r>
                                <m:rPr>
                                  <m:sty m:val="p"/>
                                </m:rPr>
                                <m:t>′</m:t>
                              </m:r>
                            </m:sup>
                          </m:sSubSup>
                        </m:e>
                      </m:d>
                    </m:num>
                    <m:den>
                      <m:r>
                        <m:t>q</m:t>
                      </m:r>
                      <m:d>
                        <m:dPr>
                          <m:begChr m:val="("/>
                          <m:sepChr m:val=""/>
                          <m:endChr m:val=")"/>
                          <m:grow/>
                        </m:dPr>
                        <m:e>
                          <m:sSubSup>
                            <m:e>
                              <m:r>
                                <m:t>Z</m:t>
                              </m:r>
                            </m:e>
                            <m:sub>
                              <m:r>
                                <m:t>i</m:t>
                              </m:r>
                            </m:sub>
                            <m:sup>
                              <m:r>
                                <m:rPr>
                                  <m:sty m:val="p"/>
                                </m:rPr>
                                <m:t>′</m:t>
                              </m:r>
                            </m:sup>
                          </m:sSubSup>
                          <m:r>
                            <m:rPr>
                              <m:sty m:val="p"/>
                            </m:rPr>
                            <m:t>∣</m:t>
                          </m:r>
                          <m:r>
                            <m:t>X</m:t>
                          </m:r>
                        </m:e>
                      </m:d>
                    </m:den>
                  </m:f>
                </m:e>
              </m:nary>
            </m:e>
          </m:d>
          <m:r>
            <m:rPr>
              <m:sty m:val="p"/>
            </m:rPr>
            <m:t>≤</m:t>
          </m:r>
          <m:r>
            <m:t>H</m:t>
          </m:r>
          <m:d>
            <m:dPr>
              <m:begChr m:val="("/>
              <m:sepChr m:val=""/>
              <m:endChr m:val=")"/>
              <m:grow/>
            </m:dPr>
            <m:e>
              <m:r>
                <m:t>X</m:t>
              </m:r>
            </m:e>
          </m:d>
          <m:r>
            <m:rPr>
              <m:sty m:val="p"/>
            </m:rPr>
            <m:t>≤</m:t>
          </m:r>
          <m:r>
            <m:rPr>
              <m:scr m:val="double-struck"/>
              <m:sty m:val="p"/>
            </m:rPr>
            <m:t>E</m:t>
          </m:r>
          <m:d>
            <m:dPr>
              <m:begChr m:val="["/>
              <m:sepChr m:val=""/>
              <m:endChr m:val="]"/>
              <m:grow/>
            </m:dPr>
            <m:e>
              <m:r>
                <m:rPr>
                  <m:sty m:val="p"/>
                </m:rPr>
                <m:t>−</m:t>
              </m:r>
              <m:r>
                <m:rPr>
                  <m:sty m:val="p"/>
                </m:rPr>
                <m:t>log</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p</m:t>
                      </m:r>
                      <m:d>
                        <m:dPr>
                          <m:begChr m:val="("/>
                          <m:sepChr m:val=""/>
                          <m:endChr m:val=")"/>
                          <m:grow/>
                        </m:dPr>
                        <m:e>
                          <m:r>
                            <m:t>X</m:t>
                          </m:r>
                          <m:r>
                            <m:rPr>
                              <m:sty m:val="p"/>
                            </m:rPr>
                            <m:t>,</m:t>
                          </m:r>
                          <m:sSub>
                            <m:e>
                              <m:r>
                                <m:t>Z</m:t>
                              </m:r>
                            </m:e>
                            <m:sub>
                              <m:r>
                                <m:t>i</m:t>
                              </m:r>
                            </m:sub>
                          </m:sSub>
                        </m:e>
                      </m:d>
                    </m:num>
                    <m:den>
                      <m:r>
                        <m:t>q</m:t>
                      </m:r>
                      <m:d>
                        <m:dPr>
                          <m:begChr m:val="("/>
                          <m:sepChr m:val=""/>
                          <m:endChr m:val=")"/>
                          <m:grow/>
                        </m:dPr>
                        <m:e>
                          <m:sSub>
                            <m:e>
                              <m:r>
                                <m:t>Z</m:t>
                              </m:r>
                            </m:e>
                            <m:sub>
                              <m:r>
                                <m:t>i</m:t>
                              </m:r>
                            </m:sub>
                          </m:sSub>
                          <m:r>
                            <m:rPr>
                              <m:sty m:val="p"/>
                            </m:rPr>
                            <m:t>∣</m:t>
                          </m:r>
                          <m:r>
                            <m:t>X</m:t>
                          </m:r>
                        </m:e>
                      </m:d>
                    </m:den>
                  </m:f>
                </m:e>
              </m:nary>
            </m:e>
          </m:d>
        </m:oMath>
      </m:oMathPara>
    </w:p>
    <w:p>
      <w:pPr>
        <w:spacing w:after="60"/>
        <w:jc w:val="both"/>
      </w:pPr>
      <m:oMath>
        <m:r>
          <m:t>p</m:t>
        </m:r>
        <m:d>
          <m:dPr>
            <m:begChr m:val="("/>
            <m:sepChr m:val=""/>
            <m:endChr m:val=")"/>
            <m:grow/>
          </m:dPr>
          <m:e>
            <m:r>
              <m:t>x</m:t>
            </m:r>
            <m:r>
              <m:rPr>
                <m:sty m:val="p"/>
              </m:rPr>
              <m:t>,</m:t>
            </m:r>
            <m:r>
              <m:t>z</m:t>
            </m:r>
          </m:e>
        </m:d>
      </m:oMath>
      <w:r>
        <w:rPr>
          <w:color w:val="3A4350"/>
          <w:sz w:val="15"/>
          <w:szCs w:val="15"/>
        </w:rPr>
        <w:t xml:space="preserve"> is the generative model with latent </w:t>
      </w:r>
      <m:oMath>
        <m:r>
          <m:t>z</m:t>
        </m:r>
      </m:oMath>
      <w:r>
        <w:rPr>
          <w:color w:val="3A4350"/>
          <w:sz w:val="15"/>
          <w:szCs w:val="15"/>
        </w:rPr>
        <w:t xml:space="preserve">, </w:t>
      </w:r>
      <m:oMath>
        <m:r>
          <m:t>q</m:t>
        </m:r>
      </m:oMath>
      <w:r>
        <w:rPr>
          <w:color w:val="3A4350"/>
          <w:sz w:val="15"/>
          <w:szCs w:val="15"/>
        </w:rPr>
        <w:t xml:space="preserve"> an inference proposal, </w:t>
      </w:r>
      <m:oMath>
        <m:sSub>
          <m:e>
            <m:r>
              <m:t>Z</m:t>
            </m:r>
          </m:e>
          <m:sub>
            <m:r>
              <m:t>1</m:t>
            </m:r>
          </m:sub>
        </m:sSub>
        <m:r>
          <m:rPr>
            <m:sty m:val="p"/>
          </m:rPr>
          <m:t>,</m:t>
        </m:r>
        <m:r>
          <m:rPr>
            <m:sty m:val="p"/>
          </m:rPr>
          <m:t>…</m:t>
        </m:r>
        <m:r>
          <m:rPr>
            <m:sty m:val="p"/>
          </m:rPr>
          <m:t>,</m:t>
        </m:r>
        <m:sSub>
          <m:e>
            <m:r>
              <m:t>Z</m:t>
            </m:r>
          </m:e>
          <m:sub>
            <m:r>
              <m:t>N</m:t>
            </m:r>
          </m:sub>
        </m:sSub>
      </m:oMath>
      <w:r>
        <w:rPr>
          <w:color w:val="3A4350"/>
          <w:sz w:val="15"/>
          <w:szCs w:val="15"/>
        </w:rPr>
        <w:t xml:space="preserve"> are drawn from </w:t>
      </w:r>
      <m:oMath>
        <m:r>
          <m:t>q</m:t>
        </m:r>
      </m:oMath>
      <w:r>
        <w:rPr>
          <w:color w:val="3A4350"/>
          <w:sz w:val="15"/>
          <w:szCs w:val="15"/>
        </w:rPr>
        <w:t xml:space="preserve">, and on the left </w:t>
      </w:r>
      <m:oMath>
        <m:sSubSup>
          <m:e>
            <m:r>
              <m:t>Z</m:t>
            </m:r>
          </m:e>
          <m:sub>
            <m:r>
              <m:t>1</m:t>
            </m:r>
          </m:sub>
          <m:sup>
            <m:r>
              <m:rPr>
                <m:sty m:val="p"/>
              </m:rPr>
              <m:t>′</m:t>
            </m:r>
          </m:sup>
        </m:sSubSup>
      </m:oMath>
      <w:r>
        <w:rPr>
          <w:color w:val="3A4350"/>
          <w:sz w:val="15"/>
          <w:szCs w:val="15"/>
        </w:rPr>
        <w:t xml:space="preserve"> is the exact latent simulated jointly with </w:t>
      </w:r>
      <m:oMath>
        <m:r>
          <m:t>X</m:t>
        </m:r>
      </m:oMath>
      <w:r>
        <w:rPr>
          <w:color w:val="3A4350"/>
          <w:sz w:val="15"/>
          <w:szCs w:val="15"/>
        </w:rPr>
        <w:t xml:space="preserve"> while the other </w:t>
      </w:r>
      <m:oMath>
        <m:sSubSup>
          <m:e>
            <m:r>
              <m:t>Z</m:t>
            </m:r>
          </m:e>
          <m:sub>
            <m:r>
              <m:t>i</m:t>
            </m:r>
          </m:sub>
          <m:sup>
            <m:r>
              <m:rPr>
                <m:sty m:val="p"/>
              </m:rPr>
              <m:t>′</m:t>
            </m:r>
          </m:sup>
        </m:sSubSup>
      </m:oMath>
      <w:r>
        <w:rPr>
          <w:color w:val="3A4350"/>
          <w:sz w:val="15"/>
          <w:szCs w:val="15"/>
        </w:rPr>
        <w:t xml:space="preserve"> come from </w:t>
      </w:r>
      <m:oMath>
        <m:r>
          <m:t>q</m:t>
        </m:r>
      </m:oMath>
      <w:r>
        <w:rPr>
          <w:color w:val="3A4350"/>
          <w:sz w:val="15"/>
          <w:szCs w:val="15"/>
        </w:rPr>
        <w:t xml:space="preserve">; mutual informations are sums and differences of such entropies.</w:t>
      </w:r>
    </w:p>
    <w:p>
      <w:pPr>
        <w:spacing w:after="60"/>
        <w:jc w:val="both"/>
      </w:pPr>
      <w:r>
        <w:rPr>
          <w:b/>
          <w:bCs/>
          <w:color w:val="1E3A8A"/>
          <w:sz w:val="17"/>
          <w:szCs w:val="17"/>
        </w:rPr>
        <w:t xml:space="preserve">Link to the Fushë-Kuqe records. </w:t>
      </w:r>
      <w:r>
        <w:rPr>
          <w:sz w:val="17"/>
          <w:szCs w:val="17"/>
        </w:rPr>
        <w:t xml:space="preserve">Belongs to theme V. The anchor's EIG of a merge is a conditional mutual information between the CATE and the records to be merged. EEVI brackets that number from above and below, so a decision such as "merge the hotels' wells first" can be taken only when the brackets of competing merges separate.</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replaces single, biased plug-in estimates of information by two-sided certified bounds that work for any variables of any simulable model and reuse existing inference machinery. Main-track AISTATS 2022, publicised by MIT News.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bounds are computed by one analyst holding the model and all samples. Computing them inside secure multi-party computation, with each institution holding its own wells and differential-privacy noise added, is open and new for aquifer records.</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general construction that turns inference proposals into provable upper and lower bounds on entropy and conditional mutual information for arbitrary variables. Proposed extension: compute EEVI brackets of the information gain about the coastal CATE for each institutional merge on simulated Fushë-Kuqe records, and test whether the brackets still separate the hotels' and irrigators' merges from the agency's after DP noise is added.</w:t>
      </w:r>
    </w:p>
    <w:p>
      <w:pPr>
        <w:keepNext/>
        <w:pBdr>
          <w:top w:val="single" w:color="1E3A8A" w:sz="6" w:space="4"/>
        </w:pBdr>
        <w:spacing w:after="60" w:before="220"/>
      </w:pPr>
      <w:r>
        <w:rPr>
          <w:b/>
          <w:bCs/>
          <w:color w:val="1E3A8A"/>
          <w:sz w:val="23"/>
          <w:szCs w:val="23"/>
        </w:rPr>
        <w:t xml:space="preserve">V3  </w:t>
      </w:r>
      <w:r>
        <w:rPr>
          <w:b/>
          <w:bCs/>
          <w:color w:val="1F3864"/>
          <w:sz w:val="23"/>
          <w:szCs w:val="23"/>
        </w:rPr>
        <w:t xml:space="preserve">Active Learning under Label Shift</w:t>
      </w:r>
    </w:p>
    <w:p>
      <w:pPr>
        <w:keepNext/>
        <w:spacing w:after="60" w:line="240" w:lineRule="auto"/>
      </w:pPr>
      <w:r>
        <w:rPr>
          <w:b/>
          <w:bCs/>
          <w:color w:val="333B47"/>
          <w:sz w:val="15"/>
          <w:szCs w:val="15"/>
        </w:rPr>
        <w:t xml:space="preserve">Authors: </w:t>
      </w:r>
      <w:r>
        <w:rPr>
          <w:sz w:val="15"/>
          <w:szCs w:val="15"/>
        </w:rPr>
        <w:t xml:space="preserve">Eric Zhao, Anqi Liu, Animashree Anandkumar, Yisong Yue</w:t>
      </w:r>
      <w:r>
        <w:rPr>
          <w:sz w:val="15"/>
          <w:szCs w:val="15"/>
        </w:rPr>
        <w:t xml:space="preserve">   </w:t>
      </w:r>
      <w:r>
        <w:rPr>
          <w:b/>
          <w:bCs/>
          <w:color w:val="333B47"/>
          <w:sz w:val="15"/>
          <w:szCs w:val="15"/>
        </w:rPr>
        <w:t xml:space="preserve">Published in: </w:t>
      </w:r>
      <w:r>
        <w:rPr>
          <w:sz w:val="15"/>
          <w:szCs w:val="15"/>
        </w:rPr>
        <w:t xml:space="preserve">Proceedings of the 24th International Conference on Artificial Intelligence and Statistics (AISTATS), PMLR 130, 3412–3420 (2021)</w:t>
      </w:r>
      <w:r>
        <w:rPr>
          <w:sz w:val="15"/>
          <w:szCs w:val="15"/>
        </w:rPr>
        <w:t xml:space="preserve">   </w:t>
      </w:r>
      <w:r>
        <w:rPr>
          <w:b/>
          <w:bCs/>
          <w:color w:val="333B47"/>
          <w:sz w:val="15"/>
          <w:szCs w:val="15"/>
        </w:rPr>
        <w:t xml:space="preserve">Link: </w:t>
      </w:r>
      <w:hyperlink w:history="1" r:id="rIds2pn0wgilhvti82mj1rl0">
        <w:r>
          <w:rPr>
            <w:color w:val="1D4ED8"/>
            <w:sz w:val="15"/>
            <w:szCs w:val="15"/>
            <w:u w:val="single"/>
          </w:rPr>
          <w:t xml:space="preserve">https://proceedings.mlr.press/v130/zhao21b.html</w:t>
        </w:r>
      </w:hyperlink>
    </w:p>
    <w:p>
      <w:pPr>
        <w:keepNext/>
        <w:spacing w:after="80" w:line="240" w:lineRule="auto"/>
      </w:pPr>
      <w:r>
        <w:rPr>
          <w:b/>
          <w:bCs/>
          <w:color w:val="333B47"/>
          <w:sz w:val="15"/>
          <w:szCs w:val="15"/>
        </w:rPr>
        <w:t xml:space="preserve">Affiliation: </w:t>
      </w:r>
      <w:r>
        <w:rPr>
          <w:color w:val="3A4350"/>
          <w:sz w:val="15"/>
          <w:szCs w:val="15"/>
        </w:rPr>
        <w:t xml:space="preserve">All four authors at Caltech (search summary of the CaltechAUTHORS record vat05-w9c33, which hosts the published PMLR PDF). Pages from the mlanthology BibTeX.</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1E3A8A"/>
          <w:sz w:val="17"/>
          <w:szCs w:val="17"/>
        </w:rPr>
        <w:t xml:space="preserve">Summary. </w:t>
      </w:r>
      <w:r>
        <w:rPr>
          <w:sz w:val="17"/>
          <w:szCs w:val="17"/>
        </w:rPr>
        <w:t xml:space="preserve">When the pool from which labels are bought has different class proportions from the target population, importance weighting removes the bias but has high variance, while class-balanced sampling is stable but biased. The paper introduces a "medial distribution" between source and target and the algorithm MALLS (mediated active learning under label shift), which subsamples towards the medial distribution and importance-weights the remainder. It proves sample-complexity and generalisation guarantees showing that active learning still reduces asymptotic sample complexity under arbitrary label shift; a uniform medial distribution splits the problem into imbalanced-source and imbalanced-target cases and gives a convenient upper bound. Experiments report up to 60% fewer labels in deep active learning.</w:t>
      </w:r>
    </w:p>
    <w:p>
      <w:pPr>
        <w:keepNext/>
        <w:spacing w:after="20" w:before="40"/>
      </w:pPr>
      <w:r>
        <w:rPr>
          <w:b/>
          <w:bCs/>
          <w:color w:val="1E3A8A"/>
          <w:sz w:val="17"/>
          <w:szCs w:val="17"/>
        </w:rPr>
        <w:t xml:space="preserve">Key equation.</w:t>
      </w:r>
      <w:r>
        <w:rPr>
          <w:i/>
          <w:iCs/>
          <w:color w:val="5B6573"/>
          <w:sz w:val="15"/>
          <w:szCs w:val="15"/>
        </w:rPr>
        <w:t xml:space="preserve">  Label-shift identity for the target risk, which MALLS splits between subsampling and importance weighting (representative formulation)</w:t>
      </w:r>
    </w:p>
    <w:p>
      <w:pPr>
        <w:pStyle w:val="Equation"/>
      </w:pPr>
      <m:oMathPara>
        <m:oMathParaPr>
          <m:jc m:val="center"/>
        </m:oMathParaPr>
        <m:oMath>
          <m:sSub>
            <m:e>
              <m:r>
                <m:t>R</m:t>
              </m:r>
            </m:e>
            <m:sub>
              <m:r>
                <m:rPr>
                  <m:nor/>
                </m:rPr>
                <m:t>target</m:t>
              </m:r>
            </m:sub>
          </m:sSub>
          <m:d>
            <m:dPr>
              <m:begChr m:val="("/>
              <m:sepChr m:val=""/>
              <m:endChr m:val=")"/>
              <m:grow/>
            </m:dPr>
            <m:e>
              <m:r>
                <m:t>h</m:t>
              </m:r>
            </m:e>
          </m:d>
          <m:r>
            <m:rPr>
              <m:sty m:val="p"/>
            </m:rPr>
            <m:t>=</m:t>
          </m:r>
          <m:sSub>
            <m:e>
              <m:r>
                <m:rPr>
                  <m:scr m:val="double-struck"/>
                  <m:sty m:val="p"/>
                </m:rPr>
                <m:t>E</m:t>
              </m:r>
            </m:e>
            <m:sub>
              <m:d>
                <m:dPr>
                  <m:begChr m:val="("/>
                  <m:sepChr m:val=""/>
                  <m:endChr m:val=")"/>
                  <m:grow/>
                </m:dPr>
                <m:e>
                  <m:r>
                    <m:t>x</m:t>
                  </m:r>
                  <m:r>
                    <m:rPr>
                      <m:sty m:val="p"/>
                    </m:rPr>
                    <m:t>,</m:t>
                  </m:r>
                  <m:r>
                    <m:t>y</m:t>
                  </m:r>
                </m:e>
              </m:d>
              <m:r>
                <m:rPr>
                  <m:sty m:val="p"/>
                </m:rPr>
                <m:t>∼</m:t>
              </m:r>
              <m:sSub>
                <m:e>
                  <m:r>
                    <m:t>p</m:t>
                  </m:r>
                </m:e>
                <m:sub>
                  <m:r>
                    <m:rPr>
                      <m:nor/>
                    </m:rPr>
                    <m:t>source</m:t>
                  </m:r>
                </m:sub>
              </m:sSub>
            </m:sub>
          </m:sSub>
          <m:d>
            <m:dPr>
              <m:begChr m:val="["/>
              <m:sepChr m:val=""/>
              <m:endChr m:val="]"/>
              <m:grow/>
            </m:dPr>
            <m:e>
              <m:f>
                <m:fPr>
                  <m:type m:val="bar"/>
                </m:fPr>
                <m:num>
                  <m:sSub>
                    <m:e>
                      <m:r>
                        <m:t>p</m:t>
                      </m:r>
                    </m:e>
                    <m:sub>
                      <m:r>
                        <m:rPr>
                          <m:nor/>
                        </m:rPr>
                        <m:t>target</m:t>
                      </m:r>
                    </m:sub>
                  </m:sSub>
                  <m:d>
                    <m:dPr>
                      <m:begChr m:val="("/>
                      <m:sepChr m:val=""/>
                      <m:endChr m:val=")"/>
                      <m:grow/>
                    </m:dPr>
                    <m:e>
                      <m:r>
                        <m:t>y</m:t>
                      </m:r>
                    </m:e>
                  </m:d>
                </m:num>
                <m:den>
                  <m:sSub>
                    <m:e>
                      <m:r>
                        <m:t>p</m:t>
                      </m:r>
                    </m:e>
                    <m:sub>
                      <m:r>
                        <m:rPr>
                          <m:nor/>
                        </m:rPr>
                        <m:t>source</m:t>
                      </m:r>
                    </m:sub>
                  </m:sSub>
                  <m:d>
                    <m:dPr>
                      <m:begChr m:val="("/>
                      <m:sepChr m:val=""/>
                      <m:endChr m:val=")"/>
                      <m:grow/>
                    </m:dPr>
                    <m:e>
                      <m:r>
                        <m:t>y</m:t>
                      </m:r>
                    </m:e>
                  </m:d>
                </m:den>
              </m:f>
              <m:r>
                <m:t> </m:t>
              </m:r>
              <m:r>
                <m:rPr>
                  <m:sty m:val="p"/>
                </m:rPr>
                <m:t>ℓ</m:t>
              </m:r>
              <m:d>
                <m:dPr>
                  <m:begChr m:val="("/>
                  <m:sepChr m:val=""/>
                  <m:endChr m:val=")"/>
                  <m:grow/>
                </m:dPr>
                <m:e>
                  <m:r>
                    <m:t>h</m:t>
                  </m:r>
                  <m:d>
                    <m:dPr>
                      <m:begChr m:val="("/>
                      <m:sepChr m:val=""/>
                      <m:endChr m:val=")"/>
                      <m:grow/>
                    </m:dPr>
                    <m:e>
                      <m:r>
                        <m:t>x</m:t>
                      </m:r>
                    </m:e>
                  </m:d>
                  <m:r>
                    <m:rPr>
                      <m:sty m:val="p"/>
                    </m:rPr>
                    <m:t>,</m:t>
                  </m:r>
                  <m:r>
                    <m:t>y</m:t>
                  </m:r>
                </m:e>
              </m:d>
            </m:e>
          </m:d>
        </m:oMath>
      </m:oMathPara>
    </w:p>
    <w:p>
      <w:pPr>
        <w:spacing w:after="60"/>
        <w:jc w:val="both"/>
      </w:pPr>
      <m:oMath>
        <m:r>
          <m:t>h</m:t>
        </m:r>
      </m:oMath>
      <w:r>
        <w:rPr>
          <w:color w:val="3A4350"/>
          <w:sz w:val="15"/>
          <w:szCs w:val="15"/>
        </w:rPr>
        <w:t xml:space="preserve"> is the classifier, </w:t>
      </w:r>
      <m:oMath>
        <m:r>
          <m:rPr>
            <m:sty m:val="p"/>
          </m:rPr>
          <m:t>ℓ</m:t>
        </m:r>
      </m:oMath>
      <w:r>
        <w:rPr>
          <w:color w:val="3A4350"/>
          <w:sz w:val="15"/>
          <w:szCs w:val="15"/>
        </w:rPr>
        <w:t xml:space="preserve"> the loss and </w:t>
      </w:r>
      <m:oMath>
        <m:sSub>
          <m:e>
            <m:r>
              <m:t>p</m:t>
            </m:r>
          </m:e>
          <m:sub>
            <m:r>
              <m:rPr>
                <m:nor/>
              </m:rPr>
              <m:t>source</m:t>
            </m:r>
          </m:sub>
        </m:sSub>
        <m:d>
          <m:dPr>
            <m:begChr m:val="("/>
            <m:sepChr m:val=""/>
            <m:endChr m:val=")"/>
            <m:grow/>
          </m:dPr>
          <m:e>
            <m:r>
              <m:t>y</m:t>
            </m:r>
          </m:e>
        </m:d>
      </m:oMath>
      <w:r>
        <w:rPr>
          <w:color w:val="3A4350"/>
          <w:sz w:val="15"/>
          <w:szCs w:val="15"/>
        </w:rPr>
        <w:t xml:space="preserve">, </w:t>
      </w:r>
      <m:oMath>
        <m:sSub>
          <m:e>
            <m:r>
              <m:t>p</m:t>
            </m:r>
          </m:e>
          <m:sub>
            <m:r>
              <m:rPr>
                <m:nor/>
              </m:rPr>
              <m:t>target</m:t>
            </m:r>
          </m:sub>
        </m:sSub>
        <m:d>
          <m:dPr>
            <m:begChr m:val="("/>
            <m:sepChr m:val=""/>
            <m:endChr m:val=")"/>
            <m:grow/>
          </m:dPr>
          <m:e>
            <m:r>
              <m:t>y</m:t>
            </m:r>
          </m:e>
        </m:d>
      </m:oMath>
      <w:r>
        <w:rPr>
          <w:color w:val="3A4350"/>
          <w:sz w:val="15"/>
          <w:szCs w:val="15"/>
        </w:rPr>
        <w:t xml:space="preserve"> the class proportions in the pool and in the target, with </w:t>
      </w:r>
      <m:oMath>
        <m:r>
          <m:t>p</m:t>
        </m:r>
        <m:d>
          <m:dPr>
            <m:begChr m:val="("/>
            <m:sepChr m:val=""/>
            <m:endChr m:val=")"/>
            <m:grow/>
          </m:dPr>
          <m:e>
            <m:r>
              <m:t>x</m:t>
            </m:r>
            <m:r>
              <m:rPr>
                <m:sty m:val="p"/>
              </m:rPr>
              <m:t>∣</m:t>
            </m:r>
            <m:r>
              <m:t>y</m:t>
            </m:r>
          </m:e>
        </m:d>
      </m:oMath>
      <w:r>
        <w:rPr>
          <w:color w:val="3A4350"/>
          <w:sz w:val="15"/>
          <w:szCs w:val="15"/>
        </w:rPr>
        <w:t xml:space="preserve"> shared; MALLS replaces this single weight by subsampling towards a medial class distribution followed by a smaller weight.</w:t>
      </w:r>
    </w:p>
    <w:p>
      <w:pPr>
        <w:spacing w:after="60"/>
        <w:jc w:val="both"/>
      </w:pPr>
      <w:r>
        <w:rPr>
          <w:b/>
          <w:bCs/>
          <w:color w:val="1E3A8A"/>
          <w:sz w:val="17"/>
          <w:szCs w:val="17"/>
        </w:rPr>
        <w:t xml:space="preserve">Link to the Fushë-Kuqe records. </w:t>
      </w:r>
      <w:r>
        <w:rPr>
          <w:sz w:val="17"/>
          <w:szCs w:val="17"/>
        </w:rPr>
        <w:t xml:space="preserve">Belongs to theme V. At Fushë-Kuqe the shifted "classes" are the treatment groups: the utility's records are almost all high-pumping, the hotels' are mixed. The medial distribution says how to buy records from a skewed source without the variance blow-up of pure reweighting, which is the overlap problem near the coast.</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The first framework for active learning under label shift with proved sample-complexity and generalisation guarantees, showing how to buy labels from a skewed pool without losing the gains of active learning. From the Caltech group of Anandkumar and Yue; main-track AISTATS 2021.</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guarantees cover classification with a shift in the label marginal only, not treatment-effect estimation where treatment and covariates (distance to sea, transmissivity) shift together across institutions. A medial distribution for covariate–treatment shift in CATE estimation would be new.</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the medial distribution, which trades the bias of class-balanced sampling against the variance of importance weighting, with sample-complexity bounds under arbitrary label shift. Proposed extension: treat (treatment, coastal zone) cells as classes, set a medial cell distribution between the merged sample and the coastal target, and test on synthetic Fushë-Kuqe records whether merging towards it gives lower CATE error per merged well than propensity reweighting.</w:t>
      </w:r>
    </w:p>
    <w:p>
      <w:pPr>
        <w:keepNext/>
        <w:pBdr>
          <w:top w:val="single" w:color="1E3A8A" w:sz="6" w:space="4"/>
        </w:pBdr>
        <w:spacing w:after="60" w:before="220"/>
      </w:pPr>
      <w:r>
        <w:rPr>
          <w:b/>
          <w:bCs/>
          <w:color w:val="1E3A8A"/>
          <w:sz w:val="23"/>
          <w:szCs w:val="23"/>
        </w:rPr>
        <w:t xml:space="preserve">V4  </w:t>
      </w:r>
      <w:r>
        <w:rPr>
          <w:b/>
          <w:bCs/>
          <w:color w:val="1F3864"/>
          <w:sz w:val="23"/>
          <w:szCs w:val="23"/>
        </w:rPr>
        <w:t xml:space="preserve">Identifying Causal-Effect Inference Failure with Uncertainty-Aware Models</w:t>
      </w:r>
    </w:p>
    <w:p>
      <w:pPr>
        <w:keepNext/>
        <w:spacing w:after="60" w:line="240" w:lineRule="auto"/>
      </w:pPr>
      <w:r>
        <w:rPr>
          <w:b/>
          <w:bCs/>
          <w:color w:val="333B47"/>
          <w:sz w:val="15"/>
          <w:szCs w:val="15"/>
        </w:rPr>
        <w:t xml:space="preserve">Authors: </w:t>
      </w:r>
      <w:r>
        <w:rPr>
          <w:sz w:val="15"/>
          <w:szCs w:val="15"/>
        </w:rPr>
        <w:t xml:space="preserve">Andrew Jesson, Sören Mindermann, Uri Shalit, Yarin Gal</w:t>
      </w:r>
      <w:r>
        <w:rPr>
          <w:sz w:val="15"/>
          <w:szCs w:val="15"/>
        </w:rPr>
        <w:t xml:space="preserve">   </w:t>
      </w:r>
      <w:r>
        <w:rPr>
          <w:b/>
          <w:bCs/>
          <w:color w:val="333B47"/>
          <w:sz w:val="15"/>
          <w:szCs w:val="15"/>
        </w:rPr>
        <w:t xml:space="preserve">Published in: </w:t>
      </w:r>
      <w:r>
        <w:rPr>
          <w:sz w:val="15"/>
          <w:szCs w:val="15"/>
        </w:rPr>
        <w:t xml:space="preserve">Advances in Neural Information Processing Systems 33 (NeurIPS 2020); arXiv 2007.00163</w:t>
      </w:r>
      <w:r>
        <w:rPr>
          <w:sz w:val="15"/>
          <w:szCs w:val="15"/>
        </w:rPr>
        <w:t xml:space="preserve">   </w:t>
      </w:r>
      <w:r>
        <w:rPr>
          <w:b/>
          <w:bCs/>
          <w:color w:val="333B47"/>
          <w:sz w:val="15"/>
          <w:szCs w:val="15"/>
        </w:rPr>
        <w:t xml:space="preserve">Link: </w:t>
      </w:r>
      <w:hyperlink w:history="1" r:id="rIdgdjcodnhjamxbwbqlcvww">
        <w:r>
          <w:rPr>
            <w:color w:val="1D4ED8"/>
            <w:sz w:val="15"/>
            <w:szCs w:val="15"/>
            <w:u w:val="single"/>
          </w:rPr>
          <w:t xml:space="preserve">https://proceedings.nips.cc/paper_files/paper/2020/file/860b37e28ec7ba614f00f9246949561d-Paper.pdf</w:t>
        </w:r>
      </w:hyperlink>
    </w:p>
    <w:p>
      <w:pPr>
        <w:keepNext/>
        <w:spacing w:after="80" w:line="240" w:lineRule="auto"/>
      </w:pPr>
      <w:r>
        <w:rPr>
          <w:b/>
          <w:bCs/>
          <w:color w:val="333B47"/>
          <w:sz w:val="15"/>
          <w:szCs w:val="15"/>
        </w:rPr>
        <w:t xml:space="preserve">Affiliation: </w:t>
      </w:r>
      <w:r>
        <w:rPr>
          <w:color w:val="3A4350"/>
          <w:sz w:val="15"/>
          <w:szCs w:val="15"/>
        </w:rPr>
        <w:t xml:space="preserve">Jesson, Mindermann and Gal, University of Oxford (OATML group; the paper is on the OATML publications page at oatml.cs.ox.ac.uk); Shalit, Technion (search summary of the paper).</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(2/5)</w:t>
      </w:r>
    </w:p>
    <w:p>
      <w:pPr>
        <w:spacing w:after="60"/>
        <w:jc w:val="both"/>
      </w:pPr>
      <w:r>
        <w:rPr>
          <w:b/>
          <w:bCs/>
          <w:color w:val="1E3A8A"/>
          <w:sz w:val="17"/>
          <w:szCs w:val="17"/>
        </w:rPr>
        <w:t xml:space="preserve">Summary. </w:t>
      </w:r>
      <w:r>
        <w:rPr>
          <w:sz w:val="17"/>
          <w:szCs w:val="17"/>
        </w:rPr>
        <w:t xml:space="preserve">Neural estimators of conditional average treatment effects give confident answers even where treated and control units do not overlap, or where test individuals differ from the training data. The paper adds Bayesian (epistemic) uncertainty to a class of state-of-the-art neural CATE estimators and uses it to flag individuals whose effect estimate should not be trusted, so that decisions about them are deferred. In experiments the uncertainty-based rule handles no-overlap and covariate shift better than rules based on the propensity score.</w:t>
      </w:r>
    </w:p>
    <w:p>
      <w:pPr>
        <w:keepNext/>
        <w:spacing w:after="20" w:before="40"/>
      </w:pPr>
      <w:r>
        <w:rPr>
          <w:b/>
          <w:bCs/>
          <w:color w:val="1E3A8A"/>
          <w:sz w:val="17"/>
          <w:szCs w:val="17"/>
        </w:rPr>
        <w:t xml:space="preserve">Key equation.</w:t>
      </w:r>
      <w:r>
        <w:rPr>
          <w:i/>
          <w:iCs/>
          <w:color w:val="5B6573"/>
          <w:sz w:val="15"/>
          <w:szCs w:val="15"/>
        </w:rPr>
        <w:t xml:space="preserve">  Epistemic variance of the CATE estimate under the parameter posterior (representative formulation)</w:t>
      </w:r>
    </w:p>
    <w:p>
      <w:pPr>
        <w:pStyle w:val="Equation"/>
      </w:pPr>
      <m:oMathPara>
        <m:oMathParaPr>
          <m:jc m:val="center"/>
        </m:oMathParaPr>
        <m:oMath>
          <m:sSub>
            <m:e>
              <m:r>
                <m:rPr>
                  <m:nor/>
                </m:rPr>
                <m:t>Var</m:t>
              </m:r>
            </m:e>
            <m:sub>
              <m:r>
                <m:t>p</m:t>
              </m:r>
              <m:d>
                <m:dPr>
                  <m:begChr m:val="("/>
                  <m:sepChr m:val=""/>
                  <m:endChr m:val=")"/>
                  <m:grow/>
                </m:dPr>
                <m:e>
                  <m:r>
                    <m:t>ω</m:t>
                  </m:r>
                  <m:r>
                    <m:rPr>
                      <m:sty m:val="p"/>
                    </m:rPr>
                    <m:t>∣</m:t>
                  </m:r>
                  <m:r>
                    <m:rPr>
                      <m:scr m:val="script"/>
                      <m:sty m:val="p"/>
                    </m:rPr>
                    <m:t>D</m:t>
                  </m:r>
                </m:e>
              </m:d>
            </m:sub>
          </m:sSub>
          <m:d>
            <m:dPr>
              <m:begChr m:val="["/>
              <m:sepChr m:val=""/>
              <m:endChr m:val="]"/>
              <m:grow/>
            </m:dPr>
            <m:e>
              <m:sSub>
                <m:e>
                  <m:r>
                    <m:t>τ</m:t>
                  </m:r>
                </m:e>
                <m:sub>
                  <m:r>
                    <m:t>ω</m:t>
                  </m:r>
                </m:sub>
              </m:sSub>
              <m:d>
                <m:dPr>
                  <m:begChr m:val="("/>
                  <m:sepChr m:val=""/>
                  <m:endChr m:val=")"/>
                  <m:grow/>
                </m:dPr>
                <m:e>
                  <m:r>
                    <m:t>x</m:t>
                  </m:r>
                </m:e>
              </m:d>
            </m:e>
          </m:d>
          <m:r>
            <m:rPr>
              <m:sty m:val="p"/>
            </m:rPr>
            <m:t>,</m:t>
          </m:r>
          <m:r>
            <m:t> </m:t>
          </m:r>
          <m:sSub>
            <m:e>
              <m:r>
                <m:t>τ</m:t>
              </m:r>
            </m:e>
            <m:sub>
              <m:r>
                <m:t>ω</m:t>
              </m:r>
            </m:sub>
          </m:sSub>
          <m:d>
            <m:dPr>
              <m:begChr m:val="("/>
              <m:sepChr m:val=""/>
              <m:endChr m:val=")"/>
              <m:grow/>
            </m:dPr>
            <m:e>
              <m:r>
                <m:t>x</m:t>
              </m:r>
            </m:e>
          </m:d>
          <m:r>
            <m:rPr>
              <m:sty m:val="p"/>
            </m:rPr>
            <m:t>=</m:t>
          </m:r>
          <m:sSubSup>
            <m:e>
              <m:r>
                <m:t>μ</m:t>
              </m:r>
            </m:e>
            <m:sub>
              <m:r>
                <m:t>ω</m:t>
              </m:r>
            </m:sub>
            <m:sup>
              <m:r>
                <m:t>1</m:t>
              </m:r>
            </m:sup>
          </m:sSubSup>
          <m:d>
            <m:dPr>
              <m:begChr m:val="("/>
              <m:sepChr m:val=""/>
              <m:endChr m:val=")"/>
              <m:grow/>
            </m:dPr>
            <m:e>
              <m:r>
                <m:t>x</m:t>
              </m:r>
            </m:e>
          </m:d>
          <m:r>
            <m:rPr>
              <m:sty m:val="p"/>
            </m:rPr>
            <m:t>−</m:t>
          </m:r>
          <m:sSubSup>
            <m:e>
              <m:r>
                <m:t>μ</m:t>
              </m:r>
            </m:e>
            <m:sub>
              <m:r>
                <m:t>ω</m:t>
              </m:r>
            </m:sub>
            <m:sup>
              <m:r>
                <m:t>0</m:t>
              </m:r>
            </m:sup>
          </m:sSubSup>
          <m:d>
            <m:dPr>
              <m:begChr m:val="("/>
              <m:sepChr m:val=""/>
              <m:endChr m:val=")"/>
              <m:grow/>
            </m:dPr>
            <m:e>
              <m:r>
                <m:t>x</m:t>
              </m:r>
            </m:e>
          </m:d>
        </m:oMath>
      </m:oMathPara>
    </w:p>
    <w:p>
      <w:pPr>
        <w:spacing w:after="60"/>
        <w:jc w:val="both"/>
      </w:pPr>
      <m:oMath>
        <m:r>
          <m:t>ω</m:t>
        </m:r>
      </m:oMath>
      <w:r>
        <w:rPr>
          <w:color w:val="3A4350"/>
          <w:sz w:val="15"/>
          <w:szCs w:val="15"/>
        </w:rPr>
        <w:t xml:space="preserve"> are the network parameters with posterior </w:t>
      </w:r>
      <m:oMath>
        <m:r>
          <m:t>p</m:t>
        </m:r>
        <m:d>
          <m:dPr>
            <m:begChr m:val="("/>
            <m:sepChr m:val=""/>
            <m:endChr m:val=")"/>
            <m:grow/>
          </m:dPr>
          <m:e>
            <m:r>
              <m:t>ω</m:t>
            </m:r>
            <m:r>
              <m:rPr>
                <m:sty m:val="p"/>
              </m:rPr>
              <m:t>∣</m:t>
            </m:r>
            <m:r>
              <m:rPr>
                <m:scr m:val="script"/>
                <m:sty m:val="p"/>
              </m:rPr>
              <m:t>D</m:t>
            </m:r>
          </m:e>
        </m:d>
      </m:oMath>
      <w:r>
        <w:rPr>
          <w:color w:val="3A4350"/>
          <w:sz w:val="15"/>
          <w:szCs w:val="15"/>
        </w:rPr>
        <w:t xml:space="preserve">, and </w:t>
      </w:r>
      <m:oMath>
        <m:sSubSup>
          <m:e>
            <m:r>
              <m:t>μ</m:t>
            </m:r>
          </m:e>
          <m:sub>
            <m:r>
              <m:t>ω</m:t>
            </m:r>
          </m:sub>
          <m:sup>
            <m:r>
              <m:t>1</m:t>
            </m:r>
          </m:sup>
        </m:sSubSup>
      </m:oMath>
      <w:r>
        <w:rPr>
          <w:color w:val="3A4350"/>
          <w:sz w:val="15"/>
          <w:szCs w:val="15"/>
        </w:rPr>
        <w:t xml:space="preserve">, </w:t>
      </w:r>
      <m:oMath>
        <m:sSubSup>
          <m:e>
            <m:r>
              <m:t>μ</m:t>
            </m:r>
          </m:e>
          <m:sub>
            <m:r>
              <m:t>ω</m:t>
            </m:r>
          </m:sub>
          <m:sup>
            <m:r>
              <m:t>0</m:t>
            </m:r>
          </m:sup>
        </m:sSubSup>
      </m:oMath>
      <w:r>
        <w:rPr>
          <w:color w:val="3A4350"/>
          <w:sz w:val="15"/>
          <w:szCs w:val="15"/>
        </w:rPr>
        <w:t xml:space="preserve"> the predicted outcomes with and without treatment at covariates </w:t>
      </w:r>
      <m:oMath>
        <m:r>
          <m:t>x</m:t>
        </m:r>
      </m:oMath>
      <w:r>
        <w:rPr>
          <w:color w:val="3A4350"/>
          <w:sz w:val="15"/>
          <w:szCs w:val="15"/>
        </w:rPr>
        <w:t xml:space="preserve">.</w:t>
      </w:r>
    </w:p>
    <w:p>
      <w:pPr>
        <w:spacing w:after="60"/>
        <w:jc w:val="both"/>
      </w:pPr>
      <w:r>
        <w:rPr>
          <w:b/>
          <w:bCs/>
          <w:color w:val="1E3A8A"/>
          <w:sz w:val="17"/>
          <w:szCs w:val="17"/>
        </w:rPr>
        <w:t xml:space="preserve">Link to the Fushë-Kuqe records. </w:t>
      </w:r>
      <w:r>
        <w:rPr>
          <w:sz w:val="17"/>
          <w:szCs w:val="17"/>
        </w:rPr>
        <w:t xml:space="preserve">Belongs to theme V. Near the Fushë-Kuqe coast few wells are pumped lightly, so CATE estimates there rest on extrapolation. Epistemic CATE variance locates where merged records would be most valuable, the region where the anchor's EIG concentrates, and flags coastal wells whose capping decision should wait.</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An early, widely cited demonstration that epistemic uncertainty, not the propensity score alone, is the right signal for where causal-effect estimates fail. Main-track NeurIPS 2020, from Gal's OATML group with Shalit.</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paper flags uncertain individuals but does not ask which external dataset would remove that uncertainty, or at what privacy cost; turning the flagged region into a merge criterion across institutions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uncertainty-aware neural CATE estimation used to detect overlap failure and covariate shift, with a rejection rule. Proposed extension: compute the epistemic CATE variance at coastal wells before and after each candidate merge, using summary statistics exchanged under MPC, and test whether the variance reduction at those wells predicts the anchor's EIG ranking of the five institutions.</w:t>
      </w:r>
    </w:p>
    <w:p>
      <w:pPr>
        <w:keepNext/>
        <w:pBdr>
          <w:top w:val="single" w:color="1E3A8A" w:sz="6" w:space="4"/>
        </w:pBdr>
        <w:spacing w:after="60" w:before="220"/>
      </w:pPr>
      <w:r>
        <w:rPr>
          <w:b/>
          <w:bCs/>
          <w:color w:val="1E3A8A"/>
          <w:sz w:val="23"/>
          <w:szCs w:val="23"/>
        </w:rPr>
        <w:t xml:space="preserve">V5  </w:t>
      </w:r>
      <w:r>
        <w:rPr>
          <w:b/>
          <w:bCs/>
          <w:color w:val="1F3864"/>
          <w:sz w:val="23"/>
          <w:szCs w:val="23"/>
        </w:rPr>
        <w:t xml:space="preserve">Rethinking Aleatoric and Epistemic Uncertainty</w:t>
      </w:r>
    </w:p>
    <w:p>
      <w:pPr>
        <w:keepNext/>
        <w:spacing w:after="60" w:line="240" w:lineRule="auto"/>
      </w:pPr>
      <w:r>
        <w:rPr>
          <w:b/>
          <w:bCs/>
          <w:color w:val="333B47"/>
          <w:sz w:val="15"/>
          <w:szCs w:val="15"/>
        </w:rPr>
        <w:t xml:space="preserve">Authors: </w:t>
      </w:r>
      <w:r>
        <w:rPr>
          <w:sz w:val="15"/>
          <w:szCs w:val="15"/>
        </w:rPr>
        <w:t xml:space="preserve">Freddie Bickford Smith, Jannik Kossen, Eleanor Trollope, Mark van der Wilk, Adam Foster, Tom Rainforth</w:t>
      </w:r>
      <w:r>
        <w:rPr>
          <w:sz w:val="15"/>
          <w:szCs w:val="15"/>
        </w:rPr>
        <w:t xml:space="preserve">   </w:t>
      </w:r>
      <w:r>
        <w:rPr>
          <w:b/>
          <w:bCs/>
          <w:color w:val="333B47"/>
          <w:sz w:val="15"/>
          <w:szCs w:val="15"/>
        </w:rPr>
        <w:t xml:space="preserve">Published in: </w:t>
      </w:r>
      <w:r>
        <w:rPr>
          <w:sz w:val="15"/>
          <w:szCs w:val="15"/>
        </w:rPr>
        <w:t xml:space="preserve">Proceedings of the 42nd International Conference on Machine Learning (ICML), PMLR 267, 4345–4359 (2025)</w:t>
      </w:r>
      <w:r>
        <w:rPr>
          <w:sz w:val="15"/>
          <w:szCs w:val="15"/>
        </w:rPr>
        <w:t xml:space="preserve">   </w:t>
      </w:r>
      <w:r>
        <w:rPr>
          <w:b/>
          <w:bCs/>
          <w:color w:val="333B47"/>
          <w:sz w:val="15"/>
          <w:szCs w:val="15"/>
        </w:rPr>
        <w:t xml:space="preserve">Link: </w:t>
      </w:r>
      <w:hyperlink w:history="1" r:id="rId4ziqwijgeptwkzelk-yx0">
        <w:r>
          <w:rPr>
            <w:color w:val="1D4ED8"/>
            <w:sz w:val="15"/>
            <w:szCs w:val="15"/>
            <w:u w:val="single"/>
          </w:rPr>
          <w:t xml:space="preserve">https://proceedings.mlr.press/v267/bickford-smith25a.html</w:t>
        </w:r>
      </w:hyperlink>
    </w:p>
    <w:p>
      <w:pPr>
        <w:keepNext/>
        <w:spacing w:after="80" w:line="240" w:lineRule="auto"/>
      </w:pPr>
      <w:r>
        <w:rPr>
          <w:b/>
          <w:bCs/>
          <w:color w:val="333B47"/>
          <w:sz w:val="15"/>
          <w:szCs w:val="15"/>
        </w:rPr>
        <w:t xml:space="preserve">Affiliation: </w:t>
      </w:r>
      <w:r>
        <w:rPr>
          <w:color w:val="3A4350"/>
          <w:sz w:val="15"/>
          <w:szCs w:val="15"/>
        </w:rPr>
        <w:t xml:space="preserve">Oxford: the paper is listed on the publications page of OATML, Department of Computer Science, University of Oxford (oatml.cs.ox.ac.uk), per a search result. Volume and pages from the PMLR entry; the affiliations of Kossen and Foster at the time were not checked.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(3/5)</w:t>
      </w:r>
    </w:p>
    <w:p>
      <w:pPr>
        <w:spacing w:after="60"/>
        <w:jc w:val="both"/>
      </w:pPr>
      <w:r>
        <w:rPr>
          <w:b/>
          <w:bCs/>
          <w:color w:val="1E3A8A"/>
          <w:sz w:val="17"/>
          <w:szCs w:val="17"/>
        </w:rPr>
        <w:t xml:space="preserve">Summary. </w:t>
      </w:r>
      <w:r>
        <w:rPr>
          <w:sz w:val="17"/>
          <w:szCs w:val="17"/>
        </w:rPr>
        <w:t xml:space="preserve">The paper argues that the split into aleatoric and epistemic uncertainty is too coarse to capture what researchers care about, and rebuilds it from decision theory. Given a final decision and its loss, predictive uncertainty is defined as the expected loss of acting Bayes-optimally under current beliefs; variance and Shannon entropy are special cases. Asking how this uncertainty would change with new data gives an expected uncertainty reduction, which separates reducible from irreducible uncertainty and from data dispersion. The authors show that popular information-theoretic quantities such as BALD can be poor estimators of what they are often said to measure, while remaining useful for guiding data acquisition.</w:t>
      </w:r>
    </w:p>
    <w:p>
      <w:pPr>
        <w:keepNext/>
        <w:spacing w:after="20" w:before="40"/>
      </w:pPr>
      <w:r>
        <w:rPr>
          <w:b/>
          <w:bCs/>
          <w:color w:val="1E3A8A"/>
          <w:sz w:val="17"/>
          <w:szCs w:val="17"/>
        </w:rPr>
        <w:t xml:space="preserve">Key equation.</w:t>
      </w:r>
      <w:r>
        <w:rPr>
          <w:i/>
          <w:iCs/>
          <w:color w:val="5B6573"/>
          <w:sz w:val="15"/>
          <w:szCs w:val="15"/>
        </w:rPr>
        <w:t xml:space="preserve">  Decision-theoretic uncertainty and its expected reduction from prospective data (representative formulation)</w:t>
      </w:r>
    </w:p>
    <w:p>
      <w:pPr>
        <w:pStyle w:val="Equation"/>
      </w:pPr>
      <m:oMathPara>
        <m:oMathParaPr>
          <m:jc m:val="center"/>
        </m:oMathParaPr>
        <m:oMath>
          <m:r>
            <m:t>h</m:t>
          </m:r>
          <m:d>
            <m:dPr>
              <m:begChr m:val="["/>
              <m:sepChr m:val=""/>
              <m:endChr m:val="]"/>
              <m:grow/>
            </m:dPr>
            <m:e>
              <m:r>
                <m:t>p</m:t>
              </m:r>
              <m:d>
                <m:dPr>
                  <m:begChr m:val="("/>
                  <m:sepChr m:val=""/>
                  <m:endChr m:val=")"/>
                  <m:grow/>
                </m:dPr>
                <m:e>
                  <m:r>
                    <m:t>z</m:t>
                  </m:r>
                </m:e>
              </m:d>
            </m:e>
          </m:d>
          <m:r>
            <m:rPr>
              <m:sty m:val="p"/>
            </m:rPr>
            <m:t>=</m:t>
          </m:r>
          <m:limLow>
            <m:e>
              <m:r>
                <m:rPr>
                  <m:sty m:val="p"/>
                </m:rPr>
                <m:t>min</m:t>
              </m:r>
            </m:e>
            <m:lim>
              <m:r>
                <m:t>a</m:t>
              </m:r>
            </m:lim>
          </m:limLow>
          <m:sSub>
            <m:e>
              <m:r>
                <m:rPr>
                  <m:scr m:val="double-struck"/>
                  <m:sty m:val="p"/>
                </m:rPr>
                <m:t>E</m:t>
              </m:r>
            </m:e>
            <m:sub>
              <m:r>
                <m:t>p</m:t>
              </m:r>
              <m:d>
                <m:dPr>
                  <m:begChr m:val="("/>
                  <m:sepChr m:val=""/>
                  <m:endChr m:val=")"/>
                  <m:grow/>
                </m:dPr>
                <m:e>
                  <m:r>
                    <m:t>z</m:t>
                  </m:r>
                </m:e>
              </m:d>
            </m:sub>
          </m:sSub>
          <m:d>
            <m:dPr>
              <m:begChr m:val="["/>
              <m:sepChr m:val=""/>
              <m:endChr m:val="]"/>
              <m:grow/>
            </m:dPr>
            <m:e>
              <m:r>
                <m:rPr>
                  <m:sty m:val="p"/>
                </m:rPr>
                <m:t>ℓ</m:t>
              </m:r>
              <m:d>
                <m:dPr>
                  <m:begChr m:val="("/>
                  <m:sepChr m:val=""/>
                  <m:endChr m:val=")"/>
                  <m:grow/>
                </m:dPr>
                <m:e>
                  <m:r>
                    <m:t>a</m:t>
                  </m:r>
                  <m:r>
                    <m:rPr>
                      <m:sty m:val="p"/>
                    </m:rPr>
                    <m:t>,</m:t>
                  </m:r>
                  <m:r>
                    <m:t>z</m:t>
                  </m:r>
                </m:e>
              </m:d>
            </m:e>
          </m:d>
          <m:r>
            <m:rPr>
              <m:sty m:val="p"/>
            </m:rPr>
            <m:t>,</m:t>
          </m:r>
          <m:r>
            <m:t> </m:t>
          </m:r>
          <m:r>
            <m:rPr>
              <m:nor/>
            </m:rPr>
            <m:t>EUR</m:t>
          </m:r>
          <m:d>
            <m:dPr>
              <m:begChr m:val="("/>
              <m:sepChr m:val=""/>
              <m:endChr m:val=")"/>
              <m:grow/>
            </m:dPr>
            <m:e>
              <m:r>
                <m:rPr>
                  <m:scr m:val="script"/>
                  <m:sty m:val="p"/>
                </m:rPr>
                <m:t>D</m:t>
              </m:r>
            </m:e>
          </m:d>
          <m:r>
            <m:rPr>
              <m:sty m:val="p"/>
            </m:rPr>
            <m:t>=</m:t>
          </m:r>
          <m:r>
            <m:t>h</m:t>
          </m:r>
          <m:d>
            <m:dPr>
              <m:begChr m:val="["/>
              <m:sepChr m:val=""/>
              <m:endChr m:val="]"/>
              <m:grow/>
            </m:dPr>
            <m:e>
              <m:r>
                <m:t>p</m:t>
              </m:r>
              <m:d>
                <m:dPr>
                  <m:begChr m:val="("/>
                  <m:sepChr m:val=""/>
                  <m:endChr m:val=")"/>
                  <m:grow/>
                </m:dPr>
                <m:e>
                  <m:r>
                    <m:t>z</m:t>
                  </m:r>
                </m:e>
              </m:d>
            </m:e>
          </m:d>
          <m:r>
            <m:rPr>
              <m:sty m:val="p"/>
            </m:rPr>
            <m:t>−</m:t>
          </m:r>
          <m:sSub>
            <m:e>
              <m:r>
                <m:rPr>
                  <m:scr m:val="double-struck"/>
                  <m:sty m:val="p"/>
                </m:rPr>
                <m:t>E</m:t>
              </m:r>
            </m:e>
            <m:sub>
              <m:r>
                <m:t>p</m:t>
              </m:r>
              <m:d>
                <m:dPr>
                  <m:begChr m:val="("/>
                  <m:sepChr m:val=""/>
                  <m:endChr m:val=")"/>
                  <m:grow/>
                </m:dPr>
                <m:e>
                  <m:r>
                    <m:rPr>
                      <m:scr m:val="script"/>
                      <m:sty m:val="p"/>
                    </m:rPr>
                    <m:t>D</m:t>
                  </m:r>
                </m:e>
              </m:d>
            </m:sub>
          </m:sSub>
          <m:d>
            <m:dPr>
              <m:begChr m:val="["/>
              <m:sepChr m:val=""/>
              <m:endChr m:val="]"/>
              <m:grow/>
            </m:dPr>
            <m:e>
              <m:r>
                <m:t>h</m:t>
              </m:r>
              <m:d>
                <m:dPr>
                  <m:begChr m:val="["/>
                  <m:sepChr m:val=""/>
                  <m:endChr m:val="]"/>
                  <m:grow/>
                </m:dPr>
                <m:e>
                  <m:r>
                    <m:t>p</m:t>
                  </m:r>
                  <m:d>
                    <m:dPr>
                      <m:begChr m:val="("/>
                      <m:sepChr m:val=""/>
                      <m:endChr m:val=")"/>
                      <m:grow/>
                    </m:dPr>
                    <m:e>
                      <m:r>
                        <m:t>z</m:t>
                      </m:r>
                      <m:r>
                        <m:rPr>
                          <m:sty m:val="p"/>
                        </m:rPr>
                        <m:t>∣</m:t>
                      </m:r>
                      <m:r>
                        <m:rPr>
                          <m:scr m:val="script"/>
                          <m:sty m:val="p"/>
                        </m:rPr>
                        <m:t>D</m:t>
                      </m:r>
                    </m:e>
                  </m:d>
                </m:e>
              </m:d>
            </m:e>
          </m:d>
        </m:oMath>
      </m:oMathPara>
    </w:p>
    <w:p>
      <w:pPr>
        <w:spacing w:after="60"/>
        <w:jc w:val="both"/>
      </w:pPr>
      <m:oMath>
        <m:r>
          <m:t>z</m:t>
        </m:r>
      </m:oMath>
      <w:r>
        <w:rPr>
          <w:color w:val="3A4350"/>
          <w:sz w:val="15"/>
          <w:szCs w:val="15"/>
        </w:rPr>
        <w:t xml:space="preserve"> is the quantity the decision depends on, </w:t>
      </w:r>
      <m:oMath>
        <m:r>
          <m:t>a</m:t>
        </m:r>
      </m:oMath>
      <w:r>
        <w:rPr>
          <w:color w:val="3A4350"/>
          <w:sz w:val="15"/>
          <w:szCs w:val="15"/>
        </w:rPr>
        <w:t xml:space="preserve"> an action with loss </w:t>
      </w:r>
      <m:oMath>
        <m:r>
          <m:rPr>
            <m:sty m:val="p"/>
          </m:rPr>
          <m:t>ℓ</m:t>
        </m:r>
        <m:d>
          <m:dPr>
            <m:begChr m:val="("/>
            <m:sepChr m:val=""/>
            <m:endChr m:val=")"/>
            <m:grow/>
          </m:dPr>
          <m:e>
            <m:r>
              <m:t>a</m:t>
            </m:r>
            <m:r>
              <m:rPr>
                <m:sty m:val="p"/>
              </m:rPr>
              <m:t>,</m:t>
            </m:r>
            <m:r>
              <m:t>z</m:t>
            </m:r>
          </m:e>
        </m:d>
      </m:oMath>
      <w:r>
        <w:rPr>
          <w:color w:val="3A4350"/>
          <w:sz w:val="15"/>
          <w:szCs w:val="15"/>
        </w:rPr>
        <w:t xml:space="preserve"> and </w:t>
      </w:r>
      <m:oMath>
        <m:r>
          <m:rPr>
            <m:scr m:val="script"/>
            <m:sty m:val="p"/>
          </m:rPr>
          <m:t>D</m:t>
        </m:r>
      </m:oMath>
      <w:r>
        <w:rPr>
          <w:color w:val="3A4350"/>
          <w:sz w:val="15"/>
          <w:szCs w:val="15"/>
        </w:rPr>
        <w:t xml:space="preserve"> prospective data; with the log loss on predictive densities </w:t>
      </w:r>
      <m:oMath>
        <m:r>
          <m:t>h</m:t>
        </m:r>
      </m:oMath>
      <w:r>
        <w:rPr>
          <w:color w:val="3A4350"/>
          <w:sz w:val="15"/>
          <w:szCs w:val="15"/>
        </w:rPr>
        <w:t xml:space="preserve"> is the Shannon entropy and EUR is the expected information gain.</w:t>
      </w:r>
    </w:p>
    <w:p>
      <w:pPr>
        <w:spacing w:after="60"/>
        <w:jc w:val="both"/>
      </w:pPr>
      <w:r>
        <w:rPr>
          <w:b/>
          <w:bCs/>
          <w:color w:val="1E3A8A"/>
          <w:sz w:val="17"/>
          <w:szCs w:val="17"/>
        </w:rPr>
        <w:t xml:space="preserve">Link to the Fushë-Kuqe records. </w:t>
      </w:r>
      <w:r>
        <w:rPr>
          <w:sz w:val="17"/>
          <w:szCs w:val="17"/>
        </w:rPr>
        <w:t xml:space="preserve">Belongs to theme V. The anchor values a merge by EIG about the CATE; this paper shows how to replace entropy by the loss of the actual decision, capping wells whose head would fall below </w:t>
      </w:r>
      <m:oMath>
        <m:sSub>
          <m:e>
            <m:r>
              <m:t>h</m:t>
            </m:r>
          </m:e>
          <m:sub>
            <m:r>
              <m:t>c</m:t>
            </m:r>
          </m:sub>
        </m:sSub>
      </m:oMath>
      <w:r>
        <w:rPr>
          <w:sz w:val="17"/>
          <w:szCs w:val="17"/>
        </w:rPr>
        <w:t xml:space="preserve">, so a merge is valued by how much it lowers the expected loss of the capping plan.</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gives the decision-theoretic grounding that turns "information gain" into "value for a stated decision", and clarifies when EIG-type acquisition targets the right quantity. Main-track ICML 2025, from Rainforth's group at Oxford.</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framework is general and illustrated on prediction tasks; it does not treat causal targets, private data or computing the expected reduction across data holders. Valuing institutional merges by expected reduction of capping loss for a CATE-based rule would be new.</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decision-theoretic definition of predictive uncertainty and of its expected reduction from data, containing entropy-based EIG as a special case, with an analysis of when BALD misestimates what it is taken to measure. Proposed extension: for each Fushë-Kuqe merge compute both the EIG about the CATE and the expected reduction in capping loss (wells capped needlessly plus wells salinised), and test whether the two rank the five institutions differently.</w:t>
      </w:r>
    </w:p>
    <w:p>
      <w:pPr>
        <w:pStyle w:val="Heading1"/>
      </w:pPr>
      <w:r>
        <w:rPr>
          <w:color w:val="0F766E"/>
        </w:rPr>
        <w:t xml:space="preserve">5. Merging datasets for causal inference</w:t>
      </w:r>
    </w:p>
    <w:p>
      <w:pPr>
        <w:spacing w:after="120"/>
        <w:jc w:val="both"/>
      </w:pPr>
      <w:r>
        <w:t xml:space="preserve">Merging without pooling is a Harvard speciality. Larry Han, Jue Hou, Kelly Cho, Rui Duan and Tianxi Cai estimate a target treatment effect from federated sites in one round [F1]; Larry Han, Zhu Shen and José R. Zubizarreta make federated estimation multiply robust to covariate shift and mismatch [F2]; Siu Lun Chau, Jean-François Ton, Javier González, Yee Whye Teh and Dino Sejdinovic carry Bayesian uncertainty through causal data fusion [F3]; Ilker Demirel, Ahmed Alaa, Anthony Philippakis and David Sontag use a prediction model from an observational study to generalise a trial [F4]; and Jianqing Fan, Yongyi Guo and Kaizheng Wang reach full-sample efficiency with low communication [F5].</w:t>
      </w:r>
    </w:p>
    <w:p>
      <w:pPr>
        <w:keepNext/>
        <w:pBdr>
          <w:top w:val="single" w:color="0F766E" w:sz="6" w:space="4"/>
        </w:pBdr>
        <w:spacing w:after="60" w:before="220"/>
      </w:pPr>
      <w:r>
        <w:rPr>
          <w:b/>
          <w:bCs/>
          <w:color w:val="0F766E"/>
          <w:sz w:val="23"/>
          <w:szCs w:val="23"/>
        </w:rPr>
        <w:t xml:space="preserve">F1  </w:t>
      </w:r>
      <w:r>
        <w:rPr>
          <w:b/>
          <w:bCs/>
          <w:color w:val="1F3864"/>
          <w:sz w:val="23"/>
          <w:szCs w:val="23"/>
        </w:rPr>
        <w:t xml:space="preserve">Federated Adaptive Causal Estimation (FACE) of Target Treatment Effects</w:t>
      </w:r>
    </w:p>
    <w:p>
      <w:pPr>
        <w:keepNext/>
        <w:spacing w:after="60" w:line="240" w:lineRule="auto"/>
      </w:pPr>
      <w:r>
        <w:rPr>
          <w:b/>
          <w:bCs/>
          <w:color w:val="333B47"/>
          <w:sz w:val="15"/>
          <w:szCs w:val="15"/>
        </w:rPr>
        <w:t xml:space="preserve">Authors: </w:t>
      </w:r>
      <w:r>
        <w:rPr>
          <w:sz w:val="15"/>
          <w:szCs w:val="15"/>
        </w:rPr>
        <w:t xml:space="preserve">Larry Han, Jue Hou, Kelly Cho, Rui Duan, Tianxi Cai</w:t>
      </w:r>
      <w:r>
        <w:rPr>
          <w:sz w:val="15"/>
          <w:szCs w:val="15"/>
        </w:rPr>
        <w:t xml:space="preserve">   </w:t>
      </w:r>
      <w:r>
        <w:rPr>
          <w:b/>
          <w:bCs/>
          <w:color w:val="333B47"/>
          <w:sz w:val="15"/>
          <w:szCs w:val="15"/>
        </w:rPr>
        <w:t xml:space="preserve">Published in: </w:t>
      </w:r>
      <w:r>
        <w:rPr>
          <w:sz w:val="15"/>
          <w:szCs w:val="15"/>
        </w:rPr>
        <w:t xml:space="preserve">Journal of the American Statistical Association, 120, 1503–1516 (2025; issue not verified); arXiv 2112.09313</w:t>
      </w:r>
      <w:r>
        <w:rPr>
          <w:sz w:val="15"/>
          <w:szCs w:val="15"/>
        </w:rPr>
        <w:t xml:space="preserve">   </w:t>
      </w:r>
      <w:r>
        <w:rPr>
          <w:b/>
          <w:bCs/>
          <w:color w:val="333B47"/>
          <w:sz w:val="15"/>
          <w:szCs w:val="15"/>
        </w:rPr>
        <w:t xml:space="preserve">Link: </w:t>
      </w:r>
      <w:hyperlink w:history="1" r:id="rIdsbaspofogcomnqvajw3yl">
        <w:r>
          <w:rPr>
            <w:color w:val="1D4ED8"/>
            <w:sz w:val="15"/>
            <w:szCs w:val="15"/>
            <w:u w:val="single"/>
          </w:rPr>
          <w:t xml:space="preserve">https://doi.org/10.1080/01621459.2025.2453249</w:t>
        </w:r>
      </w:hyperlink>
    </w:p>
    <w:p>
      <w:pPr>
        <w:keepNext/>
        <w:spacing w:after="80" w:line="240" w:lineRule="auto"/>
      </w:pPr>
      <w:r>
        <w:rPr>
          <w:b/>
          <w:bCs/>
          <w:color w:val="333B47"/>
          <w:sz w:val="15"/>
          <w:szCs w:val="15"/>
        </w:rPr>
        <w:t xml:space="preserve">Affiliation: </w:t>
      </w:r>
      <w:r>
        <w:rPr>
          <w:color w:val="3A4350"/>
          <w:sz w:val="15"/>
          <w:szCs w:val="15"/>
        </w:rPr>
        <w:t xml:space="preserve">Department of Biostatistics, Harvard T.H. Chan School of Public Health (Han, Duan, Cai), with the University of Minnesota and the US Department of Veterans Affairs, from the arXiv author listing as summarised in a search result; the work is also deposited in Harvard DASH. DOI from a bibliographic listing (SUFE academic newsletter), volume and pages from a reference list in a 2026 survey; the publisher page was not seen.</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0F766E"/>
          <w:sz w:val="17"/>
          <w:szCs w:val="17"/>
        </w:rPr>
        <w:t xml:space="preserve">Summary. </w:t>
      </w:r>
      <w:r>
        <w:rPr>
          <w:sz w:val="17"/>
          <w:szCs w:val="17"/>
        </w:rPr>
        <w:t xml:space="preserve">Several sites hold data on the same treatment but cannot pool individual records, and their covariate distributions differ from that of a chosen target site. FACE estimates the average treatment effect in the target population: each source site reweights its estimate to the target with an exponential-tilt density ratio </w:t>
      </w:r>
      <m:oMath>
        <m:r>
          <m:rPr>
            <m:sty m:val="p"/>
          </m:rPr>
          <m:t>exp</m:t>
        </m:r>
        <m:r>
          <m:rPr>
            <m:sty m:val="p"/>
          </m:rPr>
          <m:t>{</m:t>
        </m:r>
        <m:sSup>
          <m:e>
            <m:r>
              <m:t>γ</m:t>
            </m:r>
          </m:e>
          <m:sup>
            <m:r>
              <m:rPr>
                <m:sty m:val="p"/>
              </m:rPr>
              <m:t>⊤</m:t>
            </m:r>
          </m:sup>
        </m:sSup>
        <m:r>
          <m:t>ψ</m:t>
        </m:r>
        <m:d>
          <m:dPr>
            <m:begChr m:val="("/>
            <m:sepChr m:val=""/>
            <m:endChr m:val=")"/>
            <m:grow/>
          </m:dPr>
          <m:e>
            <m:r>
              <m:t>x</m:t>
            </m:r>
          </m:e>
        </m:d>
        <m:r>
          <m:rPr>
            <m:sty m:val="p"/>
          </m:rPr>
          <m:t>}</m:t>
        </m:r>
      </m:oMath>
      <w:r>
        <w:rPr>
          <w:sz w:val="17"/>
          <w:szCs w:val="17"/>
        </w:rPr>
        <w:t xml:space="preserve">, so only summary statistics are shared, once. A penalised regression then sets data-adaptive weights for combining the site estimates; the authors show the combined estimator is consistent and attains optimal efficiency while guarding against negative transfer from sites that are biased for the target. In five Veterans Affairs regions comparing two COVID-19 vaccines, standard errors fell by 26–67%.</w:t>
      </w:r>
    </w:p>
    <w:p>
      <w:pPr>
        <w:keepNext/>
        <w:spacing w:after="20" w:before="40"/>
      </w:pPr>
      <w:r>
        <w:rPr>
          <w:b/>
          <w:bCs/>
          <w:color w:val="0F766E"/>
          <w:sz w:val="17"/>
          <w:szCs w:val="17"/>
        </w:rPr>
        <w:t xml:space="preserve">Key equation.</w:t>
      </w:r>
      <w:r>
        <w:rPr>
          <w:i/>
          <w:iCs/>
          <w:color w:val="5B6573"/>
          <w:sz w:val="15"/>
          <w:szCs w:val="15"/>
        </w:rPr>
        <w:t xml:space="preserve">  Adaptive combination of the target-site estimate with density-ratio-weighted source-site estimates, penalising sites that disagree with the target (representative formulation)</w:t>
      </w:r>
    </w:p>
    <w:p>
      <w:pPr>
        <w:pStyle w:val="Equation"/>
      </w:pPr>
      <m:oMathPara>
        <m:oMathParaPr>
          <m:jc m:val="center"/>
        </m:oMathParaPr>
        <m:oMath>
          <m:sSub>
            <m:e>
              <m:acc>
                <m:accPr>
                  <m:chr m:val="̂"/>
                </m:accPr>
                <m:e>
                  <m:r>
                    <m:t>μ</m:t>
                  </m:r>
                </m:e>
              </m:acc>
            </m:e>
            <m:sub>
              <m:r>
                <m:t>a</m:t>
              </m:r>
            </m:sub>
          </m:sSub>
          <m:r>
            <m:rPr>
              <m:sty m:val="p"/>
            </m:rPr>
            <m:t>=</m:t>
          </m:r>
          <m:sSub>
            <m:e>
              <m:acc>
                <m:accPr>
                  <m:chr m:val="̂"/>
                </m:accPr>
                <m:e>
                  <m:r>
                    <m:t>μ</m:t>
                  </m:r>
                </m:e>
              </m:acc>
            </m:e>
            <m:sub>
              <m:r>
                <m:t>a</m:t>
              </m:r>
              <m:r>
                <m:rPr>
                  <m:sty m:val="p"/>
                </m:rPr>
                <m:t>,</m:t>
              </m:r>
              <m:r>
                <m:t>T</m:t>
              </m:r>
            </m:sub>
          </m:sSub>
          <m:r>
            <m:rPr>
              <m:sty m:val="p"/>
            </m:rPr>
            <m:t>+</m:t>
          </m:r>
          <m:nary>
            <m:naryPr>
              <m:chr m:val="∑"/>
              <m:limLoc m:val="undOvr"/>
              <m:subHide m:val="off"/>
              <m:supHide m:val="on"/>
            </m:naryPr>
            <m:sub>
              <m:r>
                <m:t>k</m:t>
              </m:r>
              <m:r>
                <m:rPr>
                  <m:sty m:val="p"/>
                </m:rPr>
                <m:t>≠</m:t>
              </m:r>
              <m:r>
                <m:t>T</m:t>
              </m:r>
            </m:sub>
            <m:sup>
              <m:r>
                <m:t>​</m:t>
              </m:r>
            </m:sup>
            <m:e>
              <m:sSub>
                <m:e>
                  <m:acc>
                    <m:accPr>
                      <m:chr m:val="̂"/>
                    </m:accPr>
                    <m:e>
                      <m:r>
                        <m:t>η</m:t>
                      </m:r>
                    </m:e>
                  </m:acc>
                </m:e>
                <m:sub>
                  <m:r>
                    <m:t>k</m:t>
                  </m:r>
                </m:sub>
              </m:sSub>
            </m:e>
          </m:nary>
          <m:d>
            <m:dPr>
              <m:begChr m:val="("/>
              <m:sepChr m:val=""/>
              <m:endChr m:val=")"/>
              <m:grow/>
            </m:dPr>
            <m:e>
              <m:sSub>
                <m:e>
                  <m:acc>
                    <m:accPr>
                      <m:chr m:val="̂"/>
                    </m:accPr>
                    <m:e>
                      <m:r>
                        <m:t>μ</m:t>
                      </m:r>
                    </m:e>
                  </m:acc>
                </m:e>
                <m:sub>
                  <m:r>
                    <m:t>a</m:t>
                  </m:r>
                  <m:r>
                    <m:rPr>
                      <m:sty m:val="p"/>
                    </m:rPr>
                    <m:t>,</m:t>
                  </m:r>
                  <m:r>
                    <m:t>k</m:t>
                  </m:r>
                </m:sub>
              </m:sSub>
              <m:r>
                <m:rPr>
                  <m:sty m:val="p"/>
                </m:rPr>
                <m:t>−</m:t>
              </m:r>
              <m:sSub>
                <m:e>
                  <m:acc>
                    <m:accPr>
                      <m:chr m:val="̂"/>
                    </m:accPr>
                    <m:e>
                      <m:r>
                        <m:t>μ</m:t>
                      </m:r>
                    </m:e>
                  </m:acc>
                </m:e>
                <m:sub>
                  <m:r>
                    <m:t>a</m:t>
                  </m:r>
                  <m:r>
                    <m:rPr>
                      <m:sty m:val="p"/>
                    </m:rPr>
                    <m:t>,</m:t>
                  </m:r>
                  <m:r>
                    <m:t>T</m:t>
                  </m:r>
                </m:sub>
              </m:sSub>
            </m:e>
          </m:d>
          <m:r>
            <m:rPr>
              <m:sty m:val="p"/>
            </m:rPr>
            <m:t>,</m:t>
          </m:r>
          <m:r>
            <m:t> </m:t>
          </m:r>
          <m:acc>
            <m:accPr>
              <m:chr m:val="̂"/>
            </m:accPr>
            <m:e>
              <m:r>
                <m:t>η</m:t>
              </m:r>
            </m:e>
          </m:acc>
          <m:r>
            <m:rPr>
              <m:sty m:val="p"/>
            </m:rPr>
            <m:t>=</m:t>
          </m:r>
          <m:r>
            <m:rPr>
              <m:sty m:val="p"/>
            </m:rPr>
            <m:t>arg</m:t>
          </m:r>
          <m:limLow>
            <m:e>
              <m:r>
                <m:rPr>
                  <m:sty m:val="p"/>
                </m:rPr>
                <m:t>min</m:t>
              </m:r>
            </m:e>
            <m:lim>
              <m:r>
                <m:t>η</m:t>
              </m:r>
            </m:lim>
          </m:limLow>
          <m:nary>
            <m:naryPr>
              <m:chr m:val="∑"/>
              <m:limLoc m:val="undOvr"/>
              <m:subHide m:val="off"/>
              <m:supHide m:val="on"/>
            </m:naryPr>
            <m:sub>
              <m:r>
                <m:t>i</m:t>
              </m:r>
            </m:sub>
            <m:sup>
              <m:r>
                <m:t>​</m:t>
              </m:r>
            </m:sup>
            <m:e>
              <m:sSup>
                <m:e>
                  <m:d>
                    <m:dPr>
                      <m:begChr m:val="{"/>
                      <m:sepChr m:val=""/>
                      <m:endChr m:val="}"/>
                      <m:grow/>
                    </m:dPr>
                    <m:e>
                      <m:sSub>
                        <m:e>
                          <m:acc>
                            <m:accPr>
                              <m:chr m:val="̂"/>
                            </m:accPr>
                            <m:e>
                              <m:r>
                                <m:t>ξ</m:t>
                              </m:r>
                            </m:e>
                          </m:acc>
                        </m:e>
                        <m:sub>
                          <m:r>
                            <m:t>T</m:t>
                          </m:r>
                          <m:r>
                            <m:rPr>
                              <m:sty m:val="p"/>
                            </m:rPr>
                            <m:t>,</m:t>
                          </m:r>
                          <m:r>
                            <m:t>i</m:t>
                          </m:r>
                        </m:sub>
                      </m:sSub>
                      <m:r>
                        <m:rPr>
                          <m:sty m:val="p"/>
                        </m:rPr>
                        <m:t>−</m:t>
                      </m:r>
                      <m:nary>
                        <m:naryPr>
                          <m:chr m:val="∑"/>
                          <m:limLoc m:val="undOvr"/>
                          <m:subHide m:val="off"/>
                          <m:supHide m:val="on"/>
                        </m:naryPr>
                        <m:sub>
                          <m:r>
                            <m:t>k</m:t>
                          </m:r>
                          <m:r>
                            <m:rPr>
                              <m:sty m:val="p"/>
                            </m:rPr>
                            <m:t>≠</m:t>
                          </m:r>
                          <m:r>
                            <m:t>T</m:t>
                          </m:r>
                        </m:sub>
                        <m:sup>
                          <m:r>
                            <m:t>​</m:t>
                          </m:r>
                        </m:sup>
                        <m:e>
                          <m:sSub>
                            <m:e>
                              <m:r>
                                <m:t>η</m:t>
                              </m:r>
                            </m:e>
                            <m:sub>
                              <m:r>
                                <m:t>k</m:t>
                              </m:r>
                            </m:sub>
                          </m:sSub>
                        </m:e>
                      </m:nary>
                      <m:d>
                        <m:dPr>
                          <m:begChr m:val="("/>
                          <m:sepChr m:val=""/>
                          <m:endChr m:val=")"/>
                          <m:grow/>
                        </m:dPr>
                        <m:e>
                          <m:sSub>
                            <m:e>
                              <m:acc>
                                <m:accPr>
                                  <m:chr m:val="̂"/>
                                </m:accPr>
                                <m:e>
                                  <m:r>
                                    <m:t>ξ</m:t>
                                  </m:r>
                                </m:e>
                              </m:acc>
                            </m:e>
                            <m:sub>
                              <m:r>
                                <m:t>T</m:t>
                              </m:r>
                              <m:r>
                                <m:rPr>
                                  <m:sty m:val="p"/>
                                </m:rPr>
                                <m:t>,</m:t>
                              </m:r>
                              <m:r>
                                <m:t>i</m:t>
                              </m:r>
                            </m:sub>
                          </m:sSub>
                          <m:r>
                            <m:rPr>
                              <m:sty m:val="p"/>
                            </m:rPr>
                            <m:t>−</m:t>
                          </m:r>
                          <m:sSub>
                            <m:e>
                              <m:acc>
                                <m:accPr>
                                  <m:chr m:val="̂"/>
                                </m:accPr>
                                <m:e>
                                  <m:r>
                                    <m:t>ξ</m:t>
                                  </m:r>
                                </m:e>
                              </m:acc>
                            </m:e>
                            <m:sub>
                              <m:r>
                                <m:t>k</m:t>
                              </m:r>
                              <m:r>
                                <m:rPr>
                                  <m:sty m:val="p"/>
                                </m:rPr>
                                <m:t>,</m:t>
                              </m:r>
                              <m:r>
                                <m:t>i</m:t>
                              </m:r>
                            </m:sub>
                          </m:sSub>
                        </m:e>
                      </m:d>
                    </m:e>
                  </m:d>
                </m:e>
                <m:sup>
                  <m:r>
                    <m:t>2</m:t>
                  </m:r>
                </m:sup>
              </m:sSup>
            </m:e>
          </m:nary>
          <m:r>
            <m:rPr>
              <m:sty m:val="p"/>
            </m:rPr>
            <m:t>+</m:t>
          </m:r>
          <m:r>
            <m:t>λ</m:t>
          </m:r>
          <m:nary>
            <m:naryPr>
              <m:chr m:val="∑"/>
              <m:limLoc m:val="undOvr"/>
              <m:subHide m:val="off"/>
              <m:supHide m:val="on"/>
            </m:naryPr>
            <m:sub>
              <m:r>
                <m:t>k</m:t>
              </m:r>
              <m:r>
                <m:rPr>
                  <m:sty m:val="p"/>
                </m:rPr>
                <m:t>≠</m:t>
              </m:r>
              <m:r>
                <m:t>T</m:t>
              </m:r>
            </m:sub>
            <m:sup>
              <m:r>
                <m:t>​</m:t>
              </m:r>
            </m:sup>
            <m:e>
              <m:d>
                <m:dPr>
                  <m:begChr m:val="|"/>
                  <m:sepChr m:val=""/>
                  <m:endChr m:val="|"/>
                  <m:grow/>
                </m:dPr>
                <m:e>
                  <m:sSub>
                    <m:e>
                      <m:r>
                        <m:t>η</m:t>
                      </m:r>
                    </m:e>
                    <m:sub>
                      <m:r>
                        <m:t>k</m:t>
                      </m:r>
                    </m:sub>
                  </m:sSub>
                </m:e>
              </m:d>
            </m:e>
          </m:nary>
          <m:sSup>
            <m:e>
              <m:d>
                <m:dPr>
                  <m:begChr m:val="("/>
                  <m:sepChr m:val=""/>
                  <m:endChr m:val=")"/>
                  <m:grow/>
                </m:dPr>
                <m:e>
                  <m:sSub>
                    <m:e>
                      <m:acc>
                        <m:accPr>
                          <m:chr m:val="̂"/>
                        </m:accPr>
                        <m:e>
                          <m:r>
                            <m:t>μ</m:t>
                          </m:r>
                        </m:e>
                      </m:acc>
                    </m:e>
                    <m:sub>
                      <m:r>
                        <m:t>a</m:t>
                      </m:r>
                      <m:r>
                        <m:rPr>
                          <m:sty m:val="p"/>
                        </m:rPr>
                        <m:t>,</m:t>
                      </m:r>
                      <m:r>
                        <m:t>k</m:t>
                      </m:r>
                    </m:sub>
                  </m:sSub>
                  <m:r>
                    <m:rPr>
                      <m:sty m:val="p"/>
                    </m:rPr>
                    <m:t>−</m:t>
                  </m:r>
                  <m:sSub>
                    <m:e>
                      <m:acc>
                        <m:accPr>
                          <m:chr m:val="̂"/>
                        </m:accPr>
                        <m:e>
                          <m:r>
                            <m:t>μ</m:t>
                          </m:r>
                        </m:e>
                      </m:acc>
                    </m:e>
                    <m:sub>
                      <m:r>
                        <m:t>a</m:t>
                      </m:r>
                      <m:r>
                        <m:rPr>
                          <m:sty m:val="p"/>
                        </m:rPr>
                        <m:t>,</m:t>
                      </m:r>
                      <m:r>
                        <m:t>T</m:t>
                      </m:r>
                    </m:sub>
                  </m:sSub>
                </m:e>
              </m:d>
            </m:e>
            <m:sup>
              <m:r>
                <m:t>2</m:t>
              </m:r>
            </m:sup>
          </m:sSup>
        </m:oMath>
      </m:oMathPara>
    </w:p>
    <w:p>
      <w:pPr>
        <w:spacing w:after="60"/>
        <w:jc w:val="both"/>
      </w:pPr>
      <m:oMath>
        <m:sSub>
          <m:e>
            <m:acc>
              <m:accPr>
                <m:chr m:val="̂"/>
              </m:accPr>
              <m:e>
                <m:r>
                  <m:t>μ</m:t>
                </m:r>
              </m:e>
            </m:acc>
          </m:e>
          <m:sub>
            <m:r>
              <m:t>a</m:t>
            </m:r>
            <m:r>
              <m:rPr>
                <m:sty m:val="p"/>
              </m:rPr>
              <m:t>,</m:t>
            </m:r>
            <m:r>
              <m:t>k</m:t>
            </m:r>
          </m:sub>
        </m:sSub>
      </m:oMath>
      <w:r>
        <w:rPr>
          <w:color w:val="3A4350"/>
          <w:sz w:val="15"/>
          <w:szCs w:val="15"/>
        </w:rPr>
        <w:t xml:space="preserve"> is site </w:t>
      </w:r>
      <m:oMath>
        <m:r>
          <m:t>k</m:t>
        </m:r>
      </m:oMath>
      <w:r>
        <w:rPr>
          <w:color w:val="3A4350"/>
          <w:sz w:val="15"/>
          <w:szCs w:val="15"/>
        </w:rPr>
        <w:t xml:space="preserve">'s estimate of the target-population mean outcome under treatment </w:t>
      </w:r>
      <m:oMath>
        <m:r>
          <m:t>a</m:t>
        </m:r>
      </m:oMath>
      <w:r>
        <w:rPr>
          <w:color w:val="3A4350"/>
          <w:sz w:val="15"/>
          <w:szCs w:val="15"/>
        </w:rPr>
        <w:t xml:space="preserve">, </w:t>
      </w:r>
      <m:oMath>
        <m:r>
          <m:t>T</m:t>
        </m:r>
      </m:oMath>
      <w:r>
        <w:rPr>
          <w:color w:val="3A4350"/>
          <w:sz w:val="15"/>
          <w:szCs w:val="15"/>
        </w:rPr>
        <w:t xml:space="preserve"> the target site, </w:t>
      </w:r>
      <m:oMath>
        <m:sSub>
          <m:e>
            <m:acc>
              <m:accPr>
                <m:chr m:val="̂"/>
              </m:accPr>
              <m:e>
                <m:r>
                  <m:t>ξ</m:t>
                </m:r>
              </m:e>
            </m:acc>
          </m:e>
          <m:sub>
            <m:r>
              <m:t>k</m:t>
            </m:r>
            <m:r>
              <m:rPr>
                <m:sty m:val="p"/>
              </m:rPr>
              <m:t>,</m:t>
            </m:r>
            <m:r>
              <m:t>i</m:t>
            </m:r>
          </m:sub>
        </m:sSub>
      </m:oMath>
      <w:r>
        <w:rPr>
          <w:color w:val="3A4350"/>
          <w:sz w:val="15"/>
          <w:szCs w:val="15"/>
        </w:rPr>
        <w:t xml:space="preserve"> estimated influence-function terms and </w:t>
      </w:r>
      <m:oMath>
        <m:r>
          <m:t>λ</m:t>
        </m:r>
      </m:oMath>
      <w:r>
        <w:rPr>
          <w:color w:val="3A4350"/>
          <w:sz w:val="15"/>
          <w:szCs w:val="15"/>
        </w:rPr>
        <w:t xml:space="preserve"> a tuning parameter, so a site whose estimate departs from the target's is pushed towards weight zero.</w:t>
      </w:r>
    </w:p>
    <w:p>
      <w:pPr>
        <w:spacing w:after="60"/>
        <w:jc w:val="both"/>
      </w:pPr>
      <w:r>
        <w:rPr>
          <w:b/>
          <w:bCs/>
          <w:color w:val="0F766E"/>
          <w:sz w:val="17"/>
          <w:szCs w:val="17"/>
        </w:rPr>
        <w:t xml:space="preserve">Link to the Fushë-Kuqe records. </w:t>
      </w:r>
      <w:r>
        <w:rPr>
          <w:sz w:val="17"/>
          <w:szCs w:val="17"/>
        </w:rPr>
        <w:t xml:space="preserve">Belongs to theme F (merging datasets for causal inference). Taking the coastal hotels' wells as the target and the utility, agency and research records as sources, FACE reweights each source to the coastal mix of distance to sea and transmissivity from one exchange of summaries, and its adaptive weights show which institution's records actually shrink the coastal standard error.</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is a reference federated estimator for target-population effects: one exchange of summary statistics, explicit protection against negative transfer and an efficiency guarantee. Published in JASA (2025) from Tianxi Cai's Harvard group and listed in a 2026 survey of federated causal inference.</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FACE targets an average effect and needs the sources to cover the target's covariate range. Near the Fushë-Kuqe coast few hard-pumped wells exist, so whether adaptive weights stay efficient for a CATE when source support misses the coastal strip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exponential-tilt reweighting computed from shared summaries, with a discrepancy-penalised ensemble that sends biased sites to zero weight while keeping the efficiency gain. Proposed extension: run FACE on summary statistics from each Fushë-Kuqe institution before any merge, use the weights </w:t>
      </w:r>
      <m:oMath>
        <m:sSub>
          <m:e>
            <m:acc>
              <m:accPr>
                <m:chr m:val="̂"/>
              </m:accPr>
              <m:e>
                <m:r>
                  <m:t>η</m:t>
                </m:r>
              </m:e>
            </m:acc>
          </m:e>
          <m:sub>
            <m:r>
              <m:t>k</m:t>
            </m:r>
          </m:sub>
        </m:sSub>
      </m:oMath>
      <w:r>
        <w:rPr>
          <w:sz w:val="17"/>
          <w:szCs w:val="17"/>
        </w:rPr>
        <w:t xml:space="preserve"> as a cheap ranking of candidate merges, and test on synthetic data from the zonal flow model whether this ranking agrees with the EIG ranking.</w:t>
      </w:r>
    </w:p>
    <w:p>
      <w:pPr>
        <w:keepNext/>
        <w:pBdr>
          <w:top w:val="single" w:color="0F766E" w:sz="6" w:space="4"/>
        </w:pBdr>
        <w:spacing w:after="60" w:before="220"/>
      </w:pPr>
      <w:r>
        <w:rPr>
          <w:b/>
          <w:bCs/>
          <w:color w:val="0F766E"/>
          <w:sz w:val="23"/>
          <w:szCs w:val="23"/>
        </w:rPr>
        <w:t xml:space="preserve">F2  </w:t>
      </w:r>
      <w:r>
        <w:rPr>
          <w:b/>
          <w:bCs/>
          <w:color w:val="1F3864"/>
          <w:sz w:val="23"/>
          <w:szCs w:val="23"/>
        </w:rPr>
        <w:t xml:space="preserve">Multiply Robust Federated Estimation of Targeted Average Treatment Effects</w:t>
      </w:r>
    </w:p>
    <w:p>
      <w:pPr>
        <w:keepNext/>
        <w:spacing w:after="60" w:line="240" w:lineRule="auto"/>
      </w:pPr>
      <w:r>
        <w:rPr>
          <w:b/>
          <w:bCs/>
          <w:color w:val="333B47"/>
          <w:sz w:val="15"/>
          <w:szCs w:val="15"/>
        </w:rPr>
        <w:t xml:space="preserve">Authors: </w:t>
      </w:r>
      <w:r>
        <w:rPr>
          <w:sz w:val="15"/>
          <w:szCs w:val="15"/>
        </w:rPr>
        <w:t xml:space="preserve">Larry Han, Zhu Shen, José R. Zubizarreta</w:t>
      </w:r>
      <w:r>
        <w:rPr>
          <w:sz w:val="15"/>
          <w:szCs w:val="15"/>
        </w:rPr>
        <w:t xml:space="preserve">   </w:t>
      </w:r>
      <w:r>
        <w:rPr>
          <w:b/>
          <w:bCs/>
          <w:color w:val="333B47"/>
          <w:sz w:val="15"/>
          <w:szCs w:val="15"/>
        </w:rPr>
        <w:t xml:space="preserve">Published in: </w:t>
      </w:r>
      <w:r>
        <w:rPr>
          <w:sz w:val="15"/>
          <w:szCs w:val="15"/>
        </w:rPr>
        <w:t xml:space="preserve">Advances in Neural Information Processing Systems 36 (NeurIPS 2023), Main Conference Track; arXiv 2309.12600</w:t>
      </w:r>
      <w:r>
        <w:rPr>
          <w:sz w:val="15"/>
          <w:szCs w:val="15"/>
        </w:rPr>
        <w:t xml:space="preserve">   </w:t>
      </w:r>
      <w:r>
        <w:rPr>
          <w:b/>
          <w:bCs/>
          <w:color w:val="333B47"/>
          <w:sz w:val="15"/>
          <w:szCs w:val="15"/>
        </w:rPr>
        <w:t xml:space="preserve">Link: </w:t>
      </w:r>
      <w:hyperlink w:history="1" r:id="rIdtxoa1xj59vwm5gakqg2ir">
        <w:r>
          <w:rPr>
            <w:color w:val="1D4ED8"/>
            <w:sz w:val="15"/>
            <w:szCs w:val="15"/>
            <w:u w:val="single"/>
          </w:rPr>
          <w:t xml:space="preserve">https://papers.neurips.cc/paper_files/paper/2023/hash/def4492b32f0248a0e4d92cc46bbdaad-Abstract-Conference.html</w:t>
        </w:r>
      </w:hyperlink>
    </w:p>
    <w:p>
      <w:pPr>
        <w:keepNext/>
        <w:spacing w:after="80" w:line="240" w:lineRule="auto"/>
      </w:pPr>
      <w:r>
        <w:rPr>
          <w:b/>
          <w:bCs/>
          <w:color w:val="333B47"/>
          <w:sz w:val="15"/>
          <w:szCs w:val="15"/>
        </w:rPr>
        <w:t xml:space="preserve">Affiliation: </w:t>
      </w:r>
      <w:r>
        <w:rPr>
          <w:color w:val="3A4350"/>
          <w:sz w:val="15"/>
          <w:szCs w:val="15"/>
        </w:rPr>
        <w:t xml:space="preserve">Zhu Shen (Biostatistics) and José R. Zubizarreta (Health Care Policy, Biostatistics and Statistics), Harvard University; Larry Han, Northeastern University — from the author block of the NeurIPS PDF as summarised in a search result.</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0F766E"/>
          <w:sz w:val="17"/>
          <w:szCs w:val="17"/>
        </w:rPr>
        <w:t xml:space="preserve">Summary. </w:t>
      </w:r>
      <w:r>
        <w:rPr>
          <w:sz w:val="17"/>
          <w:szCs w:val="17"/>
        </w:rPr>
        <w:t xml:space="preserve">Several sites want the average treatment effect in one target population, but their covariate distributions differ (covariate shift), they record different covariates (covariate mismatch), and individual data cannot be pooled. The paper builds site-level estimators whose nuisance functions, outcome regressions and density ratios to the target, are estimated in a multiply robust and privacy-preserving way, and combines the sites with ensemble weights learnt by transfer learning with an </w:t>
      </w:r>
      <m:oMath>
        <m:sSub>
          <m:e>
            <m:r>
              <m:t>L</m:t>
            </m:r>
          </m:e>
          <m:sub>
            <m:r>
              <m:t>1</m:t>
            </m:r>
          </m:sub>
        </m:sSub>
      </m:oMath>
      <w:r>
        <w:rPr>
          <w:sz w:val="17"/>
          <w:szCs w:val="17"/>
        </w:rPr>
        <w:t xml:space="preserve"> penalty; the authors show the learnt weights are efficient and optimal in different scenarios. In simulations with mismatched covariates, the multiply robust estimator had smaller bias, lower RMSE and better coverage than an AIPW estimator that needs common models across sites.</w:t>
      </w:r>
    </w:p>
    <w:p>
      <w:pPr>
        <w:keepNext/>
        <w:spacing w:after="20" w:before="40"/>
      </w:pPr>
      <w:r>
        <w:rPr>
          <w:b/>
          <w:bCs/>
          <w:color w:val="0F766E"/>
          <w:sz w:val="17"/>
          <w:szCs w:val="17"/>
        </w:rPr>
        <w:t xml:space="preserve">Key equation.</w:t>
      </w:r>
      <w:r>
        <w:rPr>
          <w:i/>
          <w:iCs/>
          <w:color w:val="5B6573"/>
          <w:sz w:val="15"/>
          <w:szCs w:val="15"/>
        </w:rPr>
        <w:t xml:space="preserve">  Site-level augmented estimator of the target-population mean outcome, with outcome model, propensity and density ratio estimated multiply robustly (representative formulation)</w:t>
      </w:r>
    </w:p>
    <w:p>
      <w:pPr>
        <w:pStyle w:val="Equation"/>
      </w:pPr>
      <m:oMathPara>
        <m:oMathParaPr>
          <m:jc m:val="center"/>
        </m:oMathParaPr>
        <m:oMath>
          <m:sSub>
            <m:e>
              <m:acc>
                <m:accPr>
                  <m:chr m:val="̂"/>
                </m:accPr>
                <m:e>
                  <m:r>
                    <m:t>μ</m:t>
                  </m:r>
                </m:e>
              </m:acc>
            </m:e>
            <m:sub>
              <m:r>
                <m:t>a</m:t>
              </m:r>
              <m:r>
                <m:rPr>
                  <m:sty m:val="p"/>
                </m:rPr>
                <m:t>,</m:t>
              </m:r>
              <m:r>
                <m:t>k</m:t>
              </m:r>
            </m:sub>
          </m:sSub>
          <m:r>
            <m:rPr>
              <m:sty m:val="p"/>
            </m:rPr>
            <m:t>=</m:t>
          </m:r>
          <m:f>
            <m:fPr>
              <m:type m:val="bar"/>
            </m:fPr>
            <m:num>
              <m:r>
                <m:t>1</m:t>
              </m:r>
            </m:num>
            <m:den>
              <m:sSub>
                <m:e>
                  <m:r>
                    <m:t>n</m:t>
                  </m:r>
                </m:e>
                <m:sub>
                  <m:r>
                    <m:t>T</m:t>
                  </m:r>
                </m:sub>
              </m:sSub>
            </m:den>
          </m:f>
          <m:nary>
            <m:naryPr>
              <m:chr m:val="∑"/>
              <m:limLoc m:val="undOvr"/>
              <m:subHide m:val="off"/>
              <m:supHide m:val="on"/>
            </m:naryPr>
            <m:sub>
              <m:r>
                <m:t>i</m:t>
              </m:r>
              <m:r>
                <m:rPr>
                  <m:sty m:val="p"/>
                </m:rPr>
                <m:t>∈</m:t>
              </m:r>
              <m:r>
                <m:t>T</m:t>
              </m:r>
            </m:sub>
            <m:sup>
              <m:r>
                <m:t>​</m:t>
              </m:r>
            </m:sup>
            <m:e>
              <m:sSub>
                <m:e>
                  <m:acc>
                    <m:accPr>
                      <m:chr m:val="̂"/>
                    </m:accPr>
                    <m:e>
                      <m:r>
                        <m:t>m</m:t>
                      </m:r>
                    </m:e>
                  </m:acc>
                </m:e>
                <m:sub>
                  <m:r>
                    <m:t>a</m:t>
                  </m:r>
                  <m:r>
                    <m:rPr>
                      <m:sty m:val="p"/>
                    </m:rPr>
                    <m:t>,</m:t>
                  </m:r>
                  <m:r>
                    <m:t>k</m:t>
                  </m:r>
                </m:sub>
              </m:sSub>
            </m:e>
          </m:nary>
          <m:d>
            <m:dPr>
              <m:begChr m:val="("/>
              <m:sepChr m:val=""/>
              <m:endChr m:val=")"/>
              <m:grow/>
            </m:dPr>
            <m:e>
              <m:sSub>
                <m:e>
                  <m:r>
                    <m:t>X</m:t>
                  </m:r>
                </m:e>
                <m:sub>
                  <m:r>
                    <m:t>i</m:t>
                  </m:r>
                </m:sub>
              </m:sSub>
            </m:e>
          </m:d>
          <m:r>
            <m:rPr>
              <m:sty m:val="p"/>
            </m:rPr>
            <m:t>+</m:t>
          </m:r>
          <m:f>
            <m:fPr>
              <m:type m:val="bar"/>
            </m:fPr>
            <m:num>
              <m:r>
                <m:t>1</m:t>
              </m:r>
            </m:num>
            <m:den>
              <m:sSub>
                <m:e>
                  <m:r>
                    <m:t>n</m:t>
                  </m:r>
                </m:e>
                <m:sub>
                  <m:r>
                    <m:t>k</m:t>
                  </m:r>
                </m:sub>
              </m:sSub>
            </m:den>
          </m:f>
          <m:nary>
            <m:naryPr>
              <m:chr m:val="∑"/>
              <m:limLoc m:val="undOvr"/>
              <m:subHide m:val="off"/>
              <m:supHide m:val="on"/>
            </m:naryPr>
            <m:sub>
              <m:r>
                <m:t>i</m:t>
              </m:r>
              <m:r>
                <m:rPr>
                  <m:sty m:val="p"/>
                </m:rPr>
                <m:t>∈</m:t>
              </m:r>
              <m:sSub>
                <m:e>
                  <m:r>
                    <m:t>S</m:t>
                  </m:r>
                </m:e>
                <m:sub>
                  <m:r>
                    <m:t>k</m:t>
                  </m:r>
                </m:sub>
              </m:sSub>
            </m:sub>
            <m:sup>
              <m:r>
                <m:t>​</m:t>
              </m:r>
            </m:sup>
            <m:e>
              <m:sSub>
                <m:e>
                  <m:acc>
                    <m:accPr>
                      <m:chr m:val="̂"/>
                    </m:accPr>
                    <m:e>
                      <m:r>
                        <m:t>ω</m:t>
                      </m:r>
                    </m:e>
                  </m:acc>
                </m:e>
                <m:sub>
                  <m:r>
                    <m:t>k</m:t>
                  </m:r>
                </m:sub>
              </m:sSub>
            </m:e>
          </m:nary>
          <m:d>
            <m:dPr>
              <m:begChr m:val="("/>
              <m:sepChr m:val=""/>
              <m:endChr m:val=")"/>
              <m:grow/>
            </m:dPr>
            <m:e>
              <m:sSub>
                <m:e>
                  <m:r>
                    <m:t>X</m:t>
                  </m:r>
                </m:e>
                <m:sub>
                  <m:r>
                    <m:t>i</m:t>
                  </m:r>
                </m:sub>
              </m:sSub>
            </m:e>
          </m:d>
          <m:f>
            <m:fPr>
              <m:type m:val="bar"/>
            </m:fPr>
            <m:num>
              <m:r>
                <m:t>I</m:t>
              </m:r>
              <m:d>
                <m:dPr>
                  <m:begChr m:val="("/>
                  <m:sepChr m:val=""/>
                  <m:endChr m:val=")"/>
                  <m:grow/>
                </m:dPr>
                <m:e>
                  <m:sSub>
                    <m:e>
                      <m:r>
                        <m:t>A</m:t>
                      </m:r>
                    </m:e>
                    <m:sub>
                      <m:r>
                        <m:t>i</m:t>
                      </m:r>
                    </m:sub>
                  </m:sSub>
                  <m:r>
                    <m:rPr>
                      <m:sty m:val="p"/>
                    </m:rPr>
                    <m:t>=</m:t>
                  </m:r>
                  <m:r>
                    <m:t>a</m:t>
                  </m:r>
                </m:e>
              </m:d>
            </m:num>
            <m:den>
              <m:sSub>
                <m:e>
                  <m:acc>
                    <m:accPr>
                      <m:chr m:val="̂"/>
                    </m:accPr>
                    <m:e>
                      <m:r>
                        <m:t>π</m:t>
                      </m:r>
                    </m:e>
                  </m:acc>
                </m:e>
                <m:sub>
                  <m:r>
                    <m:t>a</m:t>
                  </m:r>
                  <m:r>
                    <m:rPr>
                      <m:sty m:val="p"/>
                    </m:rPr>
                    <m:t>,</m:t>
                  </m:r>
                  <m:r>
                    <m:t>k</m:t>
                  </m:r>
                </m:sub>
              </m:sSub>
              <m:d>
                <m:dPr>
                  <m:begChr m:val="("/>
                  <m:sepChr m:val=""/>
                  <m:endChr m:val=")"/>
                  <m:grow/>
                </m:dPr>
                <m:e>
                  <m:sSub>
                    <m:e>
                      <m:r>
                        <m:t>X</m:t>
                      </m:r>
                    </m:e>
                    <m:sub>
                      <m:r>
                        <m:t>i</m:t>
                      </m:r>
                    </m:sub>
                  </m:sSub>
                </m:e>
              </m:d>
            </m:den>
          </m:f>
          <m:d>
            <m:dPr>
              <m:begChr m:val="{"/>
              <m:sepChr m:val=""/>
              <m:endChr m:val="}"/>
              <m:grow/>
            </m:dPr>
            <m:e>
              <m:sSub>
                <m:e>
                  <m:r>
                    <m:t>Y</m:t>
                  </m:r>
                </m:e>
                <m:sub>
                  <m:r>
                    <m:t>i</m:t>
                  </m:r>
                </m:sub>
              </m:sSub>
              <m:r>
                <m:rPr>
                  <m:sty m:val="p"/>
                </m:rPr>
                <m:t>−</m:t>
              </m:r>
              <m:sSub>
                <m:e>
                  <m:acc>
                    <m:accPr>
                      <m:chr m:val="̂"/>
                    </m:accPr>
                    <m:e>
                      <m:r>
                        <m:t>m</m:t>
                      </m:r>
                    </m:e>
                  </m:acc>
                </m:e>
                <m:sub>
                  <m:r>
                    <m:t>a</m:t>
                  </m:r>
                  <m:r>
                    <m:rPr>
                      <m:sty m:val="p"/>
                    </m:rPr>
                    <m:t>,</m:t>
                  </m:r>
                  <m:r>
                    <m:t>k</m:t>
                  </m:r>
                </m:sub>
              </m:sSub>
              <m:d>
                <m:dPr>
                  <m:begChr m:val="("/>
                  <m:sepChr m:val=""/>
                  <m:endChr m:val=")"/>
                  <m:grow/>
                </m:dPr>
                <m:e>
                  <m:sSub>
                    <m:e>
                      <m:r>
                        <m:t>X</m:t>
                      </m:r>
                    </m:e>
                    <m:sub>
                      <m:r>
                        <m:t>i</m:t>
                      </m:r>
                    </m:sub>
                  </m:sSub>
                </m:e>
              </m:d>
            </m:e>
          </m:d>
        </m:oMath>
      </m:oMathPara>
    </w:p>
    <w:p>
      <w:pPr>
        <w:spacing w:after="60"/>
        <w:jc w:val="both"/>
      </w:pPr>
      <m:oMath>
        <m:sSub>
          <m:e>
            <m:acc>
              <m:accPr>
                <m:chr m:val="̂"/>
              </m:accPr>
              <m:e>
                <m:r>
                  <m:t>m</m:t>
                </m:r>
              </m:e>
            </m:acc>
          </m:e>
          <m:sub>
            <m:r>
              <m:t>a</m:t>
            </m:r>
            <m:r>
              <m:rPr>
                <m:sty m:val="p"/>
              </m:rPr>
              <m:t>,</m:t>
            </m:r>
            <m:r>
              <m:t>k</m:t>
            </m:r>
          </m:sub>
        </m:sSub>
      </m:oMath>
      <w:r>
        <w:rPr>
          <w:color w:val="3A4350"/>
          <w:sz w:val="15"/>
          <w:szCs w:val="15"/>
        </w:rPr>
        <w:t xml:space="preserve"> is an outcome regression under treatment </w:t>
      </w:r>
      <m:oMath>
        <m:r>
          <m:t>a</m:t>
        </m:r>
      </m:oMath>
      <w:r>
        <w:rPr>
          <w:color w:val="3A4350"/>
          <w:sz w:val="15"/>
          <w:szCs w:val="15"/>
        </w:rPr>
        <w:t xml:space="preserve"> fitted at source site </w:t>
      </w:r>
      <m:oMath>
        <m:sSub>
          <m:e>
            <m:r>
              <m:t>S</m:t>
            </m:r>
          </m:e>
          <m:sub>
            <m:r>
              <m:t>k</m:t>
            </m:r>
          </m:sub>
        </m:sSub>
      </m:oMath>
      <w:r>
        <w:rPr>
          <w:color w:val="3A4350"/>
          <w:sz w:val="15"/>
          <w:szCs w:val="15"/>
        </w:rPr>
        <w:t xml:space="preserve"> and evaluated on the target sample </w:t>
      </w:r>
      <m:oMath>
        <m:r>
          <m:t>T</m:t>
        </m:r>
      </m:oMath>
      <w:r>
        <w:rPr>
          <w:color w:val="3A4350"/>
          <w:sz w:val="15"/>
          <w:szCs w:val="15"/>
        </w:rPr>
        <w:t xml:space="preserve">, </w:t>
      </w:r>
      <m:oMath>
        <m:sSub>
          <m:e>
            <m:acc>
              <m:accPr>
                <m:chr m:val="̂"/>
              </m:accPr>
              <m:e>
                <m:r>
                  <m:t>π</m:t>
                </m:r>
              </m:e>
            </m:acc>
          </m:e>
          <m:sub>
            <m:r>
              <m:t>a</m:t>
            </m:r>
            <m:r>
              <m:rPr>
                <m:sty m:val="p"/>
              </m:rPr>
              <m:t>,</m:t>
            </m:r>
            <m:r>
              <m:t>k</m:t>
            </m:r>
          </m:sub>
        </m:sSub>
      </m:oMath>
      <w:r>
        <w:rPr>
          <w:color w:val="3A4350"/>
          <w:sz w:val="15"/>
          <w:szCs w:val="15"/>
        </w:rPr>
        <w:t xml:space="preserve"> the propensity at site </w:t>
      </w:r>
      <m:oMath>
        <m:r>
          <m:t>k</m:t>
        </m:r>
      </m:oMath>
      <w:r>
        <w:rPr>
          <w:color w:val="3A4350"/>
          <w:sz w:val="15"/>
          <w:szCs w:val="15"/>
        </w:rPr>
        <w:t xml:space="preserve"> and </w:t>
      </w:r>
      <m:oMath>
        <m:sSub>
          <m:e>
            <m:acc>
              <m:accPr>
                <m:chr m:val="̂"/>
              </m:accPr>
              <m:e>
                <m:r>
                  <m:t>ω</m:t>
                </m:r>
              </m:e>
            </m:acc>
          </m:e>
          <m:sub>
            <m:r>
              <m:t>k</m:t>
            </m:r>
          </m:sub>
        </m:sSub>
      </m:oMath>
      <w:r>
        <w:rPr>
          <w:color w:val="3A4350"/>
          <w:sz w:val="15"/>
          <w:szCs w:val="15"/>
        </w:rPr>
        <w:t xml:space="preserve"> the density ratio from site </w:t>
      </w:r>
      <m:oMath>
        <m:r>
          <m:t>k</m:t>
        </m:r>
      </m:oMath>
      <w:r>
        <w:rPr>
          <w:color w:val="3A4350"/>
          <w:sz w:val="15"/>
          <w:szCs w:val="15"/>
        </w:rPr>
        <w:t xml:space="preserve"> to the target; the site estimates are then combined with </w:t>
      </w:r>
      <m:oMath>
        <m:sSub>
          <m:e>
            <m:r>
              <m:t>L</m:t>
            </m:r>
          </m:e>
          <m:sub>
            <m:r>
              <m:t>1</m:t>
            </m:r>
          </m:sub>
        </m:sSub>
      </m:oMath>
      <w:r>
        <w:rPr>
          <w:color w:val="3A4350"/>
          <w:sz w:val="15"/>
          <w:szCs w:val="15"/>
        </w:rPr>
        <w:t xml:space="preserve">-penalised ensemble weights.</w:t>
      </w:r>
    </w:p>
    <w:p>
      <w:pPr>
        <w:spacing w:after="60"/>
        <w:jc w:val="both"/>
      </w:pPr>
      <w:r>
        <w:rPr>
          <w:b/>
          <w:bCs/>
          <w:color w:val="0F766E"/>
          <w:sz w:val="17"/>
          <w:szCs w:val="17"/>
        </w:rPr>
        <w:t xml:space="preserve">Link to the Fushë-Kuqe records. </w:t>
      </w:r>
      <w:r>
        <w:rPr>
          <w:sz w:val="17"/>
          <w:szCs w:val="17"/>
        </w:rPr>
        <w:t xml:space="preserve">Belongs to theme F (merging datasets for causal inference). The Fushë-Kuqe holders are likely to record different covariates, for example transmissivity only where research pumping tests were run. Covariate mismatch is therefore built in, and multiply robust site estimates let each institution's contribution be valued without forcing all of them onto one outcome model.</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extends federated target-effect estimation to sites that record different covariates, the normal situation when institutions keep their own records, and couples multiple robustness with adaptive transfer weights. NeurIPS 2023 main track, from Zubizarreta's group at Harvard.</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guarantees concern one average effect with positivity at every source. Whether the ensemble weights still rank sources sensibly when the effect varies with distance to the sea and the coastal strip has almost no hard-pumped wells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multiply robust nuisance estimation that tolerates covariate mismatch across sites, combined with </w:t>
      </w:r>
      <m:oMath>
        <m:sSub>
          <m:e>
            <m:r>
              <m:t>L</m:t>
            </m:r>
          </m:e>
          <m:sub>
            <m:r>
              <m:t>1</m:t>
            </m:r>
          </m:sub>
        </m:sSub>
      </m:oMath>
      <w:r>
        <w:rPr>
          <w:sz w:val="17"/>
          <w:szCs w:val="17"/>
        </w:rPr>
        <w:t xml:space="preserve">-penalised ensemble weights learnt by transfer learning. Proposed extension: give each Fushë-Kuqe institution candidate outcome models on its own covariates, compute the ensemble weights from summaries only, and test on the zonal flow model whether a near-zero weight predicts a low information gain from merging that institution.</w:t>
      </w:r>
    </w:p>
    <w:p>
      <w:pPr>
        <w:keepNext/>
        <w:pBdr>
          <w:top w:val="single" w:color="0F766E" w:sz="6" w:space="4"/>
        </w:pBdr>
        <w:spacing w:after="60" w:before="220"/>
      </w:pPr>
      <w:r>
        <w:rPr>
          <w:b/>
          <w:bCs/>
          <w:color w:val="0F766E"/>
          <w:sz w:val="23"/>
          <w:szCs w:val="23"/>
        </w:rPr>
        <w:t xml:space="preserve">F3  </w:t>
      </w:r>
      <w:r>
        <w:rPr>
          <w:b/>
          <w:bCs/>
          <w:color w:val="1F3864"/>
          <w:sz w:val="23"/>
          <w:szCs w:val="23"/>
        </w:rPr>
        <w:t xml:space="preserve">BayesIMP: Uncertainty Quantification for Causal Data Fusion</w:t>
      </w:r>
    </w:p>
    <w:p>
      <w:pPr>
        <w:keepNext/>
        <w:spacing w:after="60" w:line="240" w:lineRule="auto"/>
      </w:pPr>
      <w:r>
        <w:rPr>
          <w:b/>
          <w:bCs/>
          <w:color w:val="333B47"/>
          <w:sz w:val="15"/>
          <w:szCs w:val="15"/>
        </w:rPr>
        <w:t xml:space="preserve">Authors: </w:t>
      </w:r>
      <w:r>
        <w:rPr>
          <w:sz w:val="15"/>
          <w:szCs w:val="15"/>
        </w:rPr>
        <w:t xml:space="preserve">Siu Lun Chau, Jean-François Ton, Javier González, Yee Whye Teh, Dino Sejdinovic</w:t>
      </w:r>
      <w:r>
        <w:rPr>
          <w:sz w:val="15"/>
          <w:szCs w:val="15"/>
        </w:rPr>
        <w:t xml:space="preserve">   </w:t>
      </w:r>
      <w:r>
        <w:rPr>
          <w:b/>
          <w:bCs/>
          <w:color w:val="333B47"/>
          <w:sz w:val="15"/>
          <w:szCs w:val="15"/>
        </w:rPr>
        <w:t xml:space="preserve">Published in: </w:t>
      </w:r>
      <w:r>
        <w:rPr>
          <w:sz w:val="15"/>
          <w:szCs w:val="15"/>
        </w:rPr>
        <w:t xml:space="preserve">Advances in Neural Information Processing Systems 34 (NeurIPS 2021); arXiv 2106.03477</w:t>
      </w:r>
      <w:r>
        <w:rPr>
          <w:sz w:val="15"/>
          <w:szCs w:val="15"/>
        </w:rPr>
        <w:t xml:space="preserve">   </w:t>
      </w:r>
      <w:r>
        <w:rPr>
          <w:b/>
          <w:bCs/>
          <w:color w:val="333B47"/>
          <w:sz w:val="15"/>
          <w:szCs w:val="15"/>
        </w:rPr>
        <w:t xml:space="preserve">Link: </w:t>
      </w:r>
      <w:hyperlink w:history="1" r:id="rIdaetyygjenzsl4b0obsc5j">
        <w:r>
          <w:rPr>
            <w:color w:val="1D4ED8"/>
            <w:sz w:val="15"/>
            <w:szCs w:val="15"/>
            <w:u w:val="single"/>
          </w:rPr>
          <w:t xml:space="preserve">https://papers.nips.cc/paper/2021/hash/1ca5c750a30312d1919ae6a4d636dcc4-Abstract.html</w:t>
        </w:r>
      </w:hyperlink>
    </w:p>
    <w:p>
      <w:pPr>
        <w:keepNext/>
        <w:spacing w:after="80" w:line="240" w:lineRule="auto"/>
      </w:pPr>
      <w:r>
        <w:rPr>
          <w:b/>
          <w:bCs/>
          <w:color w:val="333B47"/>
          <w:sz w:val="15"/>
          <w:szCs w:val="15"/>
        </w:rPr>
        <w:t xml:space="preserve">Affiliation: </w:t>
      </w:r>
      <w:r>
        <w:rPr>
          <w:color w:val="3A4350"/>
          <w:sz w:val="15"/>
          <w:szCs w:val="15"/>
        </w:rPr>
        <w:t xml:space="preserve">Dino Sejdinovic, Associate Professor in Statistics, University of Oxford (Oxford CSML profile, which lists BayesIMP); Siu Lun Chau, DPhil University of Oxford 2023 supervised by Sejdinovic (Mathematics Genealogy Project); the paper is also listed by Microsoft Research (González). Affiliations of Ton and Teh were not seen in a search result.</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(3/5)</w:t>
      </w:r>
    </w:p>
    <w:p>
      <w:pPr>
        <w:spacing w:after="60"/>
        <w:jc w:val="both"/>
      </w:pPr>
      <w:r>
        <w:rPr>
          <w:b/>
          <w:bCs/>
          <w:color w:val="0F766E"/>
          <w:sz w:val="17"/>
          <w:szCs w:val="17"/>
        </w:rPr>
        <w:t xml:space="preserve">Summary. </w:t>
      </w:r>
      <w:r>
        <w:rPr>
          <w:sz w:val="17"/>
          <w:szCs w:val="17"/>
        </w:rPr>
        <w:t xml:space="preserve">Causal data fusion combines datasets from several causal graphs, for example one recording the treatment and an intermediate variable and another recording that variable and the target, to estimate an average treatment effect that neither identifies alone. Because the sources differ in size and quality, uncertainty must be carried from each into the fused estimate. The paper introduces Bayesian Interventional Mean Processes, which represent interventional distributions as kernel mean embeddings in an RKHS and, using ideas from probabilistic integration, account for the uncertainty within each graph, giving a posterior for the fused effect. It is applied to causal Bayesian optimisation; its results are Bayesian computations, not rate theorems.</w:t>
      </w:r>
    </w:p>
    <w:p>
      <w:pPr>
        <w:keepNext/>
        <w:spacing w:after="20" w:before="40"/>
      </w:pPr>
      <w:r>
        <w:rPr>
          <w:b/>
          <w:bCs/>
          <w:color w:val="0F766E"/>
          <w:sz w:val="17"/>
          <w:szCs w:val="17"/>
        </w:rPr>
        <w:t xml:space="preserve">Key equation.</w:t>
      </w:r>
      <w:r>
        <w:rPr>
          <w:i/>
          <w:iCs/>
          <w:color w:val="5B6573"/>
          <w:sz w:val="15"/>
          <w:szCs w:val="15"/>
        </w:rPr>
        <w:t xml:space="preserve">  Fused interventional mean as an RKHS inner product between the regression of the target on the shared variable and the interventional embedding of that variable (representative formulation)</w:t>
      </w:r>
    </w:p>
    <w:p>
      <w:pPr>
        <w:pStyle w:val="Equation"/>
      </w:pPr>
      <m:oMathPara>
        <m:oMathParaPr>
          <m:jc m:val="center"/>
        </m:oMathParaPr>
        <m:oMath>
          <m:r>
            <m:t>g</m:t>
          </m:r>
          <m:d>
            <m:dPr>
              <m:begChr m:val="("/>
              <m:sepChr m:val=""/>
              <m:endChr m:val=")"/>
              <m:grow/>
            </m:dPr>
            <m:e>
              <m:r>
                <m:t>x</m:t>
              </m:r>
            </m:e>
          </m:d>
          <m:r>
            <m:rPr>
              <m:sty m:val="p"/>
            </m:rPr>
            <m:t>=</m:t>
          </m:r>
          <m:r>
            <m:rPr>
              <m:scr m:val="double-struck"/>
              <m:sty m:val="p"/>
            </m:rPr>
            <m:t>E</m:t>
          </m:r>
          <m:d>
            <m:dPr>
              <m:begChr m:val="["/>
              <m:sepChr m:val=""/>
              <m:endChr m:val="]"/>
              <m:grow/>
            </m:dPr>
            <m:e>
              <m:r>
                <m:t>T</m:t>
              </m:r>
              <m:r>
                <m:rPr>
                  <m:sty m:val="p"/>
                </m:rPr>
                <m:t>∣</m:t>
              </m:r>
              <m:r>
                <m:rPr>
                  <m:nor/>
                </m:rPr>
                <m:t>do</m:t>
              </m:r>
              <m:d>
                <m:dPr>
                  <m:begChr m:val="("/>
                  <m:sepChr m:val=""/>
                  <m:endChr m:val=")"/>
                  <m:grow/>
                </m:dPr>
                <m:e>
                  <m:r>
                    <m:t>X</m:t>
                  </m:r>
                  <m:r>
                    <m:rPr>
                      <m:sty m:val="p"/>
                    </m:rPr>
                    <m:t>=</m:t>
                  </m:r>
                  <m:r>
                    <m:t>x</m:t>
                  </m:r>
                </m:e>
              </m:d>
            </m:e>
          </m:d>
          <m:r>
            <m:rPr>
              <m:sty m:val="p"/>
            </m:rPr>
            <m:t>=</m:t>
          </m:r>
          <m:r>
            <m:rPr>
              <m:sty m:val="p"/>
            </m:rPr>
            <m:t>∫</m:t>
          </m:r>
          <m:r>
            <m:t>f</m:t>
          </m:r>
          <m:d>
            <m:dPr>
              <m:begChr m:val="("/>
              <m:sepChr m:val=""/>
              <m:endChr m:val=")"/>
              <m:grow/>
            </m:dPr>
            <m:e>
              <m:r>
                <m:t>y</m:t>
              </m:r>
            </m:e>
          </m:d>
          <m:r>
            <m:t>p</m:t>
          </m:r>
          <m:d>
            <m:dPr>
              <m:begChr m:val="("/>
              <m:sepChr m:val=""/>
              <m:endChr m:val=")"/>
              <m:grow/>
            </m:dPr>
            <m:e>
              <m:r>
                <m:t>y</m:t>
              </m:r>
              <m:r>
                <m:rPr>
                  <m:sty m:val="p"/>
                </m:rPr>
                <m:t>∣</m:t>
              </m:r>
              <m:r>
                <m:rPr>
                  <m:nor/>
                </m:rPr>
                <m:t>do</m:t>
              </m:r>
              <m:d>
                <m:dPr>
                  <m:begChr m:val="("/>
                  <m:sepChr m:val=""/>
                  <m:endChr m:val=")"/>
                  <m:grow/>
                </m:dPr>
                <m:e>
                  <m:r>
                    <m:t>x</m:t>
                  </m:r>
                </m:e>
              </m:d>
            </m:e>
          </m:d>
          <m:r>
            <m:t>d</m:t>
          </m:r>
          <m:r>
            <m:t>y</m:t>
          </m:r>
          <m:r>
            <m:rPr>
              <m:sty m:val="p"/>
            </m:rPr>
            <m:t>=</m:t>
          </m:r>
          <m:sSub>
            <m:e>
              <m:d>
                <m:dPr>
                  <m:begChr m:val="⟨"/>
                  <m:sepChr m:val=""/>
                  <m:endChr m:val="⟩"/>
                  <m:grow/>
                </m:dPr>
                <m:e>
                  <m:r>
                    <m:t>f</m:t>
                  </m:r>
                  <m:r>
                    <m:rPr>
                      <m:sty m:val="p"/>
                    </m:rPr>
                    <m:t>,</m:t>
                  </m:r>
                  <m:sSub>
                    <m:e>
                      <m:r>
                        <m:t>μ</m:t>
                      </m:r>
                    </m:e>
                    <m:sub>
                      <m:r>
                        <m:t>Y</m:t>
                      </m:r>
                      <m:r>
                        <m:rPr>
                          <m:sty m:val="p"/>
                        </m:rPr>
                        <m:t>∣</m:t>
                      </m:r>
                      <m:r>
                        <m:rPr>
                          <m:nor/>
                        </m:rPr>
                        <m:t>do</m:t>
                      </m:r>
                      <m:d>
                        <m:dPr>
                          <m:begChr m:val="("/>
                          <m:sepChr m:val=""/>
                          <m:endChr m:val=")"/>
                          <m:grow/>
                        </m:dPr>
                        <m:e>
                          <m:r>
                            <m:t>x</m:t>
                          </m:r>
                        </m:e>
                      </m:d>
                    </m:sub>
                  </m:sSub>
                </m:e>
              </m:d>
            </m:e>
            <m:sub>
              <m:sSub>
                <m:e>
                  <m:r>
                    <m:rPr>
                      <m:scr m:val="script"/>
                      <m:sty m:val="p"/>
                    </m:rPr>
                    <m:t>H</m:t>
                  </m:r>
                </m:e>
                <m:sub>
                  <m:sSub>
                    <m:e>
                      <m:r>
                        <m:t>k</m:t>
                      </m:r>
                    </m:e>
                    <m:sub>
                      <m:r>
                        <m:t>y</m:t>
                      </m:r>
                    </m:sub>
                  </m:sSub>
                </m:sub>
              </m:sSub>
            </m:sub>
          </m:sSub>
        </m:oMath>
      </m:oMathPara>
    </w:p>
    <w:p>
      <w:pPr>
        <w:spacing w:after="60"/>
        <w:jc w:val="both"/>
      </w:pPr>
      <m:oMath>
        <m:r>
          <m:t>f</m:t>
        </m:r>
        <m:d>
          <m:dPr>
            <m:begChr m:val="("/>
            <m:sepChr m:val=""/>
            <m:endChr m:val=")"/>
            <m:grow/>
          </m:dPr>
          <m:e>
            <m:r>
              <m:t>y</m:t>
            </m:r>
          </m:e>
        </m:d>
        <m:r>
          <m:rPr>
            <m:sty m:val="p"/>
          </m:rPr>
          <m:t>=</m:t>
        </m:r>
        <m:r>
          <m:rPr>
            <m:scr m:val="double-struck"/>
            <m:sty m:val="p"/>
          </m:rPr>
          <m:t>E</m:t>
        </m:r>
        <m:d>
          <m:dPr>
            <m:begChr m:val="["/>
            <m:sepChr m:val=""/>
            <m:endChr m:val="]"/>
            <m:grow/>
          </m:dPr>
          <m:e>
            <m:r>
              <m:t>T</m:t>
            </m:r>
            <m:r>
              <m:rPr>
                <m:sty m:val="p"/>
              </m:rPr>
              <m:t>∣</m:t>
            </m:r>
            <m:r>
              <m:t>Y</m:t>
            </m:r>
            <m:r>
              <m:rPr>
                <m:sty m:val="p"/>
              </m:rPr>
              <m:t>=</m:t>
            </m:r>
            <m:r>
              <m:t>y</m:t>
            </m:r>
          </m:e>
        </m:d>
      </m:oMath>
      <w:r>
        <w:rPr>
          <w:color w:val="3A4350"/>
          <w:sz w:val="15"/>
          <w:szCs w:val="15"/>
        </w:rPr>
        <w:t xml:space="preserve"> is learnt from the dataset holding </w:t>
      </w:r>
      <m:oMath>
        <m:r>
          <m:t>Y</m:t>
        </m:r>
      </m:oMath>
      <w:r>
        <w:rPr>
          <w:color w:val="3A4350"/>
          <w:sz w:val="15"/>
          <w:szCs w:val="15"/>
        </w:rPr>
        <w:t xml:space="preserve"> and </w:t>
      </w:r>
      <m:oMath>
        <m:r>
          <m:t>T</m:t>
        </m:r>
      </m:oMath>
      <w:r>
        <w:rPr>
          <w:color w:val="3A4350"/>
          <w:sz w:val="15"/>
          <w:szCs w:val="15"/>
        </w:rPr>
        <w:t xml:space="preserve">, </w:t>
      </w:r>
      <m:oMath>
        <m:sSub>
          <m:e>
            <m:r>
              <m:t>μ</m:t>
            </m:r>
          </m:e>
          <m:sub>
            <m:r>
              <m:t>Y</m:t>
            </m:r>
            <m:r>
              <m:rPr>
                <m:sty m:val="p"/>
              </m:rPr>
              <m:t>∣</m:t>
            </m:r>
            <m:r>
              <m:rPr>
                <m:nor/>
              </m:rPr>
              <m:t>do</m:t>
            </m:r>
            <m:d>
              <m:dPr>
                <m:begChr m:val="("/>
                <m:sepChr m:val=""/>
                <m:endChr m:val=")"/>
                <m:grow/>
              </m:dPr>
              <m:e>
                <m:r>
                  <m:t>x</m:t>
                </m:r>
              </m:e>
            </m:d>
          </m:sub>
        </m:sSub>
      </m:oMath>
      <w:r>
        <w:rPr>
          <w:color w:val="3A4350"/>
          <w:sz w:val="15"/>
          <w:szCs w:val="15"/>
        </w:rPr>
        <w:t xml:space="preserve"> is the kernel mean embedding of the interventional distribution of the shared variable </w:t>
      </w:r>
      <m:oMath>
        <m:r>
          <m:t>Y</m:t>
        </m:r>
      </m:oMath>
      <w:r>
        <w:rPr>
          <w:color w:val="3A4350"/>
          <w:sz w:val="15"/>
          <w:szCs w:val="15"/>
        </w:rPr>
        <w:t xml:space="preserve"> learnt from the dataset holding </w:t>
      </w:r>
      <m:oMath>
        <m:r>
          <m:t>X</m:t>
        </m:r>
      </m:oMath>
      <w:r>
        <w:rPr>
          <w:color w:val="3A4350"/>
          <w:sz w:val="15"/>
          <w:szCs w:val="15"/>
        </w:rPr>
        <w:t xml:space="preserve"> and </w:t>
      </w:r>
      <m:oMath>
        <m:r>
          <m:t>Y</m:t>
        </m:r>
      </m:oMath>
      <w:r>
        <w:rPr>
          <w:color w:val="3A4350"/>
          <w:sz w:val="15"/>
          <w:szCs w:val="15"/>
        </w:rPr>
        <w:t xml:space="preserve">, and </w:t>
      </w:r>
      <m:oMath>
        <m:sSub>
          <m:e>
            <m:r>
              <m:rPr>
                <m:scr m:val="script"/>
                <m:sty m:val="p"/>
              </m:rPr>
              <m:t>H</m:t>
            </m:r>
          </m:e>
          <m:sub>
            <m:sSub>
              <m:e>
                <m:r>
                  <m:t>k</m:t>
                </m:r>
              </m:e>
              <m:sub>
                <m:r>
                  <m:t>y</m:t>
                </m:r>
              </m:sub>
            </m:sSub>
          </m:sub>
        </m:sSub>
      </m:oMath>
      <w:r>
        <w:rPr>
          <w:color w:val="3A4350"/>
          <w:sz w:val="15"/>
          <w:szCs w:val="15"/>
        </w:rPr>
        <w:t xml:space="preserve"> is the RKHS of the kernel </w:t>
      </w:r>
      <m:oMath>
        <m:sSub>
          <m:e>
            <m:r>
              <m:t>k</m:t>
            </m:r>
          </m:e>
          <m:sub>
            <m:r>
              <m:t>y</m:t>
            </m:r>
          </m:sub>
        </m:sSub>
      </m:oMath>
      <w:r>
        <w:rPr>
          <w:color w:val="3A4350"/>
          <w:sz w:val="15"/>
          <w:szCs w:val="15"/>
        </w:rPr>
        <w:t xml:space="preserve">; BayesIMP puts Gaussian-process uncertainty on both factors.</w:t>
      </w:r>
    </w:p>
    <w:p>
      <w:pPr>
        <w:spacing w:after="60"/>
        <w:jc w:val="both"/>
      </w:pPr>
      <w:r>
        <w:rPr>
          <w:b/>
          <w:bCs/>
          <w:color w:val="0F766E"/>
          <w:sz w:val="17"/>
          <w:szCs w:val="17"/>
        </w:rPr>
        <w:t xml:space="preserve">Link to the Fushë-Kuqe records. </w:t>
      </w:r>
      <w:r>
        <w:rPr>
          <w:sz w:val="17"/>
          <w:szCs w:val="17"/>
        </w:rPr>
        <w:t xml:space="preserve">Belongs to theme F (merging datasets for causal inference). In Fushë-Kuqe the chain is natural: designed pumping tests link pumping to head, agency monitoring wells link head to chloride. BayesIMP fuses such partial datasets, and its posterior variance shows how uncertainty in each holder's data propagates to the pumping-to-chloride effect at coastal wells.</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made uncertainty in causal data fusion explicit, carrying each source's sampling uncertainty into the fused interventional effect, which is what any value-of-merging calculation needs. NeurIPS 2021 main track, from the Sejdinovic and Teh groups at Oxford.</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BayesIMP quantifies uncertainty after the data are fused; it does not value a fusion before it happens, protect private data or treat poor overlap. Computing its expected variance reduction under secure computation, for chained aquifer datasets, would be new.</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Bayesian treatment of interventional mean embeddings that combines uncertainty from two causal graphs into one posterior for the fused effect. Proposed extension: chain pumping to head (research tests) and head to chloride (agency wells), compute for each candidate merge the expected reduction in posterior variance at coastal wells from summary kernel statistics, and check whether it orders merges as the EIG criterion does.</w:t>
      </w:r>
    </w:p>
    <w:p>
      <w:pPr>
        <w:keepNext/>
        <w:pBdr>
          <w:top w:val="single" w:color="0F766E" w:sz="6" w:space="4"/>
        </w:pBdr>
        <w:spacing w:after="60" w:before="220"/>
      </w:pPr>
      <w:r>
        <w:rPr>
          <w:b/>
          <w:bCs/>
          <w:color w:val="0F766E"/>
          <w:sz w:val="23"/>
          <w:szCs w:val="23"/>
        </w:rPr>
        <w:t xml:space="preserve">F4  </w:t>
      </w:r>
      <w:r>
        <w:rPr>
          <w:b/>
          <w:bCs/>
          <w:color w:val="1F3864"/>
          <w:sz w:val="23"/>
          <w:szCs w:val="23"/>
        </w:rPr>
        <w:t xml:space="preserve">Prediction-powered Generalization of Causal Inferences</w:t>
      </w:r>
    </w:p>
    <w:p>
      <w:pPr>
        <w:keepNext/>
        <w:spacing w:after="60" w:line="240" w:lineRule="auto"/>
      </w:pPr>
      <w:r>
        <w:rPr>
          <w:b/>
          <w:bCs/>
          <w:color w:val="333B47"/>
          <w:sz w:val="15"/>
          <w:szCs w:val="15"/>
        </w:rPr>
        <w:t xml:space="preserve">Authors: </w:t>
      </w:r>
      <w:r>
        <w:rPr>
          <w:sz w:val="15"/>
          <w:szCs w:val="15"/>
        </w:rPr>
        <w:t xml:space="preserve">Ilker Demirel, Ahmed Alaa, Anthony Philippakis, David Sontag</w:t>
      </w:r>
      <w:r>
        <w:rPr>
          <w:sz w:val="15"/>
          <w:szCs w:val="15"/>
        </w:rPr>
        <w:t xml:space="preserve">   </w:t>
      </w:r>
      <w:r>
        <w:rPr>
          <w:b/>
          <w:bCs/>
          <w:color w:val="333B47"/>
          <w:sz w:val="15"/>
          <w:szCs w:val="15"/>
        </w:rPr>
        <w:t xml:space="preserve">Published in: </w:t>
      </w:r>
      <w:r>
        <w:rPr>
          <w:sz w:val="15"/>
          <w:szCs w:val="15"/>
        </w:rPr>
        <w:t xml:space="preserve">Proceedings of the 41st International Conference on Machine Learning, PMLR 235, 10385–10408 (2024); arXiv 2406.02873</w:t>
      </w:r>
      <w:r>
        <w:rPr>
          <w:sz w:val="15"/>
          <w:szCs w:val="15"/>
        </w:rPr>
        <w:t xml:space="preserve">   </w:t>
      </w:r>
      <w:r>
        <w:rPr>
          <w:b/>
          <w:bCs/>
          <w:color w:val="333B47"/>
          <w:sz w:val="15"/>
          <w:szCs w:val="15"/>
        </w:rPr>
        <w:t xml:space="preserve">Link: </w:t>
      </w:r>
      <w:hyperlink w:history="1" r:id="rIdhayjwh2dqdmkmj4_otftf">
        <w:r>
          <w:rPr>
            <w:color w:val="1D4ED8"/>
            <w:sz w:val="15"/>
            <w:szCs w:val="15"/>
            <w:u w:val="single"/>
          </w:rPr>
          <w:t xml:space="preserve">https://proceedings.mlr.press/v235/demirel24a.html</w:t>
        </w:r>
      </w:hyperlink>
    </w:p>
    <w:p>
      <w:pPr>
        <w:keepNext/>
        <w:spacing w:after="80" w:line="240" w:lineRule="auto"/>
      </w:pPr>
      <w:r>
        <w:rPr>
          <w:b/>
          <w:bCs/>
          <w:color w:val="333B47"/>
          <w:sz w:val="15"/>
          <w:szCs w:val="15"/>
        </w:rPr>
        <w:t xml:space="preserve">Affiliation: </w:t>
      </w:r>
      <w:r>
        <w:rPr>
          <w:color w:val="3A4350"/>
          <w:sz w:val="15"/>
          <w:szCs w:val="15"/>
        </w:rPr>
        <w:t xml:space="preserve">David Sontag leads the Clinical Machine Learning Group at MIT CSAIL (CSAIL page in a search result); the paper is listed as a project of the MIT Jameel Clinic and on the group's clinicalml.org page; it is also listed by Ahmed Alaa's lab at UC Berkeley. Demirel's and Philippakis's affiliations were not seen directly.</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(3/5)</w:t>
      </w:r>
    </w:p>
    <w:p>
      <w:pPr>
        <w:spacing w:after="60"/>
        <w:jc w:val="both"/>
      </w:pPr>
      <w:r>
        <w:rPr>
          <w:b/>
          <w:bCs/>
          <w:color w:val="0F766E"/>
          <w:sz w:val="17"/>
          <w:szCs w:val="17"/>
        </w:rPr>
        <w:t xml:space="preserve">Summary. </w:t>
      </w:r>
      <w:r>
        <w:rPr>
          <w:sz w:val="17"/>
          <w:szCs w:val="17"/>
        </w:rPr>
        <w:t xml:space="preserve">A randomised trial identifies the effect in its own population; generalising it to a target population with a different distribution of effect modifiers needs nuisance functions that a small trial estimates poorly, so generalisation from the trial alone is statistically hard. The paper supplements the trial with a prediction model learnt from an additional observational study, making no assumptions on that study: the trial corrects the model's errors, in the manner of prediction-powered inference. The authors show that the resulting estimators generalise better when the observational study is of high quality and remain robust when it is not, for example under unmeasured confounding.</w:t>
      </w:r>
    </w:p>
    <w:p>
      <w:pPr>
        <w:keepNext/>
        <w:spacing w:after="20" w:before="40"/>
      </w:pPr>
      <w:r>
        <w:rPr>
          <w:b/>
          <w:bCs/>
          <w:color w:val="0F766E"/>
          <w:sz w:val="17"/>
          <w:szCs w:val="17"/>
        </w:rPr>
        <w:t xml:space="preserve">Key equation.</w:t>
      </w:r>
      <w:r>
        <w:rPr>
          <w:i/>
          <w:iCs/>
          <w:color w:val="5B6573"/>
          <w:sz w:val="15"/>
          <w:szCs w:val="15"/>
        </w:rPr>
        <w:t xml:space="preserve">  Prediction-powered generalisation: the observational model averaged over the target sample, corrected by a weighted trial residual (representative formulation)</w:t>
      </w:r>
    </w:p>
    <w:p>
      <w:pPr>
        <w:pStyle w:val="Equation"/>
      </w:pPr>
      <m:oMathPara>
        <m:oMathParaPr>
          <m:jc m:val="center"/>
        </m:oMathParaPr>
        <m:oMath>
          <m:sSub>
            <m:e>
              <m:acc>
                <m:accPr>
                  <m:chr m:val="̂"/>
                </m:accPr>
                <m:e>
                  <m:r>
                    <m:t>τ</m:t>
                  </m:r>
                </m:e>
              </m:acc>
            </m:e>
            <m:sub>
              <m:r>
                <m:rPr>
                  <m:nor/>
                </m:rPr>
                <m:t>PP</m:t>
              </m:r>
            </m:sub>
          </m:sSub>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acc>
                <m:accPr>
                  <m:chr m:val="̂"/>
                </m:accPr>
                <m:e>
                  <m:r>
                    <m:t>h</m:t>
                  </m:r>
                </m:e>
              </m:acc>
            </m:e>
          </m:nary>
          <m:d>
            <m:dPr>
              <m:begChr m:val="("/>
              <m:sepChr m:val=""/>
              <m:endChr m:val=")"/>
              <m:grow/>
            </m:dPr>
            <m:e>
              <m:sSub>
                <m:e>
                  <m:r>
                    <m:t>X</m:t>
                  </m:r>
                </m:e>
                <m:sub>
                  <m:r>
                    <m:t>j</m:t>
                  </m:r>
                </m:sub>
              </m:sSub>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w</m:t>
                  </m:r>
                </m:e>
              </m:acc>
            </m:e>
          </m:nary>
          <m:d>
            <m:dPr>
              <m:begChr m:val="("/>
              <m:sepChr m:val=""/>
              <m:endChr m:val=")"/>
              <m:grow/>
            </m:dPr>
            <m:e>
              <m:sSub>
                <m:e>
                  <m:r>
                    <m:t>X</m:t>
                  </m:r>
                </m:e>
                <m:sub>
                  <m:r>
                    <m:t>i</m:t>
                  </m:r>
                </m:sub>
              </m:sSub>
            </m:e>
          </m:d>
          <m:d>
            <m:dPr>
              <m:begChr m:val="{"/>
              <m:sepChr m:val=""/>
              <m:endChr m:val="}"/>
              <m:grow/>
            </m:dPr>
            <m:e>
              <m:sSub>
                <m:e>
                  <m:acc>
                    <m:accPr>
                      <m:chr m:val="̂"/>
                    </m:accPr>
                    <m:e>
                      <m:r>
                        <m:t>ψ</m:t>
                      </m:r>
                    </m:e>
                  </m:acc>
                </m:e>
                <m:sub>
                  <m:r>
                    <m:t>i</m:t>
                  </m:r>
                </m:sub>
              </m:sSub>
              <m:r>
                <m:rPr>
                  <m:sty m:val="p"/>
                </m:rPr>
                <m:t>−</m:t>
              </m:r>
              <m:acc>
                <m:accPr>
                  <m:chr m:val="̂"/>
                </m:accPr>
                <m:e>
                  <m:r>
                    <m:t>h</m:t>
                  </m:r>
                </m:e>
              </m:acc>
              <m:d>
                <m:dPr>
                  <m:begChr m:val="("/>
                  <m:sepChr m:val=""/>
                  <m:endChr m:val=")"/>
                  <m:grow/>
                </m:dPr>
                <m:e>
                  <m:sSub>
                    <m:e>
                      <m:r>
                        <m:t>X</m:t>
                      </m:r>
                    </m:e>
                    <m:sub>
                      <m:r>
                        <m:t>i</m:t>
                      </m:r>
                    </m:sub>
                  </m:sSub>
                </m:e>
              </m:d>
            </m:e>
          </m:d>
        </m:oMath>
      </m:oMathPara>
    </w:p>
    <w:p>
      <w:pPr>
        <w:spacing w:after="60"/>
        <w:jc w:val="both"/>
      </w:pPr>
      <m:oMath>
        <m:acc>
          <m:accPr>
            <m:chr m:val="̂"/>
          </m:accPr>
          <m:e>
            <m:r>
              <m:t>h</m:t>
            </m:r>
          </m:e>
        </m:acc>
      </m:oMath>
      <w:r>
        <w:rPr>
          <w:color w:val="3A4350"/>
          <w:sz w:val="15"/>
          <w:szCs w:val="15"/>
        </w:rPr>
        <w:t xml:space="preserve"> is the effect predictor learnt from the observational study, </w:t>
      </w:r>
      <m:oMath>
        <m:sSub>
          <m:e>
            <m:r>
              <m:t>X</m:t>
            </m:r>
          </m:e>
          <m:sub>
            <m:r>
              <m:t>j</m:t>
            </m:r>
          </m:sub>
        </m:sSub>
      </m:oMath>
      <w:r>
        <w:rPr>
          <w:color w:val="3A4350"/>
          <w:sz w:val="15"/>
          <w:szCs w:val="15"/>
        </w:rPr>
        <w:t xml:space="preserve"> the </w:t>
      </w:r>
      <m:oMath>
        <m:r>
          <m:t>m</m:t>
        </m:r>
      </m:oMath>
      <w:r>
        <w:rPr>
          <w:color w:val="3A4350"/>
          <w:sz w:val="15"/>
          <w:szCs w:val="15"/>
        </w:rPr>
        <w:t xml:space="preserve"> target covariate vectors, </w:t>
      </w:r>
      <m:oMath>
        <m:sSub>
          <m:e>
            <m:acc>
              <m:accPr>
                <m:chr m:val="̂"/>
              </m:accPr>
              <m:e>
                <m:r>
                  <m:t>ψ</m:t>
                </m:r>
              </m:e>
            </m:acc>
          </m:e>
          <m:sub>
            <m:r>
              <m:t>i</m:t>
            </m:r>
          </m:sub>
        </m:sSub>
      </m:oMath>
      <w:r>
        <w:rPr>
          <w:color w:val="3A4350"/>
          <w:sz w:val="15"/>
          <w:szCs w:val="15"/>
        </w:rPr>
        <w:t xml:space="preserve"> a trial pseudo-outcome for the effect on unit </w:t>
      </w:r>
      <m:oMath>
        <m:r>
          <m:t>i</m:t>
        </m:r>
      </m:oMath>
      <w:r>
        <w:rPr>
          <w:color w:val="3A4350"/>
          <w:sz w:val="15"/>
          <w:szCs w:val="15"/>
        </w:rPr>
        <w:t xml:space="preserve"> of </w:t>
      </w:r>
      <m:oMath>
        <m:r>
          <m:t>n</m:t>
        </m:r>
      </m:oMath>
      <w:r>
        <w:rPr>
          <w:color w:val="3A4350"/>
          <w:sz w:val="15"/>
          <w:szCs w:val="15"/>
        </w:rPr>
        <w:t xml:space="preserve"> and </w:t>
      </w:r>
      <m:oMath>
        <m:acc>
          <m:accPr>
            <m:chr m:val="̂"/>
          </m:accPr>
          <m:e>
            <m:r>
              <m:t>w</m:t>
            </m:r>
          </m:e>
        </m:acc>
      </m:oMath>
      <w:r>
        <w:rPr>
          <w:color w:val="3A4350"/>
          <w:sz w:val="15"/>
          <w:szCs w:val="15"/>
        </w:rPr>
        <w:t xml:space="preserve"> the estimated ratio of target to trial covariate densities; with consistent weights the correction term removes the bias of </w:t>
      </w:r>
      <m:oMath>
        <m:acc>
          <m:accPr>
            <m:chr m:val="̂"/>
          </m:accPr>
          <m:e>
            <m:r>
              <m:t>h</m:t>
            </m:r>
          </m:e>
        </m:acc>
      </m:oMath>
      <w:r>
        <w:rPr>
          <w:color w:val="3A4350"/>
          <w:sz w:val="15"/>
          <w:szCs w:val="15"/>
        </w:rPr>
        <w:t xml:space="preserve">.</w:t>
      </w:r>
    </w:p>
    <w:p>
      <w:pPr>
        <w:spacing w:after="60"/>
        <w:jc w:val="both"/>
      </w:pPr>
      <w:r>
        <w:rPr>
          <w:b/>
          <w:bCs/>
          <w:color w:val="0F766E"/>
          <w:sz w:val="17"/>
          <w:szCs w:val="17"/>
        </w:rPr>
        <w:t xml:space="preserve">Link to the Fushë-Kuqe records. </w:t>
      </w:r>
      <w:r>
        <w:rPr>
          <w:sz w:val="17"/>
          <w:szCs w:val="17"/>
        </w:rPr>
        <w:t xml:space="preserve">Belongs to theme F (merging datasets for causal inference). The research campaigns are the Fushë-Kuqe "trial" (designed pumping); the utility and the agency hold large confounded records. The paper shows how those records can still sharpen the coastal effect while the designed tests carry validity, so merging a confounded holder can be worth it.</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brings prediction-powered inference to transportability, a principled way to let large but possibly confounded observational records sharpen a small trial's effect in a new population without inheriting their bias. ICML 2024 main track, from Sontag's MIT group with Alaa (Berkeley).</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observational model is taken as already trained and shared, and the targets are average effects. How much a not-yet-merged confounded dataset would cut variance, judged from summaries before sharing and where trial and target barely overlap, remains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generalisation estimators that use an observational prediction model as a control variate corrected by trial data, valid without assumptions on the observational study. Proposed extension: treat designed pumping tests as the trial and utility and agency records as the observational study; before sharing, estimate from summaries the variance reduction each would bring to the coastal chloride effect, and validate the ranking on synthetic data from the zonal flow model.</w:t>
      </w:r>
    </w:p>
    <w:p>
      <w:pPr>
        <w:keepNext/>
        <w:pBdr>
          <w:top w:val="single" w:color="0F766E" w:sz="6" w:space="4"/>
        </w:pBdr>
        <w:spacing w:after="60" w:before="220"/>
      </w:pPr>
      <w:r>
        <w:rPr>
          <w:b/>
          <w:bCs/>
          <w:color w:val="0F766E"/>
          <w:sz w:val="23"/>
          <w:szCs w:val="23"/>
        </w:rPr>
        <w:t xml:space="preserve">F5  </w:t>
      </w:r>
      <w:r>
        <w:rPr>
          <w:b/>
          <w:bCs/>
          <w:color w:val="1F3864"/>
          <w:sz w:val="23"/>
          <w:szCs w:val="23"/>
        </w:rPr>
        <w:t xml:space="preserve">Communication-Efficient Accurate Statistical Estimation</w:t>
      </w:r>
    </w:p>
    <w:p>
      <w:pPr>
        <w:keepNext/>
        <w:spacing w:after="60" w:line="240" w:lineRule="auto"/>
      </w:pPr>
      <w:r>
        <w:rPr>
          <w:b/>
          <w:bCs/>
          <w:color w:val="333B47"/>
          <w:sz w:val="15"/>
          <w:szCs w:val="15"/>
        </w:rPr>
        <w:t xml:space="preserve">Authors: </w:t>
      </w:r>
      <w:r>
        <w:rPr>
          <w:sz w:val="15"/>
          <w:szCs w:val="15"/>
        </w:rPr>
        <w:t xml:space="preserve">Jianqing Fan, Yongyi Guo, Kaizheng Wang</w:t>
      </w:r>
      <w:r>
        <w:rPr>
          <w:sz w:val="15"/>
          <w:szCs w:val="15"/>
        </w:rPr>
        <w:t xml:space="preserve">   </w:t>
      </w:r>
      <w:r>
        <w:rPr>
          <w:b/>
          <w:bCs/>
          <w:color w:val="333B47"/>
          <w:sz w:val="15"/>
          <w:szCs w:val="15"/>
        </w:rPr>
        <w:t xml:space="preserve">Published in: </w:t>
      </w:r>
      <w:r>
        <w:rPr>
          <w:sz w:val="15"/>
          <w:szCs w:val="15"/>
        </w:rPr>
        <w:t xml:space="preserve">Journal of the American Statistical Association, 118(542), 1000–1010 (April 2023; online September 2021); arXiv 1906.04870</w:t>
      </w:r>
      <w:r>
        <w:rPr>
          <w:sz w:val="15"/>
          <w:szCs w:val="15"/>
        </w:rPr>
        <w:t xml:space="preserve">   </w:t>
      </w:r>
      <w:r>
        <w:rPr>
          <w:b/>
          <w:bCs/>
          <w:color w:val="333B47"/>
          <w:sz w:val="15"/>
          <w:szCs w:val="15"/>
        </w:rPr>
        <w:t xml:space="preserve">Link: </w:t>
      </w:r>
      <w:hyperlink w:history="1" r:id="rIdqbbmygdractgu7c3owdhh">
        <w:r>
          <w:rPr>
            <w:color w:val="1D4ED8"/>
            <w:sz w:val="15"/>
            <w:szCs w:val="15"/>
            <w:u w:val="single"/>
          </w:rPr>
          <w:t xml:space="preserve">https://doi.org/10.1080/01621459.2021.1969238</w:t>
        </w:r>
      </w:hyperlink>
    </w:p>
    <w:p>
      <w:pPr>
        <w:keepNext/>
        <w:spacing w:after="80" w:line="240" w:lineRule="auto"/>
      </w:pPr>
      <w:r>
        <w:rPr>
          <w:b/>
          <w:bCs/>
          <w:color w:val="333B47"/>
          <w:sz w:val="15"/>
          <w:szCs w:val="15"/>
        </w:rPr>
        <w:t xml:space="preserve">Affiliation: </w:t>
      </w:r>
      <w:r>
        <w:rPr>
          <w:color w:val="3A4350"/>
          <w:sz w:val="15"/>
          <w:szCs w:val="15"/>
        </w:rPr>
        <w:t xml:space="preserve">Jianqing Fan and Yongyi Guo, Princeton University; Kaizheng Wang, Columbia University — from the author information of the NIH author manuscript summarised in a search result; the paper is also listed in Princeton's research portal. Volume, issue and pages from the RePEc/IDEAS record.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0F766E"/>
          <w:sz w:val="17"/>
          <w:szCs w:val="17"/>
        </w:rPr>
        <w:t xml:space="preserve">Summary. </w:t>
      </w:r>
      <w:r>
        <w:rPr>
          <w:sz w:val="17"/>
          <w:szCs w:val="17"/>
        </w:rPr>
        <w:t xml:space="preserve">When data sit at several machines or sites that exchange only low-dimensional summaries, averaging local estimators once loses efficiency unless local samples are large. The paper proposes CEASE, two iterative distributed algorithms in which sites compute in parallel and a central processor broadcasts aggregated information for the next update. It proves linear convergence under general conditions without a good initial value, states the contraction rate of the optimisation error explicitly in terms of the local sample size, so convergence adapts to how similar the local losses are, and shows that, as a multistep estimator, CEASE reaches statistical efficiency in finitely many steps, with conditions under which one step suffices.</w:t>
      </w:r>
    </w:p>
    <w:p>
      <w:pPr>
        <w:keepNext/>
        <w:spacing w:after="20" w:before="40"/>
      </w:pPr>
      <w:r>
        <w:rPr>
          <w:b/>
          <w:bCs/>
          <w:color w:val="0F766E"/>
          <w:sz w:val="17"/>
          <w:szCs w:val="17"/>
        </w:rPr>
        <w:t xml:space="preserve">Key equation.</w:t>
      </w:r>
      <w:r>
        <w:rPr>
          <w:i/>
          <w:iCs/>
          <w:color w:val="5B6573"/>
          <w:sz w:val="15"/>
          <w:szCs w:val="15"/>
        </w:rPr>
        <w:t xml:space="preserve">  Gradient-corrected local loss with a proximal term, solved at a site and aggregated by the centre (representative formulation)</w:t>
      </w:r>
    </w:p>
    <w:p>
      <w:pPr>
        <w:pStyle w:val="Equation"/>
      </w:pPr>
      <m:oMathPara>
        <m:oMathParaPr>
          <m:jc m:val="center"/>
        </m:oMathParaPr>
        <m:oMath>
          <m:sSub>
            <m:e>
              <m:r>
                <m:t>β</m:t>
              </m:r>
            </m:e>
            <m:sub>
              <m:r>
                <m:t>t</m:t>
              </m:r>
              <m:r>
                <m:rPr>
                  <m:sty m:val="p"/>
                </m:rPr>
                <m:t>+</m:t>
              </m:r>
              <m:r>
                <m:t>1</m:t>
              </m:r>
            </m:sub>
          </m:sSub>
          <m:r>
            <m:rPr>
              <m:sty m:val="p"/>
            </m:rPr>
            <m:t>=</m:t>
          </m:r>
          <m:r>
            <m:rPr>
              <m:sty m:val="p"/>
            </m:rPr>
            <m:t>arg</m:t>
          </m:r>
          <m:limLow>
            <m:e>
              <m:r>
                <m:rPr>
                  <m:sty m:val="p"/>
                </m:rPr>
                <m:t>min</m:t>
              </m:r>
            </m:e>
            <m:lim>
              <m:r>
                <m:t>β</m:t>
              </m:r>
            </m:lim>
          </m:limLow>
          <m:d>
            <m:dPr>
              <m:begChr m:val="{"/>
              <m:sepChr m:val=""/>
              <m:endChr m:val="}"/>
              <m:grow/>
            </m:dPr>
            <m:e>
              <m:sSub>
                <m:e>
                  <m:r>
                    <m:t>f</m:t>
                  </m:r>
                </m:e>
                <m:sub>
                  <m:r>
                    <m:t>k</m:t>
                  </m:r>
                </m:sub>
              </m:sSub>
              <m:d>
                <m:dPr>
                  <m:begChr m:val="("/>
                  <m:sepChr m:val=""/>
                  <m:endChr m:val=")"/>
                  <m:grow/>
                </m:dPr>
                <m:e>
                  <m:r>
                    <m:t>β</m:t>
                  </m:r>
                </m:e>
              </m:d>
              <m:r>
                <m:rPr>
                  <m:sty m:val="p"/>
                </m:rPr>
                <m:t>−</m:t>
              </m:r>
              <m:d>
                <m:dPr>
                  <m:begChr m:val="⟨"/>
                  <m:sepChr m:val=""/>
                  <m:endChr m:val="⟩"/>
                  <m:grow/>
                </m:dPr>
                <m:e>
                  <m:r>
                    <m:rPr>
                      <m:sty m:val="p"/>
                    </m:rPr>
                    <m:t>∇</m:t>
                  </m:r>
                  <m:sSub>
                    <m:e>
                      <m:r>
                        <m:t>f</m:t>
                      </m:r>
                    </m:e>
                    <m:sub>
                      <m:r>
                        <m:t>k</m:t>
                      </m:r>
                    </m:sub>
                  </m:sSub>
                  <m:d>
                    <m:dPr>
                      <m:begChr m:val="("/>
                      <m:sepChr m:val=""/>
                      <m:endChr m:val=")"/>
                      <m:grow/>
                    </m:dPr>
                    <m:e>
                      <m:sSub>
                        <m:e>
                          <m:r>
                            <m:t>β</m:t>
                          </m:r>
                        </m:e>
                        <m:sub>
                          <m:r>
                            <m:t>t</m:t>
                          </m:r>
                        </m:sub>
                      </m:sSub>
                    </m:e>
                  </m:d>
                  <m:r>
                    <m:rPr>
                      <m:sty m:val="p"/>
                    </m:rPr>
                    <m:t>−</m:t>
                  </m:r>
                  <m:r>
                    <m:rPr>
                      <m:sty m:val="p"/>
                    </m:rPr>
                    <m:t>∇</m:t>
                  </m:r>
                  <m:r>
                    <m:t>f</m:t>
                  </m:r>
                  <m:d>
                    <m:dPr>
                      <m:begChr m:val="("/>
                      <m:sepChr m:val=""/>
                      <m:endChr m:val=")"/>
                      <m:grow/>
                    </m:dPr>
                    <m:e>
                      <m:sSub>
                        <m:e>
                          <m:r>
                            <m:t>β</m:t>
                          </m:r>
                        </m:e>
                        <m:sub>
                          <m:r>
                            <m:t>t</m:t>
                          </m:r>
                        </m:sub>
                      </m:sSub>
                    </m:e>
                  </m:d>
                  <m:r>
                    <m:rPr>
                      <m:sty m:val="p"/>
                    </m:rPr>
                    <m:t>,</m:t>
                  </m:r>
                  <m:r>
                    <m:t>β</m:t>
                  </m:r>
                </m:e>
              </m:d>
              <m:r>
                <m:rPr>
                  <m:sty m:val="p"/>
                </m:rPr>
                <m:t>+</m:t>
              </m:r>
              <m:f>
                <m:fPr>
                  <m:type m:val="bar"/>
                </m:fPr>
                <m:num>
                  <m:r>
                    <m:t>α</m:t>
                  </m:r>
                </m:num>
                <m:den>
                  <m:r>
                    <m:t>2</m:t>
                  </m:r>
                </m:den>
              </m:f>
              <m:sSup>
                <m:e>
                  <m:d>
                    <m:dPr>
                      <m:begChr m:val="‖"/>
                      <m:sepChr m:val=""/>
                      <m:endChr m:val="‖"/>
                      <m:grow/>
                    </m:dPr>
                    <m:e>
                      <m:r>
                        <m:t>β</m:t>
                      </m:r>
                      <m:r>
                        <m:rPr>
                          <m:sty m:val="p"/>
                        </m:rPr>
                        <m:t>−</m:t>
                      </m:r>
                      <m:sSub>
                        <m:e>
                          <m:r>
                            <m:t>β</m:t>
                          </m:r>
                        </m:e>
                        <m:sub>
                          <m:r>
                            <m:t>t</m:t>
                          </m:r>
                        </m:sub>
                      </m:sSub>
                    </m:e>
                  </m:d>
                </m:e>
                <m:sup>
                  <m:r>
                    <m:t>2</m:t>
                  </m:r>
                </m:sup>
              </m:sSup>
            </m:e>
          </m:d>
        </m:oMath>
      </m:oMathPara>
    </w:p>
    <w:p>
      <w:pPr>
        <w:spacing w:after="60"/>
        <w:jc w:val="both"/>
      </w:pPr>
      <m:oMath>
        <m:sSub>
          <m:e>
            <m:r>
              <m:t>f</m:t>
            </m:r>
          </m:e>
          <m:sub>
            <m:r>
              <m:t>k</m:t>
            </m:r>
          </m:sub>
        </m:sSub>
      </m:oMath>
      <w:r>
        <w:rPr>
          <w:color w:val="3A4350"/>
          <w:sz w:val="15"/>
          <w:szCs w:val="15"/>
        </w:rPr>
        <w:t xml:space="preserve"> is the empirical loss at site </w:t>
      </w:r>
      <m:oMath>
        <m:r>
          <m:t>k</m:t>
        </m:r>
      </m:oMath>
      <w:r>
        <w:rPr>
          <w:color w:val="3A4350"/>
          <w:sz w:val="15"/>
          <w:szCs w:val="15"/>
        </w:rPr>
        <w:t xml:space="preserve">, </w:t>
      </w:r>
      <m:oMath>
        <m:r>
          <m:t>f</m:t>
        </m:r>
      </m:oMath>
      <w:r>
        <w:rPr>
          <w:color w:val="3A4350"/>
          <w:sz w:val="15"/>
          <w:szCs w:val="15"/>
        </w:rPr>
        <w:t xml:space="preserve"> the average loss over all sites (only its gradient at </w:t>
      </w:r>
      <m:oMath>
        <m:sSub>
          <m:e>
            <m:r>
              <m:t>β</m:t>
            </m:r>
          </m:e>
          <m:sub>
            <m:r>
              <m:t>t</m:t>
            </m:r>
          </m:sub>
        </m:sSub>
      </m:oMath>
      <w:r>
        <w:rPr>
          <w:color w:val="3A4350"/>
          <w:sz w:val="15"/>
          <w:szCs w:val="15"/>
        </w:rPr>
        <w:t xml:space="preserve"> is communicated), </w:t>
      </w:r>
      <m:oMath>
        <m:sSub>
          <m:e>
            <m:r>
              <m:t>β</m:t>
            </m:r>
          </m:e>
          <m:sub>
            <m:r>
              <m:t>t</m:t>
            </m:r>
          </m:sub>
        </m:sSub>
      </m:oMath>
      <w:r>
        <w:rPr>
          <w:color w:val="3A4350"/>
          <w:sz w:val="15"/>
          <w:szCs w:val="15"/>
        </w:rPr>
        <w:t xml:space="preserve"> the current iterate and </w:t>
      </w:r>
      <m:oMath>
        <m:r>
          <m:t>α</m:t>
        </m:r>
        <m:r>
          <m:rPr>
            <m:sty m:val="p"/>
          </m:rPr>
          <m:t>&gt;</m:t>
        </m:r>
        <m:r>
          <m:t>0</m:t>
        </m:r>
      </m:oMath>
      <w:r>
        <w:rPr>
          <w:color w:val="3A4350"/>
          <w:sz w:val="15"/>
          <w:szCs w:val="15"/>
        </w:rPr>
        <w:t xml:space="preserve"> a proximal parameter; the inner-product term aligns the local loss with the global one.</w:t>
      </w:r>
    </w:p>
    <w:p>
      <w:pPr>
        <w:spacing w:after="60"/>
        <w:jc w:val="both"/>
      </w:pPr>
      <w:r>
        <w:rPr>
          <w:b/>
          <w:bCs/>
          <w:color w:val="0F766E"/>
          <w:sz w:val="17"/>
          <w:szCs w:val="17"/>
        </w:rPr>
        <w:t xml:space="preserve">Link to the Fushë-Kuqe records. </w:t>
      </w:r>
      <w:r>
        <w:rPr>
          <w:sz w:val="17"/>
          <w:szCs w:val="17"/>
        </w:rPr>
        <w:t xml:space="preserve">Belongs to theme F (merging datasets for causal inference). The outcome and propensity models behind a pumping CATE are M-estimators. CEASE shows they can be fitted to the combined Fushë-Kuqe records by exchanging only gradients, with a few rounds reaching pooled-data efficiency, which bounds the communication a secure merge would cost.</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shows how many communication rounds a distributed M-estimator needs to match the pooled estimator: finitely many, with an explicit contraction rate and no need for a good start. JASA (2023), from Jianqing Fan's Princeton group.</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theory targets one parameter shared by all sites and ignores causal estimands and privacy noise. How the contraction rate degrades when sites cover disjoint covariate regions, as coastal hotels and inland utility wells do, and under differentially private gradients,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distributed proximal-point iterations with an explicit contraction rate in the local sample size and finite-step statistical efficiency without good initialisation. Proposed extension: fit the propensity and outcome models of the Fushë-Kuqe CATE by CEASE across the five holders, add calibrated noise to each gradient, and measure on synthetic aquifer data how many rounds and how much privacy budget are needed before the coastal CATE matches the pooled estimate.</w:t>
      </w:r>
    </w:p>
    <w:p>
      <w:pPr>
        <w:pStyle w:val="Heading1"/>
      </w:pPr>
      <w:r>
        <w:rPr>
          <w:color w:val="9A3412"/>
        </w:rPr>
        <w:t xml:space="preserve">6. Privacy for statistical and causal inference</w:t>
      </w:r>
    </w:p>
    <w:p>
      <w:pPr>
        <w:spacing w:after="120"/>
        <w:jc w:val="both"/>
      </w:pPr>
      <w:r>
        <w:t xml:space="preserve">Privacy is treated at the level of tests, products, regressions and synthetic data. Jordan Awan and Salil Vadhan construct canonical noise distributions and private hypothesis tests [P1]; Viveck R. Cadambe, Haewon Jeong and Flavio P. Calmon make secure multiplication differentially private with fewer nodes [P2]; Hyunghoon Cho, Bonnie Berger and colleagues run biobank-scale association studies across holders with encryption and MPC [P3]; Harrison Wilde, Jack Jewson, Sebastian Vollmer and Chris Holmes lay the Bayesian foundations of learning from synthetic data [P4]; and Sahra Ghalebikesabi, Chris Holmes and colleagues remove the bias of differentially private synthetic data [P5].</w:t>
      </w:r>
    </w:p>
    <w:p>
      <w:pPr>
        <w:keepNext/>
        <w:pBdr>
          <w:top w:val="single" w:color="9A3412" w:sz="6" w:space="4"/>
        </w:pBdr>
        <w:spacing w:after="60" w:before="220"/>
      </w:pPr>
      <w:r>
        <w:rPr>
          <w:b/>
          <w:bCs/>
          <w:color w:val="9A3412"/>
          <w:sz w:val="23"/>
          <w:szCs w:val="23"/>
        </w:rPr>
        <w:t xml:space="preserve">P1  </w:t>
      </w:r>
      <w:r>
        <w:rPr>
          <w:b/>
          <w:bCs/>
          <w:color w:val="1F3864"/>
          <w:sz w:val="23"/>
          <w:szCs w:val="23"/>
        </w:rPr>
        <w:t xml:space="preserve">Canonical Noise Distributions and Private Hypothesis Tests</w:t>
      </w:r>
    </w:p>
    <w:p>
      <w:pPr>
        <w:keepNext/>
        <w:spacing w:after="60" w:line="240" w:lineRule="auto"/>
      </w:pPr>
      <w:r>
        <w:rPr>
          <w:b/>
          <w:bCs/>
          <w:color w:val="333B47"/>
          <w:sz w:val="15"/>
          <w:szCs w:val="15"/>
        </w:rPr>
        <w:t xml:space="preserve">Authors: </w:t>
      </w:r>
      <w:r>
        <w:rPr>
          <w:sz w:val="15"/>
          <w:szCs w:val="15"/>
        </w:rPr>
        <w:t xml:space="preserve">Jordan Awan, Salil Vadhan</w:t>
      </w:r>
      <w:r>
        <w:rPr>
          <w:sz w:val="15"/>
          <w:szCs w:val="15"/>
        </w:rPr>
        <w:t xml:space="preserve">   </w:t>
      </w:r>
      <w:r>
        <w:rPr>
          <w:b/>
          <w:bCs/>
          <w:color w:val="333B47"/>
          <w:sz w:val="15"/>
          <w:szCs w:val="15"/>
        </w:rPr>
        <w:t xml:space="preserve">Published in: </w:t>
      </w:r>
      <w:r>
        <w:rPr>
          <w:sz w:val="15"/>
          <w:szCs w:val="15"/>
        </w:rPr>
        <w:t xml:space="preserve">The Annals of Statistics, 51(2), 547–572 (April 2023); arXiv 2108.04303</w:t>
      </w:r>
      <w:r>
        <w:rPr>
          <w:sz w:val="15"/>
          <w:szCs w:val="15"/>
        </w:rPr>
        <w:t xml:space="preserve">   </w:t>
      </w:r>
      <w:r>
        <w:rPr>
          <w:b/>
          <w:bCs/>
          <w:color w:val="333B47"/>
          <w:sz w:val="15"/>
          <w:szCs w:val="15"/>
        </w:rPr>
        <w:t xml:space="preserve">Link: </w:t>
      </w:r>
      <w:hyperlink w:history="1" r:id="rIdn2gzicypgqmrfd2btu8mk">
        <w:r>
          <w:rPr>
            <w:color w:val="1D4ED8"/>
            <w:sz w:val="15"/>
            <w:szCs w:val="15"/>
            <w:u w:val="single"/>
          </w:rPr>
          <w:t xml:space="preserve">https://doi.org/10.1214/23-AOS2259</w:t>
        </w:r>
      </w:hyperlink>
    </w:p>
    <w:p>
      <w:pPr>
        <w:keepNext/>
        <w:spacing w:after="80" w:line="240" w:lineRule="auto"/>
      </w:pPr>
      <w:r>
        <w:rPr>
          <w:b/>
          <w:bCs/>
          <w:color w:val="333B47"/>
          <w:sz w:val="15"/>
          <w:szCs w:val="15"/>
        </w:rPr>
        <w:t xml:space="preserve">Affiliation: </w:t>
      </w:r>
      <w:r>
        <w:rPr>
          <w:color w:val="3A4350"/>
          <w:sz w:val="15"/>
          <w:szCs w:val="15"/>
        </w:rPr>
        <w:t xml:space="preserve">Salil Vadhan, Harvard University (a search summary gives "Salil Vadhan (Harvard)", and the published PDF is hosted on his Harvard SEAS page); Jordan Awan, Purdue University (same summary). Volume, issue, pages and DOI from the Project Euclid record.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(5/5)</w:t>
      </w:r>
    </w:p>
    <w:p>
      <w:pPr>
        <w:spacing w:after="60"/>
        <w:jc w:val="both"/>
      </w:pPr>
      <w:r>
        <w:rPr>
          <w:b/>
          <w:bCs/>
          <w:color w:val="9A3412"/>
          <w:sz w:val="17"/>
          <w:szCs w:val="17"/>
        </w:rPr>
        <w:t xml:space="preserve">Summary. </w:t>
      </w:r>
      <w:r>
        <w:rPr>
          <w:sz w:val="17"/>
          <w:szCs w:val="17"/>
        </w:rPr>
        <w:t xml:space="preserve">In </w:t>
      </w:r>
      <m:oMath>
        <m:r>
          <m:t>f</m:t>
        </m:r>
      </m:oMath>
      <w:r>
        <w:rPr>
          <w:sz w:val="17"/>
          <w:szCs w:val="17"/>
        </w:rPr>
        <w:t xml:space="preserve">-differential privacy a mechanism is judged by a trade-off function </w:t>
      </w:r>
      <m:oMath>
        <m:r>
          <m:t>f</m:t>
        </m:r>
      </m:oMath>
      <w:r>
        <w:rPr>
          <w:sz w:val="17"/>
          <w:szCs w:val="17"/>
        </w:rPr>
        <w:t xml:space="preserve"> between the type I and type II errors of any test that tries to tell neighbouring datasets apart. The paper defines a canonical noise distribution (CND): additive noise that meets a given </w:t>
      </w:r>
      <m:oMath>
        <m:r>
          <m:t>f</m:t>
        </m:r>
      </m:oMath>
      <w:r>
        <w:rPr>
          <w:sz w:val="17"/>
          <w:szCs w:val="17"/>
        </w:rPr>
        <w:t xml:space="preserve"> exactly, wasting no privacy budget. It proves that a CND exists for every nontrivial symmetric trade-off function, gives a general construction, and shows that the Gaussian is canonical for Gaussian DP and the Tulap distribution for </w:t>
      </w:r>
      <m:oMath>
        <m:d>
          <m:dPr>
            <m:begChr m:val="("/>
            <m:sepChr m:val=""/>
            <m:endChr m:val=")"/>
            <m:grow/>
          </m:dPr>
          <m:e>
            <m:r>
              <m:t>ε</m:t>
            </m:r>
            <m:r>
              <m:rPr>
                <m:sty m:val="p"/>
              </m:rPr>
              <m:t>,</m:t>
            </m:r>
            <m:r>
              <m:t>δ</m:t>
            </m:r>
          </m:e>
        </m:d>
      </m:oMath>
      <w:r>
        <w:rPr>
          <w:sz w:val="17"/>
          <w:szCs w:val="17"/>
        </w:rPr>
        <w:t xml:space="preserve">-DP. It ties private hypothesis tests to CNDs: private </w:t>
      </w:r>
      <m:oMath>
        <m:r>
          <m:t>p</m:t>
        </m:r>
      </m:oMath>
      <w:r>
        <w:rPr>
          <w:sz w:val="17"/>
          <w:szCs w:val="17"/>
        </w:rPr>
        <w:t xml:space="preserve">-values can be released at no extra privacy cost, and uniformly most powerful tests are built for binary data.</w:t>
      </w:r>
    </w:p>
    <w:p>
      <w:pPr>
        <w:keepNext/>
        <w:spacing w:after="20" w:before="40"/>
      </w:pPr>
      <w:r>
        <w:rPr>
          <w:b/>
          <w:bCs/>
          <w:color w:val="9A3412"/>
          <w:sz w:val="17"/>
          <w:szCs w:val="17"/>
        </w:rPr>
        <w:t xml:space="preserve">Key equation.</w:t>
      </w:r>
      <w:r>
        <w:rPr>
          <w:i/>
          <w:iCs/>
          <w:color w:val="5B6573"/>
          <w:sz w:val="15"/>
          <w:szCs w:val="15"/>
        </w:rPr>
        <w:t xml:space="preserve">  Defining property of a canonical noise distribution: the trade-off between the noise and its unit shift equals the target guarantee (representative formulation)</w:t>
      </w:r>
    </w:p>
    <w:p>
      <w:pPr>
        <w:pStyle w:val="Equation"/>
      </w:pPr>
      <m:oMathPara>
        <m:oMathParaPr>
          <m:jc m:val="center"/>
        </m:oMathParaPr>
        <m:oMath>
          <m:r>
            <m:t>f</m:t>
          </m:r>
          <m:d>
            <m:dPr>
              <m:begChr m:val="("/>
              <m:sepChr m:val=""/>
              <m:endChr m:val=")"/>
              <m:grow/>
            </m:dPr>
            <m:e>
              <m:r>
                <m:t>α</m:t>
              </m:r>
            </m:e>
          </m:d>
          <m:r>
            <m:rPr>
              <m:sty m:val="p"/>
            </m:rPr>
            <m:t>=</m:t>
          </m:r>
          <m:r>
            <m:t>T</m:t>
          </m:r>
          <m:d>
            <m:dPr>
              <m:begChr m:val="("/>
              <m:sepChr m:val=""/>
              <m:endChr m:val=")"/>
              <m:grow/>
            </m:dPr>
            <m:e>
              <m:r>
                <m:t>N</m:t>
              </m:r>
              <m:r>
                <m:rPr>
                  <m:sty m:val="p"/>
                </m:rPr>
                <m:t>,</m:t>
              </m:r>
              <m:r>
                <m:t>N</m:t>
              </m:r>
              <m:r>
                <m:rPr>
                  <m:sty m:val="p"/>
                </m:rPr>
                <m:t>+</m:t>
              </m:r>
              <m:r>
                <m:t>1</m:t>
              </m:r>
            </m:e>
          </m:d>
          <m:d>
            <m:dPr>
              <m:begChr m:val="("/>
              <m:sepChr m:val=""/>
              <m:endChr m:val=")"/>
              <m:grow/>
            </m:dPr>
            <m:e>
              <m:r>
                <m:t>α</m:t>
              </m:r>
            </m:e>
          </m:d>
          <m:r>
            <m:rPr>
              <m:sty m:val="p"/>
            </m:rPr>
            <m:t>=</m:t>
          </m:r>
          <m:sSub>
            <m:e>
              <m:r>
                <m:t>F</m:t>
              </m:r>
            </m:e>
            <m:sub>
              <m:r>
                <m:t>N</m:t>
              </m:r>
            </m:sub>
          </m:sSub>
          <m:d>
            <m:dPr>
              <m:begChr m:val="("/>
              <m:sepChr m:val=""/>
              <m:endChr m:val=")"/>
              <m:grow/>
            </m:dPr>
            <m:e>
              <m:sSubSup>
                <m:e>
                  <m:r>
                    <m:t>F</m:t>
                  </m:r>
                </m:e>
                <m:sub>
                  <m:r>
                    <m:t>N</m:t>
                  </m:r>
                </m:sub>
                <m:sup>
                  <m:r>
                    <m:rPr>
                      <m:sty m:val="p"/>
                    </m:rPr>
                    <m:t>−</m:t>
                  </m:r>
                  <m:r>
                    <m:t>1</m:t>
                  </m:r>
                </m:sup>
              </m:sSubSup>
              <m:d>
                <m:dPr>
                  <m:begChr m:val="("/>
                  <m:sepChr m:val=""/>
                  <m:endChr m:val=")"/>
                  <m:grow/>
                </m:dPr>
                <m:e>
                  <m:r>
                    <m:t>1</m:t>
                  </m:r>
                  <m:r>
                    <m:rPr>
                      <m:sty m:val="p"/>
                    </m:rPr>
                    <m:t>−</m:t>
                  </m:r>
                  <m:r>
                    <m:t>α</m:t>
                  </m:r>
                </m:e>
              </m:d>
              <m:r>
                <m:rPr>
                  <m:sty m:val="p"/>
                </m:rPr>
                <m:t>−</m:t>
              </m:r>
              <m:r>
                <m:t>1</m:t>
              </m:r>
            </m:e>
          </m:d>
          <m:r>
            <m:rPr>
              <m:sty m:val="p"/>
            </m:rPr>
            <m:t>,</m:t>
          </m:r>
          <m:r>
            <m:t>  </m:t>
          </m:r>
          <m:acc>
            <m:accPr>
              <m:chr m:val="̃"/>
            </m:accPr>
            <m:e>
              <m:r>
                <m:t>s</m:t>
              </m:r>
            </m:e>
          </m:acc>
          <m:d>
            <m:dPr>
              <m:begChr m:val="("/>
              <m:sepChr m:val=""/>
              <m:endChr m:val=")"/>
              <m:grow/>
            </m:dPr>
            <m:e>
              <m:r>
                <m:t>X</m:t>
              </m:r>
            </m:e>
          </m:d>
          <m:r>
            <m:rPr>
              <m:sty m:val="p"/>
            </m:rPr>
            <m:t>=</m:t>
          </m:r>
          <m:r>
            <m:t>s</m:t>
          </m:r>
          <m:d>
            <m:dPr>
              <m:begChr m:val="("/>
              <m:sepChr m:val=""/>
              <m:endChr m:val=")"/>
              <m:grow/>
            </m:dPr>
            <m:e>
              <m:r>
                <m:t>X</m:t>
              </m:r>
            </m:e>
          </m:d>
          <m:r>
            <m:rPr>
              <m:sty m:val="p"/>
            </m:rPr>
            <m:t>+</m:t>
          </m:r>
          <m:r>
            <m:t>Δ</m:t>
          </m:r>
          <m:r>
            <m:t> </m:t>
          </m:r>
          <m:r>
            <m:t>N</m:t>
          </m:r>
        </m:oMath>
      </m:oMathPara>
    </w:p>
    <w:p>
      <w:pPr>
        <w:spacing w:after="60"/>
        <w:jc w:val="both"/>
      </w:pPr>
      <m:oMath>
        <m:r>
          <m:t>T</m:t>
        </m:r>
        <m:d>
          <m:dPr>
            <m:begChr m:val="("/>
            <m:sepChr m:val=""/>
            <m:endChr m:val=")"/>
            <m:grow/>
          </m:dPr>
          <m:e>
            <m:r>
              <m:t>P</m:t>
            </m:r>
            <m:r>
              <m:rPr>
                <m:sty m:val="p"/>
              </m:rPr>
              <m:t>,</m:t>
            </m:r>
            <m:r>
              <m:t>Q</m:t>
            </m:r>
          </m:e>
        </m:d>
        <m:d>
          <m:dPr>
            <m:begChr m:val="("/>
            <m:sepChr m:val=""/>
            <m:endChr m:val=")"/>
            <m:grow/>
          </m:dPr>
          <m:e>
            <m:r>
              <m:t>α</m:t>
            </m:r>
          </m:e>
        </m:d>
      </m:oMath>
      <w:r>
        <w:rPr>
          <w:color w:val="3A4350"/>
          <w:sz w:val="15"/>
          <w:szCs w:val="15"/>
        </w:rPr>
        <w:t xml:space="preserve"> is the smallest type II error of a level-</w:t>
      </w:r>
      <m:oMath>
        <m:r>
          <m:t>α</m:t>
        </m:r>
      </m:oMath>
      <w:r>
        <w:rPr>
          <w:color w:val="3A4350"/>
          <w:sz w:val="15"/>
          <w:szCs w:val="15"/>
        </w:rPr>
        <w:t xml:space="preserve"> test of </w:t>
      </w:r>
      <m:oMath>
        <m:r>
          <m:t>P</m:t>
        </m:r>
      </m:oMath>
      <w:r>
        <w:rPr>
          <w:color w:val="3A4350"/>
          <w:sz w:val="15"/>
          <w:szCs w:val="15"/>
        </w:rPr>
        <w:t xml:space="preserve"> against </w:t>
      </w:r>
      <m:oMath>
        <m:r>
          <m:t>Q</m:t>
        </m:r>
      </m:oMath>
      <w:r>
        <w:rPr>
          <w:color w:val="3A4350"/>
          <w:sz w:val="15"/>
          <w:szCs w:val="15"/>
        </w:rPr>
        <w:t xml:space="preserve">, </w:t>
      </w:r>
      <m:oMath>
        <m:sSub>
          <m:e>
            <m:r>
              <m:t>F</m:t>
            </m:r>
          </m:e>
          <m:sub>
            <m:r>
              <m:t>N</m:t>
            </m:r>
          </m:sub>
        </m:sSub>
      </m:oMath>
      <w:r>
        <w:rPr>
          <w:color w:val="3A4350"/>
          <w:sz w:val="15"/>
          <w:szCs w:val="15"/>
        </w:rPr>
        <w:t xml:space="preserve"> the distribution function of the symmetric noise </w:t>
      </w:r>
      <m:oMath>
        <m:r>
          <m:t>N</m:t>
        </m:r>
      </m:oMath>
      <w:r>
        <w:rPr>
          <w:color w:val="3A4350"/>
          <w:sz w:val="15"/>
          <w:szCs w:val="15"/>
        </w:rPr>
        <w:t xml:space="preserve">, </w:t>
      </w:r>
      <m:oMath>
        <m:r>
          <m:t>s</m:t>
        </m:r>
        <m:d>
          <m:dPr>
            <m:begChr m:val="("/>
            <m:sepChr m:val=""/>
            <m:endChr m:val=")"/>
            <m:grow/>
          </m:dPr>
          <m:e>
            <m:r>
              <m:t>X</m:t>
            </m:r>
          </m:e>
        </m:d>
      </m:oMath>
      <w:r>
        <w:rPr>
          <w:color w:val="3A4350"/>
          <w:sz w:val="15"/>
          <w:szCs w:val="15"/>
        </w:rPr>
        <w:t xml:space="preserve"> a statistic with sensitivity </w:t>
      </w:r>
      <m:oMath>
        <m:r>
          <m:t>Δ</m:t>
        </m:r>
      </m:oMath>
      <w:r>
        <w:rPr>
          <w:color w:val="3A4350"/>
          <w:sz w:val="15"/>
          <w:szCs w:val="15"/>
        </w:rPr>
        <w:t xml:space="preserve"> and </w:t>
      </w:r>
      <m:oMath>
        <m:acc>
          <m:accPr>
            <m:chr m:val="̃"/>
          </m:accPr>
          <m:e>
            <m:r>
              <m:t>s</m:t>
            </m:r>
          </m:e>
        </m:acc>
        <m:d>
          <m:dPr>
            <m:begChr m:val="("/>
            <m:sepChr m:val=""/>
            <m:endChr m:val=")"/>
            <m:grow/>
          </m:dPr>
          <m:e>
            <m:r>
              <m:t>X</m:t>
            </m:r>
          </m:e>
        </m:d>
      </m:oMath>
      <w:r>
        <w:rPr>
          <w:color w:val="3A4350"/>
          <w:sz w:val="15"/>
          <w:szCs w:val="15"/>
        </w:rPr>
        <w:t xml:space="preserve"> its private release; for </w:t>
      </w:r>
      <m:oMath>
        <m:r>
          <m:t>μ</m:t>
        </m:r>
      </m:oMath>
      <w:r>
        <w:rPr>
          <w:color w:val="3A4350"/>
          <w:sz w:val="15"/>
          <w:szCs w:val="15"/>
        </w:rPr>
        <w:t xml:space="preserve">-Gaussian DP, </w:t>
      </w:r>
      <m:oMath>
        <m:r>
          <m:t>N</m:t>
        </m:r>
      </m:oMath>
      <w:r>
        <w:rPr>
          <w:color w:val="3A4350"/>
          <w:sz w:val="15"/>
          <w:szCs w:val="15"/>
        </w:rPr>
        <w:t xml:space="preserve"> is normal with variance </w:t>
      </w:r>
      <m:oMath>
        <m:r>
          <m:t>1</m:t>
        </m:r>
        <m:r>
          <m:rPr>
            <m:sty m:val="p"/>
          </m:rPr>
          <m:t>/</m:t>
        </m:r>
        <m:sSup>
          <m:e>
            <m:r>
              <m:t>μ</m:t>
            </m:r>
          </m:e>
          <m:sup>
            <m:r>
              <m:t>2</m:t>
            </m:r>
          </m:sup>
        </m:sSup>
      </m:oMath>
      <w:r>
        <w:rPr>
          <w:color w:val="3A4350"/>
          <w:sz w:val="15"/>
          <w:szCs w:val="15"/>
        </w:rPr>
        <w:t xml:space="preserve">.</w:t>
      </w:r>
    </w:p>
    <w:p>
      <w:pPr>
        <w:spacing w:after="60"/>
        <w:jc w:val="both"/>
      </w:pPr>
      <w:r>
        <w:rPr>
          <w:b/>
          <w:bCs/>
          <w:color w:val="9A3412"/>
          <w:sz w:val="17"/>
          <w:szCs w:val="17"/>
        </w:rPr>
        <w:t xml:space="preserve">Link to the Fushë-Kuqe records. </w:t>
      </w:r>
      <w:r>
        <w:rPr>
          <w:sz w:val="17"/>
          <w:szCs w:val="17"/>
        </w:rPr>
        <w:t xml:space="preserve">Belongs to theme P (privacy for statistical and causal inference). If the monitoring agency and the coastal hotels each release, under DP, counts of wells whose chloride rose after high versus low pumping, canonical noise lets the reader compute exactly calibrated private </w:t>
      </w:r>
      <m:oMath>
        <m:r>
          <m:t>p</m:t>
        </m:r>
      </m:oMath>
      <w:r>
        <w:rPr>
          <w:sz w:val="17"/>
          <w:szCs w:val="17"/>
        </w:rPr>
        <w:t xml:space="preserve">-values for a pumping effect, so a decision to merge is not driven by miscalibrated noisy evidence.</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gives </w:t>
      </w:r>
      <m:oMath>
        <m:r>
          <m:t>f</m:t>
        </m:r>
      </m:oMath>
      <w:r>
        <w:rPr>
          <w:sz w:val="17"/>
          <w:szCs w:val="17"/>
        </w:rPr>
        <w:t xml:space="preserve">-DP its first mechanism designed for an arbitrary guarantee (the abstract's words) and shows that optimal private testing reduces to such noise, with existence and construction theorems. Published in the Annals of Statistics; later papers seen in a search develop log-concave and discrete canonical noise (Awan &amp; Dong; Awan &amp; Ramasethu).</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optimal tests are built for binary data and additive noise on a single statistic. The merge criterion is an expected information gain about a CATE varying with distance to the sea; whether budget-exact canonical noise exists for it, and with what power,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an exact match between additive noise and an arbitrary </w:t>
      </w:r>
      <m:oMath>
        <m:r>
          <m:t>f</m:t>
        </m:r>
      </m:oMath>
      <w:r>
        <w:rPr>
          <w:sz w:val="17"/>
          <w:szCs w:val="17"/>
        </w:rPr>
        <w:t xml:space="preserve">-DP guarantee, existence for symmetric trade-off functions with a general construction, and optimal private tests built on this noise. Proposed extension: in three distance-to-sea bands, let each holder release Tulap-noised counts of wells with rising chloride under high and low pumping, test the effect band by band, and check whether the coastal band becomes significant only once hotel and agency releases are combined.</w:t>
      </w:r>
    </w:p>
    <w:p>
      <w:pPr>
        <w:keepNext/>
        <w:pBdr>
          <w:top w:val="single" w:color="9A3412" w:sz="6" w:space="4"/>
        </w:pBdr>
        <w:spacing w:after="60" w:before="220"/>
      </w:pPr>
      <w:r>
        <w:rPr>
          <w:b/>
          <w:bCs/>
          <w:color w:val="9A3412"/>
          <w:sz w:val="23"/>
          <w:szCs w:val="23"/>
        </w:rPr>
        <w:t xml:space="preserve">P2  </w:t>
      </w:r>
      <w:r>
        <w:rPr>
          <w:b/>
          <w:bCs/>
          <w:color w:val="1F3864"/>
          <w:sz w:val="23"/>
          <w:szCs w:val="23"/>
        </w:rPr>
        <w:t xml:space="preserve">Differentially Private Secure Multiplication: Hiding Information in the Rubble of Noise</w:t>
      </w:r>
    </w:p>
    <w:p>
      <w:pPr>
        <w:keepNext/>
        <w:spacing w:after="60" w:line="240" w:lineRule="auto"/>
      </w:pPr>
      <w:r>
        <w:rPr>
          <w:b/>
          <w:bCs/>
          <w:color w:val="333B47"/>
          <w:sz w:val="15"/>
          <w:szCs w:val="15"/>
        </w:rPr>
        <w:t xml:space="preserve">Authors: </w:t>
      </w:r>
      <w:r>
        <w:rPr>
          <w:sz w:val="15"/>
          <w:szCs w:val="15"/>
        </w:rPr>
        <w:t xml:space="preserve">Viveck R. Cadambe, Haewon Jeong, Flavio P. Calmon</w:t>
      </w:r>
      <w:r>
        <w:rPr>
          <w:sz w:val="15"/>
          <w:szCs w:val="15"/>
        </w:rPr>
        <w:t xml:space="preserve">   </w:t>
      </w:r>
      <w:r>
        <w:rPr>
          <w:b/>
          <w:bCs/>
          <w:color w:val="333B47"/>
          <w:sz w:val="15"/>
          <w:szCs w:val="15"/>
        </w:rPr>
        <w:t xml:space="preserve">Published in: </w:t>
      </w:r>
      <w:r>
        <w:rPr>
          <w:sz w:val="15"/>
          <w:szCs w:val="15"/>
        </w:rPr>
        <w:t xml:space="preserve">Proceedings of the 2023 IEEE International Symposium on Information Theory (ISIT), 2207–2212 (DOI not seen); arXiv 2309.16105 (which adds Ateet Devulapalli as an author)</w:t>
      </w:r>
      <w:r>
        <w:rPr>
          <w:sz w:val="15"/>
          <w:szCs w:val="15"/>
        </w:rPr>
        <w:t xml:space="preserve">   </w:t>
      </w:r>
      <w:r>
        <w:rPr>
          <w:b/>
          <w:bCs/>
          <w:color w:val="333B47"/>
          <w:sz w:val="15"/>
          <w:szCs w:val="15"/>
        </w:rPr>
        <w:t xml:space="preserve">Link: </w:t>
      </w:r>
      <w:hyperlink w:history="1" r:id="rIdbfhw6zmharltrlh-uf2jz">
        <w:r>
          <w:rPr>
            <w:color w:val="1D4ED8"/>
            <w:sz w:val="15"/>
            <w:szCs w:val="15"/>
            <w:u w:val="single"/>
          </w:rPr>
          <w:t xml:space="preserve">https://pure.psu.edu/en/publications/differentially-private-secure-multiplication-hiding-information-i/</w:t>
        </w:r>
      </w:hyperlink>
    </w:p>
    <w:p>
      <w:pPr>
        <w:keepNext/>
        <w:spacing w:after="80" w:line="240" w:lineRule="auto"/>
      </w:pPr>
      <w:r>
        <w:rPr>
          <w:b/>
          <w:bCs/>
          <w:color w:val="333B47"/>
          <w:sz w:val="15"/>
          <w:szCs w:val="15"/>
        </w:rPr>
        <w:t xml:space="preserve">Affiliation: </w:t>
      </w:r>
      <w:r>
        <w:rPr>
          <w:color w:val="3A4350"/>
          <w:sz w:val="15"/>
          <w:szCs w:val="15"/>
        </w:rPr>
        <w:t xml:space="preserve">Flavio P. Calmon, Harvard University (NSF PAR version and arXiv 2309.16105 author block, per search summaries); Viveck R. Cadambe, Pennsylvania State University; Haewon Jeong, UC Santa Barbara. Pages from dblp; the ISIT author list from the Penn State research portal.</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9A3412"/>
          <w:sz w:val="17"/>
          <w:szCs w:val="17"/>
        </w:rPr>
        <w:t xml:space="preserve">Summary. </w:t>
      </w:r>
      <w:r>
        <w:rPr>
          <w:sz w:val="17"/>
          <w:szCs w:val="17"/>
        </w:rPr>
        <w:t xml:space="preserve">Secure multi-party computation of a product with BGW-type secret sharing needs </w:t>
      </w:r>
      <m:oMath>
        <m:r>
          <m:t>2</m:t>
        </m:r>
        <m:r>
          <m:t>t</m:t>
        </m:r>
        <m:r>
          <m:rPr>
            <m:sty m:val="p"/>
          </m:rPr>
          <m:t>+</m:t>
        </m:r>
        <m:r>
          <m:t>1</m:t>
        </m:r>
      </m:oMath>
      <w:r>
        <w:rPr>
          <w:sz w:val="17"/>
          <w:szCs w:val="17"/>
        </w:rPr>
        <w:t xml:space="preserve"> computing nodes for perfect privacy against any </w:t>
      </w:r>
      <m:oMath>
        <m:r>
          <m:t>t</m:t>
        </m:r>
      </m:oMath>
      <w:r>
        <w:rPr>
          <w:sz w:val="17"/>
          <w:szCs w:val="17"/>
        </w:rPr>
        <w:t xml:space="preserve"> colluding nodes. The paper relaxes perfect privacy to differential privacy: noise is added to the data shared with the nodes, the signal-to-noise ratio seen by any </w:t>
      </w:r>
      <m:oMath>
        <m:r>
          <m:t>t</m:t>
        </m:r>
      </m:oMath>
      <w:r>
        <w:rPr>
          <w:sz w:val="17"/>
          <w:szCs w:val="17"/>
        </w:rPr>
        <w:t xml:space="preserve"> colluders is mapped to a DP guarantee, and the trade-off between DP and the accuracy of the decoded product is characterised precisely. Data and noise are encoded at different magnitude levels, so colluders see layers of noise while the legitimate decoder peels them off; some DP against </w:t>
      </w:r>
      <m:oMath>
        <m:r>
          <m:t>t</m:t>
        </m:r>
      </m:oMath>
      <w:r>
        <w:rPr>
          <w:sz w:val="17"/>
          <w:szCs w:val="17"/>
        </w:rPr>
        <w:t xml:space="preserve"> colluders is then possible with about </w:t>
      </w:r>
      <m:oMath>
        <m:r>
          <m:t>t</m:t>
        </m:r>
        <m:r>
          <m:rPr>
            <m:sty m:val="p"/>
          </m:rPr>
          <m:t>+</m:t>
        </m:r>
        <m:r>
          <m:t>1</m:t>
        </m:r>
      </m:oMath>
      <w:r>
        <w:rPr>
          <w:sz w:val="17"/>
          <w:szCs w:val="17"/>
        </w:rPr>
        <w:t xml:space="preserve"> nodes instead of </w:t>
      </w:r>
      <m:oMath>
        <m:r>
          <m:t>2</m:t>
        </m:r>
        <m:r>
          <m:t>t</m:t>
        </m:r>
        <m:r>
          <m:rPr>
            <m:sty m:val="p"/>
          </m:rPr>
          <m:t>+</m:t>
        </m:r>
        <m:r>
          <m:t>1</m:t>
        </m:r>
      </m:oMath>
      <w:r>
        <w:rPr>
          <w:sz w:val="17"/>
          <w:szCs w:val="17"/>
        </w:rPr>
        <w:t xml:space="preserve">.</w:t>
      </w:r>
    </w:p>
    <w:p>
      <w:pPr>
        <w:keepNext/>
        <w:spacing w:after="20" w:before="40"/>
      </w:pPr>
      <w:r>
        <w:rPr>
          <w:b/>
          <w:bCs/>
          <w:color w:val="9A3412"/>
          <w:sz w:val="17"/>
          <w:szCs w:val="17"/>
        </w:rPr>
        <w:t xml:space="preserve">Key equation.</w:t>
      </w:r>
      <w:r>
        <w:rPr>
          <w:i/>
          <w:iCs/>
          <w:color w:val="5B6573"/>
          <w:sz w:val="15"/>
          <w:szCs w:val="15"/>
        </w:rPr>
        <w:t xml:space="preserve">  Noisy shares of the two factors and a linear decoder of the product (representative formulation; the paper chooses the encoding coefficients at different magnitude levels)</w:t>
      </w:r>
    </w:p>
    <w:p>
      <w:pPr>
        <w:pStyle w:val="Equation"/>
      </w:pPr>
      <m:oMathPara>
        <m:oMathParaPr>
          <m:jc m:val="center"/>
        </m:oMathParaPr>
        <m:oMath>
          <m:sSub>
            <m:e>
              <m:acc>
                <m:accPr>
                  <m:chr m:val="̃"/>
                </m:accPr>
                <m:e>
                  <m:r>
                    <m:t>A</m:t>
                  </m:r>
                </m:e>
              </m:acc>
            </m:e>
            <m:sub>
              <m:r>
                <m:t>i</m:t>
              </m:r>
            </m:sub>
          </m:sSub>
          <m:r>
            <m:rPr>
              <m:sty m:val="p"/>
            </m:rPr>
            <m:t>=</m:t>
          </m:r>
          <m:r>
            <m:t>A</m:t>
          </m:r>
          <m:r>
            <m:rPr>
              <m:sty m:val="p"/>
            </m:rPr>
            <m:t>+</m:t>
          </m:r>
          <m:nary>
            <m:naryPr>
              <m:chr m:val="∑"/>
              <m:limLoc m:val="undOvr"/>
              <m:subHide m:val="off"/>
              <m:supHide m:val="off"/>
            </m:naryPr>
            <m:sub>
              <m:r>
                <m:rPr>
                  <m:sty m:val="p"/>
                </m:rPr>
                <m:t>ℓ</m:t>
              </m:r>
              <m:r>
                <m:rPr>
                  <m:sty m:val="p"/>
                </m:rPr>
                <m:t>=</m:t>
              </m:r>
              <m:r>
                <m:t>1</m:t>
              </m:r>
            </m:sub>
            <m:sup>
              <m:r>
                <m:t>t</m:t>
              </m:r>
            </m:sup>
            <m:e>
              <m:sSub>
                <m:e>
                  <m:r>
                    <m:t>α</m:t>
                  </m:r>
                </m:e>
                <m:sub>
                  <m:r>
                    <m:t>i</m:t>
                  </m:r>
                  <m:r>
                    <m:rPr>
                      <m:sty m:val="p"/>
                    </m:rPr>
                    <m:t>ℓ</m:t>
                  </m:r>
                </m:sub>
              </m:sSub>
            </m:e>
          </m:nary>
          <m:sSub>
            <m:e>
              <m:r>
                <m:t>R</m:t>
              </m:r>
            </m:e>
            <m:sub>
              <m:r>
                <m:rPr>
                  <m:sty m:val="p"/>
                </m:rPr>
                <m:t>ℓ</m:t>
              </m:r>
            </m:sub>
          </m:sSub>
          <m:r>
            <m:rPr>
              <m:sty m:val="p"/>
            </m:rPr>
            <m:t>,</m:t>
          </m:r>
          <m:r>
            <m:t> </m:t>
          </m:r>
          <m:sSub>
            <m:e>
              <m:acc>
                <m:accPr>
                  <m:chr m:val="̃"/>
                </m:accPr>
                <m:e>
                  <m:r>
                    <m:t>B</m:t>
                  </m:r>
                </m:e>
              </m:acc>
            </m:e>
            <m:sub>
              <m:r>
                <m:t>i</m:t>
              </m:r>
            </m:sub>
          </m:sSub>
          <m:r>
            <m:rPr>
              <m:sty m:val="p"/>
            </m:rPr>
            <m:t>=</m:t>
          </m:r>
          <m:r>
            <m:t>B</m:t>
          </m:r>
          <m:r>
            <m:rPr>
              <m:sty m:val="p"/>
            </m:rPr>
            <m:t>+</m:t>
          </m:r>
          <m:nary>
            <m:naryPr>
              <m:chr m:val="∑"/>
              <m:limLoc m:val="undOvr"/>
              <m:subHide m:val="off"/>
              <m:supHide m:val="off"/>
            </m:naryPr>
            <m:sub>
              <m:r>
                <m:rPr>
                  <m:sty m:val="p"/>
                </m:rPr>
                <m:t>ℓ</m:t>
              </m:r>
              <m:r>
                <m:rPr>
                  <m:sty m:val="p"/>
                </m:rPr>
                <m:t>=</m:t>
              </m:r>
              <m:r>
                <m:t>1</m:t>
              </m:r>
            </m:sub>
            <m:sup>
              <m:r>
                <m:t>t</m:t>
              </m:r>
            </m:sup>
            <m:e>
              <m:sSub>
                <m:e>
                  <m:r>
                    <m:t>β</m:t>
                  </m:r>
                </m:e>
                <m:sub>
                  <m:r>
                    <m:t>i</m:t>
                  </m:r>
                  <m:r>
                    <m:rPr>
                      <m:sty m:val="p"/>
                    </m:rPr>
                    <m:t>ℓ</m:t>
                  </m:r>
                </m:sub>
              </m:sSub>
            </m:e>
          </m:nary>
          <m:sSub>
            <m:e>
              <m:r>
                <m:t>S</m:t>
              </m:r>
            </m:e>
            <m:sub>
              <m:r>
                <m:rPr>
                  <m:sty m:val="p"/>
                </m:rPr>
                <m:t>ℓ</m:t>
              </m:r>
            </m:sub>
          </m:sSub>
          <m:r>
            <m:rPr>
              <m:sty m:val="p"/>
            </m:rPr>
            <m:t>,</m:t>
          </m:r>
          <m:r>
            <m:t> </m:t>
          </m:r>
          <m:acc>
            <m:accPr>
              <m:chr m:val="̂"/>
            </m:accPr>
            <m:e>
              <m:r>
                <m:t>A</m:t>
              </m:r>
              <m:r>
                <m:t>B</m:t>
              </m:r>
            </m:e>
          </m:acc>
          <m:r>
            <m:rPr>
              <m:sty m:val="p"/>
            </m:rPr>
            <m:t>=</m:t>
          </m:r>
          <m:nary>
            <m:naryPr>
              <m:chr m:val="∑"/>
              <m:limLoc m:val="undOvr"/>
              <m:subHide m:val="off"/>
              <m:supHide m:val="off"/>
            </m:naryPr>
            <m:sub>
              <m:r>
                <m:t>i</m:t>
              </m:r>
              <m:r>
                <m:rPr>
                  <m:sty m:val="p"/>
                </m:rPr>
                <m:t>=</m:t>
              </m:r>
              <m:r>
                <m:t>1</m:t>
              </m:r>
            </m:sub>
            <m:sup>
              <m:r>
                <m:t>N</m:t>
              </m:r>
            </m:sup>
            <m:e>
              <m:sSub>
                <m:e>
                  <m:r>
                    <m:t>λ</m:t>
                  </m:r>
                </m:e>
                <m:sub>
                  <m:r>
                    <m:t>i</m:t>
                  </m:r>
                </m:sub>
              </m:sSub>
            </m:e>
          </m:nary>
          <m:sSub>
            <m:e>
              <m:acc>
                <m:accPr>
                  <m:chr m:val="̃"/>
                </m:accPr>
                <m:e>
                  <m:r>
                    <m:t>A</m:t>
                  </m:r>
                </m:e>
              </m:acc>
            </m:e>
            <m:sub>
              <m:r>
                <m:t>i</m:t>
              </m:r>
            </m:sub>
          </m:sSub>
          <m:sSub>
            <m:e>
              <m:acc>
                <m:accPr>
                  <m:chr m:val="̃"/>
                </m:accPr>
                <m:e>
                  <m:r>
                    <m:t>B</m:t>
                  </m:r>
                </m:e>
              </m:acc>
            </m:e>
            <m:sub>
              <m:r>
                <m:t>i</m:t>
              </m:r>
            </m:sub>
          </m:sSub>
        </m:oMath>
      </m:oMathPara>
    </w:p>
    <w:p>
      <w:pPr>
        <w:spacing w:after="60"/>
        <w:jc w:val="both"/>
      </w:pPr>
      <w:r>
        <w:rPr>
          <w:color w:val="3A4350"/>
          <w:sz w:val="15"/>
          <w:szCs w:val="15"/>
        </w:rPr>
        <w:t xml:space="preserve">Node </w:t>
      </w:r>
      <m:oMath>
        <m:r>
          <m:t>i</m:t>
        </m:r>
      </m:oMath>
      <w:r>
        <w:rPr>
          <w:color w:val="3A4350"/>
          <w:sz w:val="15"/>
          <w:szCs w:val="15"/>
        </w:rPr>
        <w:t xml:space="preserve"> of </w:t>
      </w:r>
      <m:oMath>
        <m:r>
          <m:t>N</m:t>
        </m:r>
      </m:oMath>
      <w:r>
        <w:rPr>
          <w:color w:val="3A4350"/>
          <w:sz w:val="15"/>
          <w:szCs w:val="15"/>
        </w:rPr>
        <w:t xml:space="preserve"> receives the shares </w:t>
      </w:r>
      <m:oMath>
        <m:sSub>
          <m:e>
            <m:acc>
              <m:accPr>
                <m:chr m:val="̃"/>
              </m:accPr>
              <m:e>
                <m:r>
                  <m:t>A</m:t>
                </m:r>
              </m:e>
            </m:acc>
          </m:e>
          <m:sub>
            <m:r>
              <m:t>i</m:t>
            </m:r>
          </m:sub>
        </m:sSub>
      </m:oMath>
      <w:r>
        <w:rPr>
          <w:color w:val="3A4350"/>
          <w:sz w:val="15"/>
          <w:szCs w:val="15"/>
        </w:rPr>
        <w:t xml:space="preserve"> and </w:t>
      </w:r>
      <m:oMath>
        <m:sSub>
          <m:e>
            <m:acc>
              <m:accPr>
                <m:chr m:val="̃"/>
              </m:accPr>
              <m:e>
                <m:r>
                  <m:t>B</m:t>
                </m:r>
              </m:e>
            </m:acc>
          </m:e>
          <m:sub>
            <m:r>
              <m:t>i</m:t>
            </m:r>
          </m:sub>
        </m:sSub>
      </m:oMath>
      <w:r>
        <w:rPr>
          <w:color w:val="3A4350"/>
          <w:sz w:val="15"/>
          <w:szCs w:val="15"/>
        </w:rPr>
        <w:t xml:space="preserve"> of the private inputs </w:t>
      </w:r>
      <m:oMath>
        <m:r>
          <m:t>A</m:t>
        </m:r>
      </m:oMath>
      <w:r>
        <w:rPr>
          <w:color w:val="3A4350"/>
          <w:sz w:val="15"/>
          <w:szCs w:val="15"/>
        </w:rPr>
        <w:t xml:space="preserve"> and </w:t>
      </w:r>
      <m:oMath>
        <m:r>
          <m:t>B</m:t>
        </m:r>
      </m:oMath>
      <w:r>
        <w:rPr>
          <w:color w:val="3A4350"/>
          <w:sz w:val="15"/>
          <w:szCs w:val="15"/>
        </w:rPr>
        <w:t xml:space="preserve">, built with independent noise terms </w:t>
      </w:r>
      <m:oMath>
        <m:sSub>
          <m:e>
            <m:r>
              <m:t>R</m:t>
            </m:r>
          </m:e>
          <m:sub>
            <m:r>
              <m:rPr>
                <m:sty m:val="p"/>
              </m:rPr>
              <m:t>ℓ</m:t>
            </m:r>
          </m:sub>
        </m:sSub>
      </m:oMath>
      <w:r>
        <w:rPr>
          <w:color w:val="3A4350"/>
          <w:sz w:val="15"/>
          <w:szCs w:val="15"/>
        </w:rPr>
        <w:t xml:space="preserve"> and </w:t>
      </w:r>
      <m:oMath>
        <m:sSub>
          <m:e>
            <m:r>
              <m:t>S</m:t>
            </m:r>
          </m:e>
          <m:sub>
            <m:r>
              <m:rPr>
                <m:sty m:val="p"/>
              </m:rPr>
              <m:t>ℓ</m:t>
            </m:r>
          </m:sub>
        </m:sSub>
      </m:oMath>
      <w:r>
        <w:rPr>
          <w:color w:val="3A4350"/>
          <w:sz w:val="15"/>
          <w:szCs w:val="15"/>
        </w:rPr>
        <w:t xml:space="preserve">, and returns their product; the decoder weights </w:t>
      </w:r>
      <m:oMath>
        <m:sSub>
          <m:e>
            <m:r>
              <m:t>λ</m:t>
            </m:r>
          </m:e>
          <m:sub>
            <m:r>
              <m:t>i</m:t>
            </m:r>
          </m:sub>
        </m:sSub>
      </m:oMath>
      <w:r>
        <w:rPr>
          <w:color w:val="3A4350"/>
          <w:sz w:val="15"/>
          <w:szCs w:val="15"/>
        </w:rPr>
        <w:t xml:space="preserve"> cancel the noise layers, and the signal-to-noise ratio of any </w:t>
      </w:r>
      <m:oMath>
        <m:r>
          <m:t>t</m:t>
        </m:r>
      </m:oMath>
      <w:r>
        <w:rPr>
          <w:color w:val="3A4350"/>
          <w:sz w:val="15"/>
          <w:szCs w:val="15"/>
        </w:rPr>
        <w:t xml:space="preserve"> shares fixes the DP level.</w:t>
      </w:r>
    </w:p>
    <w:p>
      <w:pPr>
        <w:spacing w:after="60"/>
        <w:jc w:val="both"/>
      </w:pPr>
      <w:r>
        <w:rPr>
          <w:b/>
          <w:bCs/>
          <w:color w:val="9A3412"/>
          <w:sz w:val="17"/>
          <w:szCs w:val="17"/>
        </w:rPr>
        <w:t xml:space="preserve">Link to the Fushë-Kuqe records. </w:t>
      </w:r>
      <w:r>
        <w:rPr>
          <w:sz w:val="17"/>
          <w:szCs w:val="17"/>
        </w:rPr>
        <w:t xml:space="preserve">Belongs to theme P (privacy for statistical and causal inference). Products of values held by different institutions, such as pumping recorded by the utility and transmissivity estimated by the agency at one well, are the building blocks of cross-holder regression; this scheme shows how few computing parties suffice once DP replaces perfect secrecy, and at what accuracy cost.</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turns the combination of MPC and DP into a precise information-theoretic trade-off: how much accuracy is lost when perfect secrecy is relaxed to DP, and how many computing nodes that saves. IEEE ISIT 2023 (pages 2207–2212); follow-up papers seen in a search extend it to erasures, adversaries and many factors.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trade-off is characterised for one product. How it composes over the many products in a Gram matrix or an expected information gain, and whether it beats central DP on the final merge score, is open and would be new for well records.</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DP secure multiplication with layered noise encoding, a precise DP–accuracy characterisation, and a reduction in the number of computing nodes needed. Proposed extension: compute the cross-holder Gram matrix of pumping and transmissivity with this scheme, using only the utility and the agency as computing nodes, and compare the error of the resulting merge score with that of exact MPC followed by central DP noise on the score.</w:t>
      </w:r>
    </w:p>
    <w:p>
      <w:pPr>
        <w:keepNext/>
        <w:pBdr>
          <w:top w:val="single" w:color="9A3412" w:sz="6" w:space="4"/>
        </w:pBdr>
        <w:spacing w:after="60" w:before="220"/>
      </w:pPr>
      <w:r>
        <w:rPr>
          <w:b/>
          <w:bCs/>
          <w:color w:val="9A3412"/>
          <w:sz w:val="23"/>
          <w:szCs w:val="23"/>
        </w:rPr>
        <w:t xml:space="preserve">P3  </w:t>
      </w:r>
      <w:r>
        <w:rPr>
          <w:b/>
          <w:bCs/>
          <w:color w:val="1F3864"/>
          <w:sz w:val="23"/>
          <w:szCs w:val="23"/>
        </w:rPr>
        <w:t xml:space="preserve">Secure and federated genome-wide association studies for biobank-scale datasets</w:t>
      </w:r>
    </w:p>
    <w:p>
      <w:pPr>
        <w:keepNext/>
        <w:spacing w:after="60" w:line="240" w:lineRule="auto"/>
      </w:pPr>
      <w:r>
        <w:rPr>
          <w:b/>
          <w:bCs/>
          <w:color w:val="333B47"/>
          <w:sz w:val="15"/>
          <w:szCs w:val="15"/>
        </w:rPr>
        <w:t xml:space="preserve">Authors: </w:t>
      </w:r>
      <w:r>
        <w:rPr>
          <w:sz w:val="15"/>
          <w:szCs w:val="15"/>
        </w:rPr>
        <w:t xml:space="preserve">Hyunghoon Cho, David Froelicher, Jeffrey Chen, Manaswitha Edupalli, Apostolos Pyrgelis, Juan R. Troncoso-Pastoriza, Jean-Pierre Hubaux, Bonnie Berger</w:t>
      </w:r>
      <w:r>
        <w:rPr>
          <w:sz w:val="15"/>
          <w:szCs w:val="15"/>
        </w:rPr>
        <w:t xml:space="preserve">   </w:t>
      </w:r>
      <w:r>
        <w:rPr>
          <w:b/>
          <w:bCs/>
          <w:color w:val="333B47"/>
          <w:sz w:val="15"/>
          <w:szCs w:val="15"/>
        </w:rPr>
        <w:t xml:space="preserve">Published in: </w:t>
      </w:r>
      <w:r>
        <w:rPr>
          <w:sz w:val="15"/>
          <w:szCs w:val="15"/>
        </w:rPr>
        <w:t xml:space="preserve">Nature Genetics (published online February 2025; volume, issue and pages not verified); PMID 39994472; bioRxiv preprint 10.1101/2022.11.30.518537</w:t>
      </w:r>
      <w:r>
        <w:rPr>
          <w:sz w:val="15"/>
          <w:szCs w:val="15"/>
        </w:rPr>
        <w:t xml:space="preserve">   </w:t>
      </w:r>
      <w:r>
        <w:rPr>
          <w:b/>
          <w:bCs/>
          <w:color w:val="333B47"/>
          <w:sz w:val="15"/>
          <w:szCs w:val="15"/>
        </w:rPr>
        <w:t xml:space="preserve">Link: </w:t>
      </w:r>
      <w:hyperlink w:history="1" r:id="rIdwz6lnhllyflz_byexie2j">
        <w:r>
          <w:rPr>
            <w:color w:val="1D4ED8"/>
            <w:sz w:val="15"/>
            <w:szCs w:val="15"/>
            <w:u w:val="single"/>
          </w:rPr>
          <w:t xml:space="preserve">https://doi.org/10.1038/s41588-025-02109-1</w:t>
        </w:r>
      </w:hyperlink>
    </w:p>
    <w:p>
      <w:pPr>
        <w:keepNext/>
        <w:spacing w:after="80" w:line="240" w:lineRule="auto"/>
      </w:pPr>
      <w:r>
        <w:rPr>
          <w:b/>
          <w:bCs/>
          <w:color w:val="333B47"/>
          <w:sz w:val="15"/>
          <w:szCs w:val="15"/>
        </w:rPr>
        <w:t xml:space="preserve">Affiliation: </w:t>
      </w:r>
      <w:r>
        <w:rPr>
          <w:color w:val="3A4350"/>
          <w:sz w:val="15"/>
          <w:szCs w:val="15"/>
        </w:rPr>
        <w:t xml:space="preserve">The Nature Index record of the article lists MIT among the authors' institutions, with the Broad Institute of MIT and Harvard, EPFL, Tune Insight and Yale (search summary); Bonnie Berger (MIT) is the senior author, but her department was not confirmed in a search. The UK Biobank listing gives Yale for the first author. Author list, DOI and PMID from the Broad Institute and UK Biobank listings.</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(2/5)</w:t>
      </w:r>
    </w:p>
    <w:p>
      <w:pPr>
        <w:spacing w:after="60"/>
        <w:jc w:val="both"/>
      </w:pPr>
      <w:r>
        <w:rPr>
          <w:b/>
          <w:bCs/>
          <w:color w:val="9A3412"/>
          <w:sz w:val="17"/>
          <w:szCs w:val="17"/>
        </w:rPr>
        <w:t xml:space="preserve">Summary. </w:t>
      </w:r>
      <w:r>
        <w:rPr>
          <w:sz w:val="17"/>
          <w:szCs w:val="17"/>
        </w:rPr>
        <w:t xml:space="preserve">A genome-wide association study regresses a trait on each of millions of genetic variants after correcting for population structure by principal component analysis (PCA) or a linear mixed model (LMM); biobanks usually cannot pool their records. SF-GWAS keeps each holder's data local and exchanges only small encrypted intermediate results, combining homomorphic encryption with secure multi-party computation and distributed algorithms for both pipelines. The authors demonstrate accuracy and practical run times on five datasets, including 410,000 UK Biobank individuals, report an order-of-magnitude speed-up over earlier secure PCA-based GWAS, and make secure LMM-based association tests possible; the preprint reports 128-bit security.</w:t>
      </w:r>
    </w:p>
    <w:p>
      <w:pPr>
        <w:keepNext/>
        <w:spacing w:after="20" w:before="40"/>
      </w:pPr>
      <w:r>
        <w:rPr>
          <w:b/>
          <w:bCs/>
          <w:color w:val="9A3412"/>
          <w:sz w:val="17"/>
          <w:szCs w:val="17"/>
        </w:rPr>
        <w:t xml:space="preserve">Key equation.</w:t>
      </w:r>
      <w:r>
        <w:rPr>
          <w:i/>
          <w:iCs/>
          <w:color w:val="5B6573"/>
          <w:sz w:val="15"/>
          <w:szCs w:val="15"/>
        </w:rPr>
        <w:t xml:space="preserve">  PCA-adjusted association statistic for one variant, written as sums of local terms that the protocol evaluates under encryption (representative formulation)</w:t>
      </w:r>
    </w:p>
    <w:p>
      <w:pPr>
        <w:pStyle w:val="Equation"/>
      </w:pPr>
      <m:oMathPara>
        <m:oMathParaPr>
          <m:jc m:val="center"/>
        </m:oMathParaPr>
        <m:oMath>
          <m:sSub>
            <m:e>
              <m:acc>
                <m:accPr>
                  <m:chr m:val="̂"/>
                </m:accPr>
                <m:e>
                  <m:r>
                    <m:t>β</m:t>
                  </m:r>
                </m:e>
              </m:acc>
            </m:e>
            <m:sub>
              <m:r>
                <m:t>j</m:t>
              </m:r>
            </m:sub>
          </m:sSub>
          <m:r>
            <m:rPr>
              <m:sty m:val="p"/>
            </m:rPr>
            <m:t>=</m:t>
          </m:r>
          <m:f>
            <m:fPr>
              <m:type m:val="bar"/>
            </m:fPr>
            <m:num>
              <m:nary>
                <m:naryPr>
                  <m:chr m:val="∑"/>
                  <m:limLoc m:val="undOvr"/>
                  <m:subHide m:val="off"/>
                  <m:supHide m:val="off"/>
                </m:naryPr>
                <m:sub>
                  <m:r>
                    <m:t>k</m:t>
                  </m:r>
                  <m:r>
                    <m:rPr>
                      <m:sty m:val="p"/>
                    </m:rPr>
                    <m:t>=</m:t>
                  </m:r>
                  <m:r>
                    <m:t>1</m:t>
                  </m:r>
                </m:sub>
                <m:sup>
                  <m:r>
                    <m:t>K</m:t>
                  </m:r>
                </m:sup>
                <m:e>
                  <m:sSubSup>
                    <m:e>
                      <m:acc>
                        <m:accPr>
                          <m:chr m:val="̃"/>
                        </m:accPr>
                        <m:e>
                          <m:r>
                            <m:t>g</m:t>
                          </m:r>
                        </m:e>
                      </m:acc>
                    </m:e>
                    <m:sub>
                      <m:r>
                        <m:t>k</m:t>
                      </m:r>
                      <m:r>
                        <m:t>j</m:t>
                      </m:r>
                    </m:sub>
                    <m:sup>
                      <m:r>
                        <m:rPr>
                          <m:sty m:val="p"/>
                        </m:rPr>
                        <m:t>⊤</m:t>
                      </m:r>
                    </m:sup>
                  </m:sSubSup>
                </m:e>
              </m:nary>
              <m:sSub>
                <m:e>
                  <m:acc>
                    <m:accPr>
                      <m:chr m:val="̃"/>
                    </m:accPr>
                    <m:e>
                      <m:r>
                        <m:t>y</m:t>
                      </m:r>
                    </m:e>
                  </m:acc>
                </m:e>
                <m:sub>
                  <m:r>
                    <m:t>k</m:t>
                  </m:r>
                </m:sub>
              </m:sSub>
            </m:num>
            <m:den>
              <m:nary>
                <m:naryPr>
                  <m:chr m:val="∑"/>
                  <m:limLoc m:val="undOvr"/>
                  <m:subHide m:val="off"/>
                  <m:supHide m:val="off"/>
                </m:naryPr>
                <m:sub>
                  <m:r>
                    <m:t>k</m:t>
                  </m:r>
                  <m:r>
                    <m:rPr>
                      <m:sty m:val="p"/>
                    </m:rPr>
                    <m:t>=</m:t>
                  </m:r>
                  <m:r>
                    <m:t>1</m:t>
                  </m:r>
                </m:sub>
                <m:sup>
                  <m:r>
                    <m:t>K</m:t>
                  </m:r>
                </m:sup>
                <m:e>
                  <m:sSubSup>
                    <m:e>
                      <m:acc>
                        <m:accPr>
                          <m:chr m:val="̃"/>
                        </m:accPr>
                        <m:e>
                          <m:r>
                            <m:t>g</m:t>
                          </m:r>
                        </m:e>
                      </m:acc>
                    </m:e>
                    <m:sub>
                      <m:r>
                        <m:t>k</m:t>
                      </m:r>
                      <m:r>
                        <m:t>j</m:t>
                      </m:r>
                    </m:sub>
                    <m:sup>
                      <m:r>
                        <m:rPr>
                          <m:sty m:val="p"/>
                        </m:rPr>
                        <m:t>⊤</m:t>
                      </m:r>
                    </m:sup>
                  </m:sSubSup>
                </m:e>
              </m:nary>
              <m:sSub>
                <m:e>
                  <m:acc>
                    <m:accPr>
                      <m:chr m:val="̃"/>
                    </m:accPr>
                    <m:e>
                      <m:r>
                        <m:t>g</m:t>
                      </m:r>
                    </m:e>
                  </m:acc>
                </m:e>
                <m:sub>
                  <m:r>
                    <m:t>k</m:t>
                  </m:r>
                  <m:r>
                    <m:t>j</m:t>
                  </m:r>
                </m:sub>
              </m:sSub>
            </m:den>
          </m:f>
          <m:r>
            <m:rPr>
              <m:sty m:val="p"/>
            </m:rPr>
            <m:t>,</m:t>
          </m:r>
          <m:r>
            <m:t>  </m:t>
          </m:r>
          <m:sSub>
            <m:e>
              <m:acc>
                <m:accPr>
                  <m:chr m:val="̃"/>
                </m:accPr>
                <m:e>
                  <m:r>
                    <m:t>g</m:t>
                  </m:r>
                </m:e>
              </m:acc>
            </m:e>
            <m:sub>
              <m:r>
                <m:t>k</m:t>
              </m:r>
              <m:r>
                <m:t>j</m:t>
              </m:r>
            </m:sub>
          </m:sSub>
          <m:r>
            <m:rPr>
              <m:sty m:val="p"/>
            </m:rPr>
            <m:t>=</m:t>
          </m:r>
          <m:sSub>
            <m:e>
              <m:r>
                <m:t>g</m:t>
              </m:r>
            </m:e>
            <m:sub>
              <m:r>
                <m:t>k</m:t>
              </m:r>
              <m:r>
                <m:t>j</m:t>
              </m:r>
            </m:sub>
          </m:sSub>
          <m:r>
            <m:rPr>
              <m:sty m:val="p"/>
            </m:rPr>
            <m:t>−</m:t>
          </m:r>
          <m:sSub>
            <m:e>
              <m:r>
                <m:t>Q</m:t>
              </m:r>
            </m:e>
            <m:sub>
              <m:r>
                <m:t>k</m:t>
              </m:r>
            </m:sub>
          </m:sSub>
          <m:nary>
            <m:naryPr>
              <m:chr m:val="∑"/>
              <m:limLoc m:val="undOvr"/>
              <m:subHide m:val="off"/>
              <m:supHide m:val="off"/>
            </m:naryPr>
            <m:sub>
              <m:r>
                <m:t>l</m:t>
              </m:r>
              <m:r>
                <m:rPr>
                  <m:sty m:val="p"/>
                </m:rPr>
                <m:t>=</m:t>
              </m:r>
              <m:r>
                <m:t>1</m:t>
              </m:r>
            </m:sub>
            <m:sup>
              <m:r>
                <m:t>K</m:t>
              </m:r>
            </m:sup>
            <m:e>
              <m:sSubSup>
                <m:e>
                  <m:r>
                    <m:t>Q</m:t>
                  </m:r>
                </m:e>
                <m:sub>
                  <m:r>
                    <m:t>l</m:t>
                  </m:r>
                </m:sub>
                <m:sup>
                  <m:r>
                    <m:rPr>
                      <m:sty m:val="p"/>
                    </m:rPr>
                    <m:t>⊤</m:t>
                  </m:r>
                </m:sup>
              </m:sSubSup>
            </m:e>
          </m:nary>
          <m:sSub>
            <m:e>
              <m:r>
                <m:t>g</m:t>
              </m:r>
            </m:e>
            <m:sub>
              <m:r>
                <m:t>l</m:t>
              </m:r>
              <m:r>
                <m:t>j</m:t>
              </m:r>
            </m:sub>
          </m:sSub>
        </m:oMath>
      </m:oMathPara>
    </w:p>
    <w:p>
      <w:pPr>
        <w:spacing w:after="60"/>
        <w:jc w:val="both"/>
      </w:pPr>
      <w:r>
        <w:rPr>
          <w:color w:val="3A4350"/>
          <w:sz w:val="15"/>
          <w:szCs w:val="15"/>
        </w:rPr>
        <w:t xml:space="preserve">Party </w:t>
      </w:r>
      <m:oMath>
        <m:r>
          <m:t>k</m:t>
        </m:r>
      </m:oMath>
      <w:r>
        <w:rPr>
          <w:color w:val="3A4350"/>
          <w:sz w:val="15"/>
          <w:szCs w:val="15"/>
        </w:rPr>
        <w:t xml:space="preserve"> holds the genotypes </w:t>
      </w:r>
      <m:oMath>
        <m:sSub>
          <m:e>
            <m:r>
              <m:t>g</m:t>
            </m:r>
          </m:e>
          <m:sub>
            <m:r>
              <m:t>k</m:t>
            </m:r>
            <m:r>
              <m:t>j</m:t>
            </m:r>
          </m:sub>
        </m:sSub>
      </m:oMath>
      <w:r>
        <w:rPr>
          <w:color w:val="3A4350"/>
          <w:sz w:val="15"/>
          <w:szCs w:val="15"/>
        </w:rPr>
        <w:t xml:space="preserve"> of variant </w:t>
      </w:r>
      <m:oMath>
        <m:r>
          <m:t>j</m:t>
        </m:r>
      </m:oMath>
      <w:r>
        <w:rPr>
          <w:color w:val="3A4350"/>
          <w:sz w:val="15"/>
          <w:szCs w:val="15"/>
        </w:rPr>
        <w:t xml:space="preserve"> and the trait values </w:t>
      </w:r>
      <m:oMath>
        <m:sSub>
          <m:e>
            <m:r>
              <m:t>y</m:t>
            </m:r>
          </m:e>
          <m:sub>
            <m:r>
              <m:t>k</m:t>
            </m:r>
          </m:sub>
        </m:sSub>
      </m:oMath>
      <w:r>
        <w:rPr>
          <w:color w:val="3A4350"/>
          <w:sz w:val="15"/>
          <w:szCs w:val="15"/>
        </w:rPr>
        <w:t xml:space="preserve"> of its own individuals and the rows </w:t>
      </w:r>
      <m:oMath>
        <m:sSub>
          <m:e>
            <m:r>
              <m:t>Q</m:t>
            </m:r>
          </m:e>
          <m:sub>
            <m:r>
              <m:t>k</m:t>
            </m:r>
          </m:sub>
        </m:sSub>
      </m:oMath>
      <w:r>
        <w:rPr>
          <w:color w:val="3A4350"/>
          <w:sz w:val="15"/>
          <w:szCs w:val="15"/>
        </w:rPr>
        <w:t xml:space="preserve"> of the jointly computed top principal components; </w:t>
      </w:r>
      <m:oMath>
        <m:sSub>
          <m:e>
            <m:acc>
              <m:accPr>
                <m:chr m:val="̃"/>
              </m:accPr>
              <m:e>
                <m:r>
                  <m:t>y</m:t>
                </m:r>
              </m:e>
            </m:acc>
          </m:e>
          <m:sub>
            <m:r>
              <m:t>k</m:t>
            </m:r>
          </m:sub>
        </m:sSub>
      </m:oMath>
      <w:r>
        <w:rPr>
          <w:color w:val="3A4350"/>
          <w:sz w:val="15"/>
          <w:szCs w:val="15"/>
        </w:rPr>
        <w:t xml:space="preserve"> is projected in the same way, and every cross-party quantity is a sum over </w:t>
      </w:r>
      <m:oMath>
        <m:r>
          <m:t>k</m:t>
        </m:r>
      </m:oMath>
      <w:r>
        <w:rPr>
          <w:color w:val="3A4350"/>
          <w:sz w:val="15"/>
          <w:szCs w:val="15"/>
        </w:rPr>
        <w:t xml:space="preserve">, which is what the encrypted protocol computes.</w:t>
      </w:r>
    </w:p>
    <w:p>
      <w:pPr>
        <w:spacing w:after="60"/>
        <w:jc w:val="both"/>
      </w:pPr>
      <w:r>
        <w:rPr>
          <w:b/>
          <w:bCs/>
          <w:color w:val="9A3412"/>
          <w:sz w:val="17"/>
          <w:szCs w:val="17"/>
        </w:rPr>
        <w:t xml:space="preserve">Link to the Fushë-Kuqe records. </w:t>
      </w:r>
      <w:r>
        <w:rPr>
          <w:sz w:val="17"/>
          <w:szCs w:val="17"/>
        </w:rPr>
        <w:t xml:space="preserve">Belongs to theme P (privacy for statistical and causal inference). Each Fushë-Kuqe holder plays the role of a biobank: the regression of chloride change on pumping, distance to sea and transmissivity, and any spatial-structure correction, reduce to sums of local Gram matrices, which SF-GWAS shows can be computed encrypted, so the irrigators' unregistered wells never leave their custody.</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shows that a full regression pipeline, including the linear algebra of PCA and mixed models, can be run across institutions on 410,000 records without pooling them and under formal cryptographic protection. Published in Nature Genetics (2025), with open-source code (hhcho/sfgwas).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SF-GWAS runs the analysis once parties have agreed to federate; it gives no value of adding a party beforehand, no adjustment for operator-chosen treatment, and releases outputs without differential privacy. A pre-merge, causal and DP-protected version for well records would be new.</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hybrid of homomorphic encryption and multi-party computation with distributed PCA and LMM algorithms that scales secure regression to biobanks. Proposed extension: under the same design, compute each holder's encrypted Gram matrix of pumping, distance to sea, log-transmissivity and their interactions; for a Bayesian linear CATE model the information gain of a merge depends only on these matrices, so candidate merges can be ranked before any chloride outcome is shared.</w:t>
      </w:r>
    </w:p>
    <w:p>
      <w:pPr>
        <w:keepNext/>
        <w:pBdr>
          <w:top w:val="single" w:color="9A3412" w:sz="6" w:space="4"/>
        </w:pBdr>
        <w:spacing w:after="60" w:before="220"/>
      </w:pPr>
      <w:r>
        <w:rPr>
          <w:b/>
          <w:bCs/>
          <w:color w:val="9A3412"/>
          <w:sz w:val="23"/>
          <w:szCs w:val="23"/>
        </w:rPr>
        <w:t xml:space="preserve">P4  </w:t>
      </w:r>
      <w:r>
        <w:rPr>
          <w:b/>
          <w:bCs/>
          <w:color w:val="1F3864"/>
          <w:sz w:val="23"/>
          <w:szCs w:val="23"/>
        </w:rPr>
        <w:t xml:space="preserve">Foundations of Bayesian Learning from Synthetic Data</w:t>
      </w:r>
    </w:p>
    <w:p>
      <w:pPr>
        <w:keepNext/>
        <w:spacing w:after="60" w:line="240" w:lineRule="auto"/>
      </w:pPr>
      <w:r>
        <w:rPr>
          <w:b/>
          <w:bCs/>
          <w:color w:val="333B47"/>
          <w:sz w:val="15"/>
          <w:szCs w:val="15"/>
        </w:rPr>
        <w:t xml:space="preserve">Authors: </w:t>
      </w:r>
      <w:r>
        <w:rPr>
          <w:sz w:val="15"/>
          <w:szCs w:val="15"/>
        </w:rPr>
        <w:t xml:space="preserve">Harrison Wilde, Jack Jewson, Sebastian Vollmer, Chris Holmes</w:t>
      </w:r>
      <w:r>
        <w:rPr>
          <w:sz w:val="15"/>
          <w:szCs w:val="15"/>
        </w:rPr>
        <w:t xml:space="preserve">   </w:t>
      </w:r>
      <w:r>
        <w:rPr>
          <w:b/>
          <w:bCs/>
          <w:color w:val="333B47"/>
          <w:sz w:val="15"/>
          <w:szCs w:val="15"/>
        </w:rPr>
        <w:t xml:space="preserve">Published in: </w:t>
      </w:r>
      <w:r>
        <w:rPr>
          <w:sz w:val="15"/>
          <w:szCs w:val="15"/>
        </w:rPr>
        <w:t xml:space="preserve">Proceedings of the 24th International Conference on Artificial Intelligence and Statistics (AISTATS 2021), PMLR 130, 541–549; arXiv 2011.08299</w:t>
      </w:r>
      <w:r>
        <w:rPr>
          <w:sz w:val="15"/>
          <w:szCs w:val="15"/>
        </w:rPr>
        <w:t xml:space="preserve">   </w:t>
      </w:r>
      <w:r>
        <w:rPr>
          <w:b/>
          <w:bCs/>
          <w:color w:val="333B47"/>
          <w:sz w:val="15"/>
          <w:szCs w:val="15"/>
        </w:rPr>
        <w:t xml:space="preserve">Link: </w:t>
      </w:r>
      <w:hyperlink w:history="1" r:id="rId6xjlcac7mippq1mgwplas">
        <w:r>
          <w:rPr>
            <w:color w:val="1D4ED8"/>
            <w:sz w:val="15"/>
            <w:szCs w:val="15"/>
            <w:u w:val="single"/>
          </w:rPr>
          <w:t xml:space="preserve">https://proceedings.mlr.press/v130/wilde21a.html</w:t>
        </w:r>
      </w:hyperlink>
    </w:p>
    <w:p>
      <w:pPr>
        <w:keepNext/>
        <w:spacing w:after="80" w:line="240" w:lineRule="auto"/>
      </w:pPr>
      <w:r>
        <w:rPr>
          <w:b/>
          <w:bCs/>
          <w:color w:val="333B47"/>
          <w:sz w:val="15"/>
          <w:szCs w:val="15"/>
        </w:rPr>
        <w:t xml:space="preserve">Affiliation: </w:t>
      </w:r>
      <w:r>
        <w:rPr>
          <w:color w:val="3A4350"/>
          <w:sz w:val="15"/>
          <w:szCs w:val="15"/>
        </w:rPr>
        <w:t xml:space="preserve">Chris Holmes, University of Oxford and The Alan Turing Institute (arXiv 2011.08299 author block, per a search summary); Wilde and Vollmer, University of Warwick; Jewson, Barcelona GSE and Universitat Pompeu Fabra.</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(3/5)</w:t>
      </w:r>
    </w:p>
    <w:p>
      <w:pPr>
        <w:spacing w:after="60"/>
        <w:jc w:val="both"/>
      </w:pPr>
      <w:r>
        <w:rPr>
          <w:b/>
          <w:bCs/>
          <w:color w:val="9A3412"/>
          <w:sz w:val="17"/>
          <w:szCs w:val="17"/>
        </w:rPr>
        <w:t xml:space="preserve">Summary. </w:t>
      </w:r>
      <w:r>
        <w:rPr>
          <w:sz w:val="17"/>
          <w:szCs w:val="17"/>
        </w:rPr>
        <w:t xml:space="preserve">A researcher with a few real observations may add synthetic data released by another party, for example from a differentially private generator. Treating synthetic data as real yields misspecified and over-confident posteriors, because the generating process distorts the distribution. The paper uses general Bayesian updating, in which the synthetic data enter through their own loss, for instance down-weighted or made robust, and takes a decision-theoretic view of how much synthetic data to use, judged by predictive performance. In repeated supervised learning and inference experiments the approach outperforms standard updating that treats synthetic data as if they were real.</w:t>
      </w:r>
    </w:p>
    <w:p>
      <w:pPr>
        <w:keepNext/>
        <w:spacing w:after="20" w:before="40"/>
      </w:pPr>
      <w:r>
        <w:rPr>
          <w:b/>
          <w:bCs/>
          <w:color w:val="9A3412"/>
          <w:sz w:val="17"/>
          <w:szCs w:val="17"/>
        </w:rPr>
        <w:t xml:space="preserve">Key equation.</w:t>
      </w:r>
      <w:r>
        <w:rPr>
          <w:i/>
          <w:iCs/>
          <w:color w:val="5B6573"/>
          <w:sz w:val="15"/>
          <w:szCs w:val="15"/>
        </w:rPr>
        <w:t xml:space="preserve">  General Bayesian update with a separate, weighted loss for synthetic data (representative formulation)</w:t>
      </w:r>
    </w:p>
    <w:p>
      <w:pPr>
        <w:pStyle w:val="Equation"/>
      </w:pPr>
      <m:oMathPara>
        <m:oMathParaPr>
          <m:jc m:val="center"/>
        </m:oMathParaPr>
        <m:oMath>
          <m:r>
            <m:t>π</m:t>
          </m:r>
          <m:d>
            <m:dPr>
              <m:begChr m:val="("/>
              <m:sepChr m:val=""/>
              <m:endChr m:val=")"/>
              <m:grow/>
            </m:dPr>
            <m:e>
              <m:r>
                <m:t>θ</m:t>
              </m:r>
              <m:r>
                <m:rPr>
                  <m:sty m:val="p"/>
                </m:rPr>
                <m:t>∣</m:t>
              </m:r>
              <m:r>
                <m:t>x</m:t>
              </m:r>
              <m:r>
                <m:rPr>
                  <m:sty m:val="p"/>
                </m:rPr>
                <m:t>,</m:t>
              </m:r>
              <m:r>
                <m:t>z</m:t>
              </m:r>
            </m:e>
          </m:d>
          <m:r>
            <m:rPr>
              <m:sty m:val="p"/>
            </m:rPr>
            <m:t>∝</m:t>
          </m:r>
          <m:r>
            <m:t>π</m:t>
          </m:r>
          <m:d>
            <m:dPr>
              <m:begChr m:val="("/>
              <m:sepChr m:val=""/>
              <m:endChr m:val=")"/>
              <m:grow/>
            </m:dPr>
            <m:e>
              <m:r>
                <m:t>θ</m:t>
              </m:r>
            </m:e>
          </m:d>
          <m:r>
            <m:rPr>
              <m:sty m:val="p"/>
            </m:rPr>
            <m:t>exp</m:t>
          </m:r>
          <m:d>
            <m:dPr>
              <m:begChr m:val="("/>
              <m:sepChr m:val=""/>
              <m:endChr m:val=")"/>
              <m:grow/>
            </m:dPr>
            <m:e>
              <m:r>
                <m:rPr>
                  <m:sty m:val="p"/>
                </m:rPr>
                <m:t>−</m:t>
              </m:r>
              <m:nary>
                <m:naryPr>
                  <m:chr m:val="∑"/>
                  <m:limLoc m:val="undOvr"/>
                  <m:subHide m:val="off"/>
                  <m:supHide m:val="off"/>
                </m:naryPr>
                <m:sub>
                  <m:r>
                    <m:t>i</m:t>
                  </m:r>
                  <m:r>
                    <m:rPr>
                      <m:sty m:val="p"/>
                    </m:rPr>
                    <m:t>=</m:t>
                  </m:r>
                  <m:r>
                    <m:t>1</m:t>
                  </m:r>
                </m:sub>
                <m:sup>
                  <m:r>
                    <m:t>n</m:t>
                  </m:r>
                </m:sup>
                <m:e>
                  <m:r>
                    <m:rPr>
                      <m:sty m:val="p"/>
                    </m:rPr>
                    <m:t>ℓ</m:t>
                  </m:r>
                </m:e>
              </m:nary>
              <m:d>
                <m:dPr>
                  <m:begChr m:val="("/>
                  <m:sepChr m:val=""/>
                  <m:endChr m:val=")"/>
                  <m:grow/>
                </m:dPr>
                <m:e>
                  <m:r>
                    <m:t>θ</m:t>
                  </m:r>
                  <m:r>
                    <m:rPr>
                      <m:sty m:val="p"/>
                    </m:rPr>
                    <m:t>;</m:t>
                  </m:r>
                  <m:sSub>
                    <m:e>
                      <m:r>
                        <m:t>x</m:t>
                      </m:r>
                    </m:e>
                    <m:sub>
                      <m:r>
                        <m:t>i</m:t>
                      </m:r>
                    </m:sub>
                  </m:sSub>
                </m:e>
              </m:d>
              <m:r>
                <m:rPr>
                  <m:sty m:val="p"/>
                </m:rPr>
                <m:t>−</m:t>
              </m:r>
              <m:r>
                <m:t>w</m:t>
              </m:r>
              <m:nary>
                <m:naryPr>
                  <m:chr m:val="∑"/>
                  <m:limLoc m:val="undOvr"/>
                  <m:subHide m:val="off"/>
                  <m:supHide m:val="off"/>
                </m:naryPr>
                <m:sub>
                  <m:r>
                    <m:t>j</m:t>
                  </m:r>
                  <m:r>
                    <m:rPr>
                      <m:sty m:val="p"/>
                    </m:rPr>
                    <m:t>=</m:t>
                  </m:r>
                  <m:r>
                    <m:t>1</m:t>
                  </m:r>
                </m:sub>
                <m:sup>
                  <m:r>
                    <m:t>m</m:t>
                  </m:r>
                </m:sup>
                <m:e>
                  <m:sSub>
                    <m:e>
                      <m:r>
                        <m:rPr>
                          <m:sty m:val="p"/>
                        </m:rPr>
                        <m:t>ℓ</m:t>
                      </m:r>
                    </m:e>
                    <m:sub>
                      <m:r>
                        <m:t>β</m:t>
                      </m:r>
                    </m:sub>
                  </m:sSub>
                </m:e>
              </m:nary>
              <m:d>
                <m:dPr>
                  <m:begChr m:val="("/>
                  <m:sepChr m:val=""/>
                  <m:endChr m:val=")"/>
                  <m:grow/>
                </m:dPr>
                <m:e>
                  <m:r>
                    <m:t>θ</m:t>
                  </m:r>
                  <m:r>
                    <m:rPr>
                      <m:sty m:val="p"/>
                    </m:rPr>
                    <m:t>;</m:t>
                  </m:r>
                  <m:sSub>
                    <m:e>
                      <m:r>
                        <m:t>z</m:t>
                      </m:r>
                    </m:e>
                    <m:sub>
                      <m:r>
                        <m:t>j</m:t>
                      </m:r>
                    </m:sub>
                  </m:sSub>
                </m:e>
              </m:d>
            </m:e>
          </m:d>
        </m:oMath>
      </m:oMathPara>
    </w:p>
    <w:p>
      <w:pPr>
        <w:spacing w:after="60"/>
        <w:jc w:val="both"/>
      </w:pPr>
      <m:oMath>
        <m:sSub>
          <m:e>
            <m:r>
              <m:t>x</m:t>
            </m:r>
          </m:e>
          <m:sub>
            <m:r>
              <m:t>1</m:t>
            </m:r>
          </m:sub>
        </m:sSub>
        <m:r>
          <m:rPr>
            <m:sty m:val="p"/>
          </m:rPr>
          <m:t>,</m:t>
        </m:r>
        <m:r>
          <m:rPr>
            <m:sty m:val="p"/>
          </m:rPr>
          <m:t>…</m:t>
        </m:r>
        <m:r>
          <m:rPr>
            <m:sty m:val="p"/>
          </m:rPr>
          <m:t>,</m:t>
        </m:r>
        <m:sSub>
          <m:e>
            <m:r>
              <m:t>x</m:t>
            </m:r>
          </m:e>
          <m:sub>
            <m:r>
              <m:t>n</m:t>
            </m:r>
          </m:sub>
        </m:sSub>
      </m:oMath>
      <w:r>
        <w:rPr>
          <w:color w:val="3A4350"/>
          <w:sz w:val="15"/>
          <w:szCs w:val="15"/>
        </w:rPr>
        <w:t xml:space="preserve"> are real observations with log-loss </w:t>
      </w:r>
      <m:oMath>
        <m:r>
          <m:rPr>
            <m:sty m:val="p"/>
          </m:rPr>
          <m:t>ℓ</m:t>
        </m:r>
      </m:oMath>
      <w:r>
        <w:rPr>
          <w:color w:val="3A4350"/>
          <w:sz w:val="15"/>
          <w:szCs w:val="15"/>
        </w:rPr>
        <w:t xml:space="preserve">, </w:t>
      </w:r>
      <m:oMath>
        <m:sSub>
          <m:e>
            <m:r>
              <m:t>z</m:t>
            </m:r>
          </m:e>
          <m:sub>
            <m:r>
              <m:t>1</m:t>
            </m:r>
          </m:sub>
        </m:sSub>
        <m:r>
          <m:rPr>
            <m:sty m:val="p"/>
          </m:rPr>
          <m:t>,</m:t>
        </m:r>
        <m:r>
          <m:rPr>
            <m:sty m:val="p"/>
          </m:rPr>
          <m:t>…</m:t>
        </m:r>
        <m:r>
          <m:rPr>
            <m:sty m:val="p"/>
          </m:rPr>
          <m:t>,</m:t>
        </m:r>
        <m:sSub>
          <m:e>
            <m:r>
              <m:t>z</m:t>
            </m:r>
          </m:e>
          <m:sub>
            <m:r>
              <m:t>m</m:t>
            </m:r>
          </m:sub>
        </m:sSub>
      </m:oMath>
      <w:r>
        <w:rPr>
          <w:color w:val="3A4350"/>
          <w:sz w:val="15"/>
          <w:szCs w:val="15"/>
        </w:rPr>
        <w:t xml:space="preserve"> synthetic records, </w:t>
      </w:r>
      <m:oMath>
        <m:sSub>
          <m:e>
            <m:r>
              <m:rPr>
                <m:sty m:val="p"/>
              </m:rPr>
              <m:t>ℓ</m:t>
            </m:r>
          </m:e>
          <m:sub>
            <m:r>
              <m:t>β</m:t>
            </m:r>
          </m:sub>
        </m:sSub>
      </m:oMath>
      <w:r>
        <w:rPr>
          <w:color w:val="3A4350"/>
          <w:sz w:val="15"/>
          <w:szCs w:val="15"/>
        </w:rPr>
        <w:t xml:space="preserve"> a robust loss for the synthetic part and </w:t>
      </w:r>
      <m:oMath>
        <m:r>
          <m:t>w</m:t>
        </m:r>
        <m:r>
          <m:rPr>
            <m:sty m:val="p"/>
          </m:rPr>
          <m:t>≥</m:t>
        </m:r>
        <m:r>
          <m:t>0</m:t>
        </m:r>
      </m:oMath>
      <w:r>
        <w:rPr>
          <w:color w:val="3A4350"/>
          <w:sz w:val="15"/>
          <w:szCs w:val="15"/>
        </w:rPr>
        <w:t xml:space="preserve"> its weight; the number </w:t>
      </w:r>
      <m:oMath>
        <m:r>
          <m:t>m</m:t>
        </m:r>
      </m:oMath>
      <w:r>
        <w:rPr>
          <w:color w:val="3A4350"/>
          <w:sz w:val="15"/>
          <w:szCs w:val="15"/>
        </w:rPr>
        <w:t xml:space="preserve"> of synthetic records used is chosen by expected predictive performance.</w:t>
      </w:r>
    </w:p>
    <w:p>
      <w:pPr>
        <w:spacing w:after="60"/>
        <w:jc w:val="both"/>
      </w:pPr>
      <w:r>
        <w:rPr>
          <w:b/>
          <w:bCs/>
          <w:color w:val="9A3412"/>
          <w:sz w:val="17"/>
          <w:szCs w:val="17"/>
        </w:rPr>
        <w:t xml:space="preserve">Link to the Fushë-Kuqe records. </w:t>
      </w:r>
      <w:r>
        <w:rPr>
          <w:sz w:val="17"/>
          <w:szCs w:val="17"/>
        </w:rPr>
        <w:t xml:space="preserve">Belongs to theme P (privacy for statistical and causal inference). If a holder releases only DP synthetic well records, this framework tells the reader how much weight and how many synthetic records to merge with the real research-campaign and agency data before the coastal pumping effect is estimated, which is itself a merge-value question.</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gives a principled Bayesian account of how synthetic (including DP) data should enter inference, showing that treating them as real misleads and that the amount to use is a decision problem. AISTATS 2021 (PMLR 130), from the group of Chris Holmes, last author of the anchor paper.</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approach chooses the amount of synthetic data by predictive performance after the data are received. Choosing it before release, for a causal effect with poor coastal overlap and from several synthetic sources, is open and new for well records.</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decision-theoretic, general-Bayesian treatment of synthetic data with a separate loss and weight, rather than treating them as real. Proposed extension: give each holder's DP synthetic well records their own weight in a Bayesian CATE model of chloride response, and choose weights and amounts by expected information gain about the coastal effect rather than by prediction accuracy.</w:t>
      </w:r>
    </w:p>
    <w:p>
      <w:pPr>
        <w:keepNext/>
        <w:pBdr>
          <w:top w:val="single" w:color="9A3412" w:sz="6" w:space="4"/>
        </w:pBdr>
        <w:spacing w:after="60" w:before="220"/>
      </w:pPr>
      <w:r>
        <w:rPr>
          <w:b/>
          <w:bCs/>
          <w:color w:val="9A3412"/>
          <w:sz w:val="23"/>
          <w:szCs w:val="23"/>
        </w:rPr>
        <w:t xml:space="preserve">P5  </w:t>
      </w:r>
      <w:r>
        <w:rPr>
          <w:b/>
          <w:bCs/>
          <w:color w:val="1F3864"/>
          <w:sz w:val="23"/>
          <w:szCs w:val="23"/>
        </w:rPr>
        <w:t xml:space="preserve">Mitigating Statistical Bias within Differentially Private Synthetic Data</w:t>
      </w:r>
    </w:p>
    <w:p>
      <w:pPr>
        <w:keepNext/>
        <w:spacing w:after="60" w:line="240" w:lineRule="auto"/>
      </w:pPr>
      <w:r>
        <w:rPr>
          <w:b/>
          <w:bCs/>
          <w:color w:val="333B47"/>
          <w:sz w:val="15"/>
          <w:szCs w:val="15"/>
        </w:rPr>
        <w:t xml:space="preserve">Authors: </w:t>
      </w:r>
      <w:r>
        <w:rPr>
          <w:sz w:val="15"/>
          <w:szCs w:val="15"/>
        </w:rPr>
        <w:t xml:space="preserve">Sahra Ghalebikesabi, Harry Wilde, Jack Jewson, Arnaud Doucet, Sebastian Vollmer, Chris Holmes</w:t>
      </w:r>
      <w:r>
        <w:rPr>
          <w:sz w:val="15"/>
          <w:szCs w:val="15"/>
        </w:rPr>
        <w:t xml:space="preserve">   </w:t>
      </w:r>
      <w:r>
        <w:rPr>
          <w:b/>
          <w:bCs/>
          <w:color w:val="333B47"/>
          <w:sz w:val="15"/>
          <w:szCs w:val="15"/>
        </w:rPr>
        <w:t xml:space="preserve">Published in: </w:t>
      </w:r>
      <w:r>
        <w:rPr>
          <w:sz w:val="15"/>
          <w:szCs w:val="15"/>
        </w:rPr>
        <w:t xml:space="preserve">Proceedings of the 38th Conference on Uncertainty in Artificial Intelligence (UAI 2022), PMLR 180, 696–705; arXiv 2108.10934</w:t>
      </w:r>
      <w:r>
        <w:rPr>
          <w:sz w:val="15"/>
          <w:szCs w:val="15"/>
        </w:rPr>
        <w:t xml:space="preserve">   </w:t>
      </w:r>
      <w:r>
        <w:rPr>
          <w:b/>
          <w:bCs/>
          <w:color w:val="333B47"/>
          <w:sz w:val="15"/>
          <w:szCs w:val="15"/>
        </w:rPr>
        <w:t xml:space="preserve">Link: </w:t>
      </w:r>
      <w:hyperlink w:history="1" r:id="rId4io_md96l0tif9secg8bu">
        <w:r>
          <w:rPr>
            <w:color w:val="1D4ED8"/>
            <w:sz w:val="15"/>
            <w:szCs w:val="15"/>
            <w:u w:val="single"/>
          </w:rPr>
          <w:t xml:space="preserve">https://proceedings.mlr.press/v180/ghalebikesabi22a.html</w:t>
        </w:r>
      </w:hyperlink>
    </w:p>
    <w:p>
      <w:pPr>
        <w:keepNext/>
        <w:spacing w:after="80" w:line="240" w:lineRule="auto"/>
      </w:pPr>
      <w:r>
        <w:rPr>
          <w:b/>
          <w:bCs/>
          <w:color w:val="333B47"/>
          <w:sz w:val="15"/>
          <w:szCs w:val="15"/>
        </w:rPr>
        <w:t xml:space="preserve">Affiliation: </w:t>
      </w:r>
      <w:r>
        <w:rPr>
          <w:color w:val="3A4350"/>
          <w:sz w:val="15"/>
          <w:szCs w:val="15"/>
        </w:rPr>
        <w:t xml:space="preserve">Sahra Ghalebikesabi, Arnaud Doucet and Chris Holmes, University of Oxford (arXiv v1 author block, per a search summary; the paper is also listed by the Oxford Big Data Institute); Wilde and Vollmer, University of Warwick; Jewson, Universitat Pompeu Fabra. Pages from PMLR (one Oxford listing gives 685–695; PMLR is followed). PMLR gives the second author as Harry Wilde, arXiv as Harrison Wilde.</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(2/5)</w:t>
      </w:r>
    </w:p>
    <w:p>
      <w:pPr>
        <w:spacing w:after="60"/>
        <w:jc w:val="both"/>
      </w:pPr>
      <w:r>
        <w:rPr>
          <w:b/>
          <w:bCs/>
          <w:color w:val="9A3412"/>
          <w:sz w:val="17"/>
          <w:szCs w:val="17"/>
        </w:rPr>
        <w:t xml:space="preserve">Summary. </w:t>
      </w:r>
      <w:r>
        <w:rPr>
          <w:sz w:val="17"/>
          <w:szCs w:val="17"/>
        </w:rPr>
        <w:t xml:space="preserve">Differentially private generative models release synthetic records in place of private ones, but the privacy noise distorts the synthetic distribution, so estimators and models fitted to synthetic data are biased. The paper corrects this after release by re-weighting each synthetic record with an estimated likelihood ratio between the real and synthetic distributions; the likelihood ratios are themselves privatised, so the correction respects the privacy guarantee, and it applies to differentially private generative models in general. A large-scale empirical evaluation shows that private importance weighting is a simple and effective, privacy-compliant way to reduce the bias of downstream estimators. An earlier version was titled "A cautionary tale".</w:t>
      </w:r>
    </w:p>
    <w:p>
      <w:pPr>
        <w:keepNext/>
        <w:spacing w:after="20" w:before="40"/>
      </w:pPr>
      <w:r>
        <w:rPr>
          <w:b/>
          <w:bCs/>
          <w:color w:val="9A3412"/>
          <w:sz w:val="17"/>
          <w:szCs w:val="17"/>
        </w:rPr>
        <w:t xml:space="preserve">Key equation.</w:t>
      </w:r>
      <w:r>
        <w:rPr>
          <w:i/>
          <w:iCs/>
          <w:color w:val="5B6573"/>
          <w:sz w:val="15"/>
          <w:szCs w:val="15"/>
        </w:rPr>
        <w:t xml:space="preserve">  Importance-weighted downstream estimator on synthetic data with privatised likelihood-ratio weights (representative formulation)</w:t>
      </w:r>
    </w:p>
    <w:p>
      <w:pPr>
        <w:pStyle w:val="Equation"/>
      </w:pPr>
      <m:oMathPara>
        <m:oMathParaPr>
          <m:jc m:val="center"/>
        </m:oMathParaPr>
        <m:oMath>
          <m:acc>
            <m:accPr>
              <m:chr m:val="̂"/>
            </m:accPr>
            <m:e>
              <m:r>
                <m:t>θ</m:t>
              </m:r>
            </m:e>
          </m:acc>
          <m:r>
            <m:rPr>
              <m:sty m:val="p"/>
            </m:rPr>
            <m:t>=</m:t>
          </m:r>
          <m:r>
            <m:rPr>
              <m:sty m:val="p"/>
            </m:rPr>
            <m:t>arg</m:t>
          </m:r>
          <m:limLow>
            <m:e>
              <m:r>
                <m:rPr>
                  <m:sty m:val="p"/>
                </m:rPr>
                <m:t>min</m:t>
              </m:r>
            </m:e>
            <m:lim>
              <m:r>
                <m:t>θ</m:t>
              </m:r>
            </m:lim>
          </m:limLow>
          <m:r>
            <m:t> </m:t>
          </m:r>
          <m:nary>
            <m:naryPr>
              <m:chr m:val="∑"/>
              <m:limLoc m:val="undOvr"/>
              <m:subHide m:val="off"/>
              <m:supHide m:val="off"/>
            </m:naryPr>
            <m:sub>
              <m:r>
                <m:t>j</m:t>
              </m:r>
              <m:r>
                <m:rPr>
                  <m:sty m:val="p"/>
                </m:rPr>
                <m:t>=</m:t>
              </m:r>
              <m:r>
                <m:t>1</m:t>
              </m:r>
            </m:sub>
            <m:sup>
              <m:r>
                <m:t>m</m:t>
              </m:r>
            </m:sup>
            <m:e>
              <m:acc>
                <m:accPr>
                  <m:chr m:val="̂"/>
                </m:accPr>
                <m:e>
                  <m:r>
                    <m:t>w</m:t>
                  </m:r>
                </m:e>
              </m:acc>
            </m:e>
          </m:nary>
          <m:d>
            <m:dPr>
              <m:begChr m:val="("/>
              <m:sepChr m:val=""/>
              <m:endChr m:val=")"/>
              <m:grow/>
            </m:dPr>
            <m:e>
              <m:sSub>
                <m:e>
                  <m:acc>
                    <m:accPr>
                      <m:chr m:val="̃"/>
                    </m:accPr>
                    <m:e>
                      <m:r>
                        <m:t>x</m:t>
                      </m:r>
                    </m:e>
                  </m:acc>
                </m:e>
                <m:sub>
                  <m:r>
                    <m:t>j</m:t>
                  </m:r>
                </m:sub>
              </m:sSub>
            </m:e>
          </m:d>
          <m:r>
            <m:rPr>
              <m:sty m:val="p"/>
            </m:rPr>
            <m:t>ℓ</m:t>
          </m:r>
          <m:d>
            <m:dPr>
              <m:begChr m:val="("/>
              <m:sepChr m:val=""/>
              <m:endChr m:val=")"/>
              <m:grow/>
            </m:dPr>
            <m:e>
              <m:r>
                <m:t>θ</m:t>
              </m:r>
              <m:r>
                <m:rPr>
                  <m:sty m:val="p"/>
                </m:rPr>
                <m:t>;</m:t>
              </m:r>
              <m:sSub>
                <m:e>
                  <m:acc>
                    <m:accPr>
                      <m:chr m:val="̃"/>
                    </m:accPr>
                    <m:e>
                      <m:r>
                        <m:t>x</m:t>
                      </m:r>
                    </m:e>
                  </m:acc>
                </m:e>
                <m:sub>
                  <m:r>
                    <m:t>j</m:t>
                  </m:r>
                </m:sub>
              </m:sSub>
            </m:e>
          </m:d>
          <m:r>
            <m:rPr>
              <m:sty m:val="p"/>
            </m:rPr>
            <m:t>,</m:t>
          </m:r>
          <m:r>
            <m:t>  </m:t>
          </m:r>
          <m:acc>
            <m:accPr>
              <m:chr m:val="̂"/>
            </m:accPr>
            <m:e>
              <m:r>
                <m:t>w</m:t>
              </m:r>
            </m:e>
          </m:acc>
          <m:d>
            <m:dPr>
              <m:begChr m:val="("/>
              <m:sepChr m:val=""/>
              <m:endChr m:val=")"/>
              <m:grow/>
            </m:dPr>
            <m:e>
              <m:r>
                <m:t>x</m:t>
              </m:r>
            </m:e>
          </m:d>
          <m:r>
            <m:rPr>
              <m:sty m:val="p"/>
            </m:rPr>
            <m:t>≈</m:t>
          </m:r>
          <m:f>
            <m:fPr>
              <m:type m:val="bar"/>
            </m:fPr>
            <m:num>
              <m:sSub>
                <m:e>
                  <m:r>
                    <m:t>p</m:t>
                  </m:r>
                </m:e>
                <m:sub>
                  <m:r>
                    <m:rPr>
                      <m:nor/>
                    </m:rPr>
                    <m:t>real</m:t>
                  </m:r>
                </m:sub>
              </m:sSub>
              <m:d>
                <m:dPr>
                  <m:begChr m:val="("/>
                  <m:sepChr m:val=""/>
                  <m:endChr m:val=")"/>
                  <m:grow/>
                </m:dPr>
                <m:e>
                  <m:r>
                    <m:t>x</m:t>
                  </m:r>
                </m:e>
              </m:d>
            </m:num>
            <m:den>
              <m:sSub>
                <m:e>
                  <m:r>
                    <m:t>p</m:t>
                  </m:r>
                </m:e>
                <m:sub>
                  <m:r>
                    <m:rPr>
                      <m:nor/>
                    </m:rPr>
                    <m:t>syn</m:t>
                  </m:r>
                </m:sub>
              </m:sSub>
              <m:d>
                <m:dPr>
                  <m:begChr m:val="("/>
                  <m:sepChr m:val=""/>
                  <m:endChr m:val=")"/>
                  <m:grow/>
                </m:dPr>
                <m:e>
                  <m:r>
                    <m:t>x</m:t>
                  </m:r>
                </m:e>
              </m:d>
            </m:den>
          </m:f>
        </m:oMath>
      </m:oMathPara>
    </w:p>
    <w:p>
      <w:pPr>
        <w:spacing w:after="60"/>
        <w:jc w:val="both"/>
      </w:pPr>
      <m:oMath>
        <m:sSub>
          <m:e>
            <m:acc>
              <m:accPr>
                <m:chr m:val="̃"/>
              </m:accPr>
              <m:e>
                <m:r>
                  <m:t>x</m:t>
                </m:r>
              </m:e>
            </m:acc>
          </m:e>
          <m:sub>
            <m:r>
              <m:t>1</m:t>
            </m:r>
          </m:sub>
        </m:sSub>
        <m:r>
          <m:rPr>
            <m:sty m:val="p"/>
          </m:rPr>
          <m:t>,</m:t>
        </m:r>
        <m:r>
          <m:rPr>
            <m:sty m:val="p"/>
          </m:rPr>
          <m:t>…</m:t>
        </m:r>
        <m:r>
          <m:rPr>
            <m:sty m:val="p"/>
          </m:rPr>
          <m:t>,</m:t>
        </m:r>
        <m:sSub>
          <m:e>
            <m:acc>
              <m:accPr>
                <m:chr m:val="̃"/>
              </m:accPr>
              <m:e>
                <m:r>
                  <m:t>x</m:t>
                </m:r>
              </m:e>
            </m:acc>
          </m:e>
          <m:sub>
            <m:r>
              <m:t>m</m:t>
            </m:r>
          </m:sub>
        </m:sSub>
      </m:oMath>
      <w:r>
        <w:rPr>
          <w:color w:val="3A4350"/>
          <w:sz w:val="15"/>
          <w:szCs w:val="15"/>
        </w:rPr>
        <w:t xml:space="preserve"> are synthetic records from a DP generator, </w:t>
      </w:r>
      <m:oMath>
        <m:r>
          <m:rPr>
            <m:sty m:val="p"/>
          </m:rPr>
          <m:t>ℓ</m:t>
        </m:r>
      </m:oMath>
      <w:r>
        <w:rPr>
          <w:color w:val="3A4350"/>
          <w:sz w:val="15"/>
          <w:szCs w:val="15"/>
        </w:rPr>
        <w:t xml:space="preserve"> the loss of the downstream estimator and </w:t>
      </w:r>
      <m:oMath>
        <m:acc>
          <m:accPr>
            <m:chr m:val="̂"/>
          </m:accPr>
          <m:e>
            <m:r>
              <m:t>w</m:t>
            </m:r>
          </m:e>
        </m:acc>
      </m:oMath>
      <w:r>
        <w:rPr>
          <w:color w:val="3A4350"/>
          <w:sz w:val="15"/>
          <w:szCs w:val="15"/>
        </w:rPr>
        <w:t xml:space="preserve"> a likelihood ratio estimated under differential privacy, so that the weighted synthetic sample mimics the real distribution.</w:t>
      </w:r>
    </w:p>
    <w:p>
      <w:pPr>
        <w:spacing w:after="60"/>
        <w:jc w:val="both"/>
      </w:pPr>
      <w:r>
        <w:rPr>
          <w:b/>
          <w:bCs/>
          <w:color w:val="9A3412"/>
          <w:sz w:val="17"/>
          <w:szCs w:val="17"/>
        </w:rPr>
        <w:t xml:space="preserve">Link to the Fushë-Kuqe records. </w:t>
      </w:r>
      <w:r>
        <w:rPr>
          <w:sz w:val="17"/>
          <w:szCs w:val="17"/>
        </w:rPr>
        <w:t xml:space="preserve">Belongs to theme P (privacy for statistical and causal inference). An institution that will not join a secure computation, such as the irrigators, may release DP synthetic well records instead. Chloride-response models fitted to them are biased; weighting them by a private likelihood ratio against the research-campaign wells reduces that bias before their merge value is judged.</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shows that synthetic data from DP generators can bias downstream inference and gives a general correction, private importance weighting, that stays within the privacy guarantee. Main-track paper at UAI 2022 (PMLR 180), co-authored by Chris Holmes, last author of the anchor paper.</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correction targets generic downstream estimators. Near the coast, overlap between pumping groups is poor and importance weights can become extreme; how DP synthesis and re-weighting change a CATE, and hence the value of a merge, is open and would be new for well records.</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privatised likelihood-ratio weights as a post-release, privacy-compliant correction of DP synthetic data for downstream estimation. Proposed extension: have the irrigators release DP synthetic records (distance band, log-transmissivity, pumping class, chloride change), weight them against the research-campaign wells, and compare the coastal pumping effect and the estimated merge value with and without weights, tracking the effective sample size of the weights in the coastal band.</w:t>
      </w:r>
    </w:p>
    <w:p>
      <w:pPr>
        <w:pStyle w:val="Heading1"/>
      </w:pPr>
      <w:r>
        <w:rPr>
          <w:color w:val="5B21B6"/>
        </w:rPr>
        <w:t xml:space="preserve">7. Data valuation and data acquisition</w:t>
      </w:r>
    </w:p>
    <w:p>
      <w:pPr>
        <w:spacing w:after="120"/>
        <w:jc w:val="both"/>
      </w:pPr>
      <w:r>
        <w:t xml:space="preserve">Valuing data is now a field with theorems. Jiachen T. Wang and Ruoxi Jia show that the Banzhaf value is the most robust semivalue [D1]; Jiachen T. Wang, Yuqing Zhu, Yu-Xiang Wang, Ruoxi Jia and Prateek Mittal make KNN-Shapley valuation linear-time and differentially private [D2]; Charles Lu, Praneeth Vepakomma, Michael I. Jordan, Ramesh Raskar and colleagues buy data by experimental design without seeing it [D3]; Federico Echenique and Siddharth Prasad make adaptive questioning of a strategic respondent incentive compatible at a small cost in queries [D4]; and Yiling Chen, Yiheng Shen and Shuran Zheng pay for data truthfully without test data [D5].</w:t>
      </w:r>
    </w:p>
    <w:p>
      <w:pPr>
        <w:keepNext/>
        <w:pBdr>
          <w:top w:val="single" w:color="5B21B6" w:sz="6" w:space="4"/>
        </w:pBdr>
        <w:spacing w:after="60" w:before="220"/>
      </w:pPr>
      <w:r>
        <w:rPr>
          <w:b/>
          <w:bCs/>
          <w:color w:val="5B21B6"/>
          <w:sz w:val="23"/>
          <w:szCs w:val="23"/>
        </w:rPr>
        <w:t xml:space="preserve">D1  </w:t>
      </w:r>
      <w:r>
        <w:rPr>
          <w:b/>
          <w:bCs/>
          <w:color w:val="1F3864"/>
          <w:sz w:val="23"/>
          <w:szCs w:val="23"/>
        </w:rPr>
        <w:t xml:space="preserve">Data Banzhaf: A Robust Data Valuation Framework for Machine Learning</w:t>
      </w:r>
    </w:p>
    <w:p>
      <w:pPr>
        <w:keepNext/>
        <w:spacing w:after="60" w:line="240" w:lineRule="auto"/>
      </w:pPr>
      <w:r>
        <w:rPr>
          <w:b/>
          <w:bCs/>
          <w:color w:val="333B47"/>
          <w:sz w:val="15"/>
          <w:szCs w:val="15"/>
        </w:rPr>
        <w:t xml:space="preserve">Authors: </w:t>
      </w:r>
      <w:r>
        <w:rPr>
          <w:sz w:val="15"/>
          <w:szCs w:val="15"/>
        </w:rPr>
        <w:t xml:space="preserve">Jiachen T. Wang, Ruoxi Jia</w:t>
      </w:r>
      <w:r>
        <w:rPr>
          <w:sz w:val="15"/>
          <w:szCs w:val="15"/>
        </w:rPr>
        <w:t xml:space="preserve">   </w:t>
      </w:r>
      <w:r>
        <w:rPr>
          <w:b/>
          <w:bCs/>
          <w:color w:val="333B47"/>
          <w:sz w:val="15"/>
          <w:szCs w:val="15"/>
        </w:rPr>
        <w:t xml:space="preserve">Published in: </w:t>
      </w:r>
      <w:r>
        <w:rPr>
          <w:sz w:val="15"/>
          <w:szCs w:val="15"/>
        </w:rPr>
        <w:t xml:space="preserve">Proceedings of the 26th International Conference on Artificial Intelligence and Statistics (AISTATS 2023), PMLR 206, pp. 6388–6421 (2023)</w:t>
      </w:r>
      <w:r>
        <w:rPr>
          <w:sz w:val="15"/>
          <w:szCs w:val="15"/>
        </w:rPr>
        <w:t xml:space="preserve">   </w:t>
      </w:r>
      <w:r>
        <w:rPr>
          <w:b/>
          <w:bCs/>
          <w:color w:val="333B47"/>
          <w:sz w:val="15"/>
          <w:szCs w:val="15"/>
        </w:rPr>
        <w:t xml:space="preserve">Link: </w:t>
      </w:r>
      <w:hyperlink w:history="1" r:id="rIdsf788rwbfd_l7lbnshz0u">
        <w:r>
          <w:rPr>
            <w:color w:val="1D4ED8"/>
            <w:sz w:val="15"/>
            <w:szCs w:val="15"/>
            <w:u w:val="single"/>
          </w:rPr>
          <w:t xml:space="preserve">https://proceedings.mlr.press/v206/wang23e.html</w:t>
        </w:r>
      </w:hyperlink>
    </w:p>
    <w:p>
      <w:pPr>
        <w:keepNext/>
        <w:spacing w:after="80" w:line="240" w:lineRule="auto"/>
      </w:pPr>
      <w:r>
        <w:rPr>
          <w:b/>
          <w:bCs/>
          <w:color w:val="333B47"/>
          <w:sz w:val="15"/>
          <w:szCs w:val="15"/>
        </w:rPr>
        <w:t xml:space="preserve">Affiliation: </w:t>
      </w:r>
      <w:r>
        <w:rPr>
          <w:color w:val="3A4350"/>
          <w:sz w:val="15"/>
          <w:szCs w:val="15"/>
        </w:rPr>
        <w:t xml:space="preserve">Jiachen T. Wang, Princeton University; Ruoxi Jia, Virginia Tech (search summary of the PMLR and arXiv 2205.15466 records). Volume and pages from the PMLR proceedings page in search results.</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5B21B6"/>
          <w:sz w:val="17"/>
          <w:szCs w:val="17"/>
        </w:rPr>
        <w:t xml:space="preserve">Summary. </w:t>
      </w:r>
      <w:r>
        <w:rPr>
          <w:sz w:val="17"/>
          <w:szCs w:val="17"/>
        </w:rPr>
        <w:t xml:space="preserve">Leave-one-out and Shapley data values average marginal contributions </w:t>
      </w:r>
      <m:oMath>
        <m:r>
          <m:t>U</m:t>
        </m:r>
        <m:d>
          <m:dPr>
            <m:begChr m:val="("/>
            <m:sepChr m:val=""/>
            <m:endChr m:val=")"/>
            <m:grow/>
          </m:dPr>
          <m:e>
            <m:r>
              <m:t>S</m:t>
            </m:r>
            <m:r>
              <m:rPr>
                <m:sty m:val="p"/>
              </m:rPr>
              <m:t>∪</m:t>
            </m:r>
            <m:d>
              <m:dPr>
                <m:begChr m:val="{"/>
                <m:sepChr m:val=""/>
                <m:endChr m:val="}"/>
                <m:grow/>
              </m:dPr>
              <m:e>
                <m:r>
                  <m:t>i</m:t>
                </m:r>
              </m:e>
            </m:d>
          </m:e>
        </m:d>
        <m:r>
          <m:rPr>
            <m:sty m:val="p"/>
          </m:rPr>
          <m:t>−</m:t>
        </m:r>
        <m:r>
          <m:t>U</m:t>
        </m:r>
        <m:d>
          <m:dPr>
            <m:begChr m:val="("/>
            <m:sepChr m:val=""/>
            <m:endChr m:val=")"/>
            <m:grow/>
          </m:dPr>
          <m:e>
            <m:r>
              <m:t>S</m:t>
            </m:r>
          </m:e>
        </m:d>
      </m:oMath>
      <w:r>
        <w:rPr>
          <w:sz w:val="17"/>
          <w:szCs w:val="17"/>
        </w:rPr>
        <w:t xml:space="preserve">, where </w:t>
      </w:r>
      <m:oMath>
        <m:r>
          <m:t>U</m:t>
        </m:r>
      </m:oMath>
      <w:r>
        <w:rPr>
          <w:sz w:val="17"/>
          <w:szCs w:val="17"/>
        </w:rPr>
        <w:t xml:space="preserve"> is the validation accuracy of a model trained on </w:t>
      </w:r>
      <m:oMath>
        <m:r>
          <m:t>S</m:t>
        </m:r>
      </m:oMath>
      <w:r>
        <w:rPr>
          <w:sz w:val="17"/>
          <w:szCs w:val="17"/>
        </w:rPr>
        <w:t xml:space="preserve">. Stochastic training makes </w:t>
      </w:r>
      <m:oMath>
        <m:r>
          <m:t>U</m:t>
        </m:r>
      </m:oMath>
      <w:r>
        <w:rPr>
          <w:sz w:val="17"/>
          <w:szCs w:val="17"/>
        </w:rPr>
        <w:t xml:space="preserve"> noisy, so rankings of data points can flip between runs. The paper defines a safety margin: how large a perturbation of the utility must be before two data values can swap order. It proves that, among all semivalues (including leave-one-out and Shapley), the Banzhaf value has the largest safety margin. It also proves a sample-complexity lower bound for approximating Banzhaf values and gives a Maximum Sample Reuse estimator that nearly attains it, a gain of order </w:t>
      </w:r>
      <m:oMath>
        <m:r>
          <m:t>n</m:t>
        </m:r>
      </m:oMath>
      <w:r>
        <w:rPr>
          <w:sz w:val="17"/>
          <w:szCs w:val="17"/>
        </w:rPr>
        <w:t xml:space="preserve"> over plain Monte Carlo.</w:t>
      </w:r>
    </w:p>
    <w:p>
      <w:pPr>
        <w:keepNext/>
        <w:spacing w:after="20" w:before="40"/>
      </w:pPr>
      <w:r>
        <w:rPr>
          <w:b/>
          <w:bCs/>
          <w:color w:val="5B21B6"/>
          <w:sz w:val="17"/>
          <w:szCs w:val="17"/>
        </w:rPr>
        <w:t xml:space="preserve">Key equation.</w:t>
      </w:r>
      <w:r>
        <w:rPr>
          <w:i/>
          <w:iCs/>
          <w:color w:val="5B6573"/>
          <w:sz w:val="15"/>
          <w:szCs w:val="15"/>
        </w:rPr>
        <w:t xml:space="preserve">  Banzhaf data value and its Maximum Sample Reuse estimator (representative formulation)</w:t>
      </w:r>
    </w:p>
    <w:p>
      <w:pPr>
        <w:pStyle w:val="Equation"/>
      </w:pPr>
      <m:oMathPara>
        <m:oMathParaPr>
          <m:jc m:val="center"/>
        </m:oMathParaPr>
        <m:oMath>
          <m:sSub>
            <m:e>
              <m:r>
                <m:t>ϕ</m:t>
              </m:r>
            </m:e>
            <m:sub>
              <m:r>
                <m:rPr>
                  <m:nor/>
                </m:rPr>
                <m:t>Banz</m:t>
              </m:r>
            </m:sub>
          </m:sSub>
          <m:d>
            <m:dPr>
              <m:begChr m:val="("/>
              <m:sepChr m:val=""/>
              <m:endChr m:val=")"/>
              <m:grow/>
            </m:dPr>
            <m:e>
              <m:r>
                <m:t>i</m:t>
              </m:r>
            </m:e>
          </m:d>
          <m:r>
            <m:rPr>
              <m:sty m:val="p"/>
            </m:rPr>
            <m:t>=</m:t>
          </m:r>
          <m:f>
            <m:fPr>
              <m:type m:val="bar"/>
            </m:fPr>
            <m:num>
              <m:r>
                <m:t>1</m:t>
              </m:r>
            </m:num>
            <m:den>
              <m:sSup>
                <m:e>
                  <m:r>
                    <m:t>2</m:t>
                  </m:r>
                </m:e>
                <m:sup>
                  <m:r>
                    <m:t>n</m:t>
                  </m:r>
                  <m:r>
                    <m:rPr>
                      <m:sty m:val="p"/>
                    </m:rPr>
                    <m:t>−</m:t>
                  </m:r>
                  <m:r>
                    <m:t>1</m:t>
                  </m:r>
                </m:sup>
              </m:sSup>
            </m:den>
          </m:f>
          <m:nary>
            <m:naryPr>
              <m:chr m:val="∑"/>
              <m:limLoc m:val="undOvr"/>
              <m:subHide m:val="off"/>
              <m:supHide m:val="on"/>
            </m:naryPr>
            <m:sub>
              <m:r>
                <m:t>S</m:t>
              </m:r>
              <m:r>
                <m:rPr>
                  <m:sty m:val="p"/>
                </m:rPr>
                <m:t>⊆</m:t>
              </m:r>
              <m:r>
                <m:t>N</m:t>
              </m:r>
              <m:r>
                <m:rPr>
                  <m:sty m:val="p"/>
                </m:rPr>
                <m:t>∖</m:t>
              </m:r>
              <m:d>
                <m:dPr>
                  <m:begChr m:val="{"/>
                  <m:sepChr m:val=""/>
                  <m:endChr m:val="}"/>
                  <m:grow/>
                </m:dPr>
                <m:e>
                  <m:r>
                    <m:t>i</m:t>
                  </m:r>
                </m:e>
              </m:d>
            </m:sub>
            <m:sup>
              <m:r>
                <m:t>​</m:t>
              </m:r>
            </m:sup>
            <m:e>
              <m:d>
                <m:dPr>
                  <m:begChr m:val="["/>
                  <m:sepChr m:val=""/>
                  <m:endChr m:val="]"/>
                  <m:grow/>
                </m:dPr>
                <m:e>
                  <m:r>
                    <m:t>U</m:t>
                  </m:r>
                  <m:d>
                    <m:dPr>
                      <m:begChr m:val="("/>
                      <m:sepChr m:val=""/>
                      <m:endChr m:val=")"/>
                      <m:grow/>
                    </m:dPr>
                    <m:e>
                      <m:r>
                        <m:t>S</m:t>
                      </m:r>
                      <m:r>
                        <m:rPr>
                          <m:sty m:val="p"/>
                        </m:rPr>
                        <m:t>∪</m:t>
                      </m:r>
                      <m:d>
                        <m:dPr>
                          <m:begChr m:val="{"/>
                          <m:sepChr m:val=""/>
                          <m:endChr m:val="}"/>
                          <m:grow/>
                        </m:dPr>
                        <m:e>
                          <m:r>
                            <m:t>i</m:t>
                          </m:r>
                        </m:e>
                      </m:d>
                    </m:e>
                  </m:d>
                  <m:r>
                    <m:rPr>
                      <m:sty m:val="p"/>
                    </m:rPr>
                    <m:t>−</m:t>
                  </m:r>
                  <m:r>
                    <m:t>U</m:t>
                  </m:r>
                  <m:d>
                    <m:dPr>
                      <m:begChr m:val="("/>
                      <m:sepChr m:val=""/>
                      <m:endChr m:val=")"/>
                      <m:grow/>
                    </m:dPr>
                    <m:e>
                      <m:r>
                        <m:t>S</m:t>
                      </m:r>
                    </m:e>
                  </m:d>
                </m:e>
              </m:d>
            </m:e>
          </m:nary>
          <m:r>
            <m:rPr>
              <m:sty m:val="p"/>
            </m:rPr>
            <m:t>≈</m:t>
          </m:r>
          <m:f>
            <m:fPr>
              <m:type m:val="bar"/>
            </m:fPr>
            <m:num>
              <m:r>
                <m:t>1</m:t>
              </m:r>
            </m:num>
            <m:den>
              <m:d>
                <m:dPr>
                  <m:begChr m:val="|"/>
                  <m:sepChr m:val=""/>
                  <m:endChr m:val="|"/>
                  <m:grow/>
                </m:dPr>
                <m:e>
                  <m:sSub>
                    <m:e>
                      <m:r>
                        <m:rPr>
                          <m:scr m:val="script"/>
                          <m:sty m:val="p"/>
                        </m:rPr>
                        <m:t>S</m:t>
                      </m:r>
                    </m:e>
                    <m:sub>
                      <m:r>
                        <m:rPr>
                          <m:sty m:val="p"/>
                        </m:rPr>
                        <m:t>+</m:t>
                      </m:r>
                      <m:r>
                        <m:t>i</m:t>
                      </m:r>
                    </m:sub>
                  </m:sSub>
                </m:e>
              </m:d>
            </m:den>
          </m:f>
          <m:nary>
            <m:naryPr>
              <m:chr m:val="∑"/>
              <m:limLoc m:val="undOvr"/>
              <m:subHide m:val="off"/>
              <m:supHide m:val="on"/>
            </m:naryPr>
            <m:sub>
              <m:r>
                <m:t>S</m:t>
              </m:r>
              <m:r>
                <m:rPr>
                  <m:sty m:val="p"/>
                </m:rPr>
                <m:t>∈</m:t>
              </m:r>
              <m:sSub>
                <m:e>
                  <m:r>
                    <m:rPr>
                      <m:scr m:val="script"/>
                      <m:sty m:val="p"/>
                    </m:rPr>
                    <m:t>S</m:t>
                  </m:r>
                </m:e>
                <m:sub>
                  <m:r>
                    <m:rPr>
                      <m:sty m:val="p"/>
                    </m:rPr>
                    <m:t>+</m:t>
                  </m:r>
                  <m:r>
                    <m:t>i</m:t>
                  </m:r>
                </m:sub>
              </m:sSub>
            </m:sub>
            <m:sup>
              <m:r>
                <m:t>​</m:t>
              </m:r>
            </m:sup>
            <m:e>
              <m:r>
                <m:t>U</m:t>
              </m:r>
            </m:e>
          </m:nary>
          <m:d>
            <m:dPr>
              <m:begChr m:val="("/>
              <m:sepChr m:val=""/>
              <m:endChr m:val=")"/>
              <m:grow/>
            </m:dPr>
            <m:e>
              <m:r>
                <m:t>S</m:t>
              </m:r>
            </m:e>
          </m:d>
          <m:r>
            <m:rPr>
              <m:sty m:val="p"/>
            </m:rPr>
            <m:t>−</m:t>
          </m:r>
          <m:f>
            <m:fPr>
              <m:type m:val="bar"/>
            </m:fPr>
            <m:num>
              <m:r>
                <m:t>1</m:t>
              </m:r>
            </m:num>
            <m:den>
              <m:d>
                <m:dPr>
                  <m:begChr m:val="|"/>
                  <m:sepChr m:val=""/>
                  <m:endChr m:val="|"/>
                  <m:grow/>
                </m:dPr>
                <m:e>
                  <m:sSub>
                    <m:e>
                      <m:r>
                        <m:rPr>
                          <m:scr m:val="script"/>
                          <m:sty m:val="p"/>
                        </m:rPr>
                        <m:t>S</m:t>
                      </m:r>
                    </m:e>
                    <m:sub>
                      <m:r>
                        <m:rPr>
                          <m:sty m:val="p"/>
                        </m:rPr>
                        <m:t>−</m:t>
                      </m:r>
                      <m:r>
                        <m:t>i</m:t>
                      </m:r>
                    </m:sub>
                  </m:sSub>
                </m:e>
              </m:d>
            </m:den>
          </m:f>
          <m:nary>
            <m:naryPr>
              <m:chr m:val="∑"/>
              <m:limLoc m:val="undOvr"/>
              <m:subHide m:val="off"/>
              <m:supHide m:val="on"/>
            </m:naryPr>
            <m:sub>
              <m:r>
                <m:t>S</m:t>
              </m:r>
              <m:r>
                <m:rPr>
                  <m:sty m:val="p"/>
                </m:rPr>
                <m:t>∈</m:t>
              </m:r>
              <m:sSub>
                <m:e>
                  <m:r>
                    <m:rPr>
                      <m:scr m:val="script"/>
                      <m:sty m:val="p"/>
                    </m:rPr>
                    <m:t>S</m:t>
                  </m:r>
                </m:e>
                <m:sub>
                  <m:r>
                    <m:rPr>
                      <m:sty m:val="p"/>
                    </m:rPr>
                    <m:t>−</m:t>
                  </m:r>
                  <m:r>
                    <m:t>i</m:t>
                  </m:r>
                </m:sub>
              </m:sSub>
            </m:sub>
            <m:sup>
              <m:r>
                <m:t>​</m:t>
              </m:r>
            </m:sup>
            <m:e>
              <m:r>
                <m:t>U</m:t>
              </m:r>
            </m:e>
          </m:nary>
          <m:d>
            <m:dPr>
              <m:begChr m:val="("/>
              <m:sepChr m:val=""/>
              <m:endChr m:val=")"/>
              <m:grow/>
            </m:dPr>
            <m:e>
              <m:r>
                <m:t>S</m:t>
              </m:r>
            </m:e>
          </m:d>
        </m:oMath>
      </m:oMathPara>
    </w:p>
    <w:p>
      <w:pPr>
        <w:spacing w:after="60"/>
        <w:jc w:val="both"/>
      </w:pPr>
      <m:oMath>
        <m:r>
          <m:t>N</m:t>
        </m:r>
      </m:oMath>
      <w:r>
        <w:rPr>
          <w:color w:val="3A4350"/>
          <w:sz w:val="15"/>
          <w:szCs w:val="15"/>
        </w:rPr>
        <w:t xml:space="preserve"> is the set of </w:t>
      </w:r>
      <m:oMath>
        <m:r>
          <m:t>n</m:t>
        </m:r>
      </m:oMath>
      <w:r>
        <w:rPr>
          <w:color w:val="3A4350"/>
          <w:sz w:val="15"/>
          <w:szCs w:val="15"/>
        </w:rPr>
        <w:t xml:space="preserve"> data points and </w:t>
      </w:r>
      <m:oMath>
        <m:r>
          <m:t>U</m:t>
        </m:r>
        <m:d>
          <m:dPr>
            <m:begChr m:val="("/>
            <m:sepChr m:val=""/>
            <m:endChr m:val=")"/>
            <m:grow/>
          </m:dPr>
          <m:e>
            <m:r>
              <m:t>S</m:t>
            </m:r>
          </m:e>
        </m:d>
      </m:oMath>
      <w:r>
        <w:rPr>
          <w:color w:val="3A4350"/>
          <w:sz w:val="15"/>
          <w:szCs w:val="15"/>
        </w:rPr>
        <w:t xml:space="preserve"> the validation score of a model trained on </w:t>
      </w:r>
      <m:oMath>
        <m:r>
          <m:t>S</m:t>
        </m:r>
      </m:oMath>
      <w:r>
        <w:rPr>
          <w:color w:val="3A4350"/>
          <w:sz w:val="15"/>
          <w:szCs w:val="15"/>
        </w:rPr>
        <w:t xml:space="preserve">; in the estimator each point enters a sampled subset independently with probability </w:t>
      </w:r>
      <m:oMath>
        <m:r>
          <m:t>1</m:t>
        </m:r>
        <m:r>
          <m:rPr>
            <m:sty m:val="p"/>
          </m:rPr>
          <m:t>/</m:t>
        </m:r>
        <m:r>
          <m:t>2</m:t>
        </m:r>
      </m:oMath>
      <w:r>
        <w:rPr>
          <w:color w:val="3A4350"/>
          <w:sz w:val="15"/>
          <w:szCs w:val="15"/>
        </w:rPr>
        <w:t xml:space="preserve">, </w:t>
      </w:r>
      <m:oMath>
        <m:sSub>
          <m:e>
            <m:r>
              <m:rPr>
                <m:scr m:val="script"/>
                <m:sty m:val="p"/>
              </m:rPr>
              <m:t>S</m:t>
            </m:r>
          </m:e>
          <m:sub>
            <m:r>
              <m:rPr>
                <m:sty m:val="p"/>
              </m:rPr>
              <m:t>+</m:t>
            </m:r>
            <m:r>
              <m:t>i</m:t>
            </m:r>
          </m:sub>
        </m:sSub>
      </m:oMath>
      <w:r>
        <w:rPr>
          <w:color w:val="3A4350"/>
          <w:sz w:val="15"/>
          <w:szCs w:val="15"/>
        </w:rPr>
        <w:t xml:space="preserve"> and </w:t>
      </w:r>
      <m:oMath>
        <m:sSub>
          <m:e>
            <m:r>
              <m:rPr>
                <m:scr m:val="script"/>
                <m:sty m:val="p"/>
              </m:rPr>
              <m:t>S</m:t>
            </m:r>
          </m:e>
          <m:sub>
            <m:r>
              <m:rPr>
                <m:sty m:val="p"/>
              </m:rPr>
              <m:t>−</m:t>
            </m:r>
            <m:r>
              <m:t>i</m:t>
            </m:r>
          </m:sub>
        </m:sSub>
      </m:oMath>
      <w:r>
        <w:rPr>
          <w:color w:val="3A4350"/>
          <w:sz w:val="15"/>
          <w:szCs w:val="15"/>
        </w:rPr>
        <w:t xml:space="preserve"> are the sampled subsets that contain or omit point </w:t>
      </w:r>
      <m:oMath>
        <m:r>
          <m:t>i</m:t>
        </m:r>
      </m:oMath>
      <w:r>
        <w:rPr>
          <w:color w:val="3A4350"/>
          <w:sz w:val="15"/>
          <w:szCs w:val="15"/>
        </w:rPr>
        <w:t xml:space="preserve">, and every trained subset is reused for all </w:t>
      </w:r>
      <m:oMath>
        <m:r>
          <m:t>n</m:t>
        </m:r>
      </m:oMath>
      <w:r>
        <w:rPr>
          <w:color w:val="3A4350"/>
          <w:sz w:val="15"/>
          <w:szCs w:val="15"/>
        </w:rPr>
        <w:t xml:space="preserve"> values.</w:t>
      </w:r>
    </w:p>
    <w:p>
      <w:pPr>
        <w:spacing w:after="60"/>
        <w:jc w:val="both"/>
      </w:pPr>
      <w:r>
        <w:rPr>
          <w:b/>
          <w:bCs/>
          <w:color w:val="5B21B6"/>
          <w:sz w:val="17"/>
          <w:szCs w:val="17"/>
        </w:rPr>
        <w:t xml:space="preserve">Link to the Fushë-Kuqe records. </w:t>
      </w:r>
      <w:r>
        <w:rPr>
          <w:sz w:val="17"/>
          <w:szCs w:val="17"/>
        </w:rPr>
        <w:t xml:space="preserve">Belongs to theme D (data valuation and data acquisition). With the five Fushë-Kuqe holders as players there are only 32 coalitions, so the Banzhaf value of, say, the hotels' records is their exact average gain in pumping-cap decision quality over all coalitions of the other holders. Robustness matters because each coalition's utility is itself a noisy posterior estimate.</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shows that the choice of semivalue matters when utilities are noisy and singles out Banzhaf on a proved robustness criterion, with a near-optimal estimator. Published at AISTATS 2023; a NeurIPS 2023 follow-up on weighted Banzhaf values refines the claim, finding the plain Banzhaf value not always the most robust in that wider family.</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theory treats noise as a bounded perturbation of a utility evaluated on pooled data. Whether Banzhaf rankings of institutions stay stable when each coalition's utility is an expected information gain computed under secure computation and perturbed by differential-privacy noise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robustness criterion (the safety margin) for data values, the proof that Banzhaf maximises it among semivalues, and a sample-reuse estimator with a near-matching lower bound. Proposed extension: compute Banzhaf values of the five Fushë-Kuqe holders with the coalition utility set to the expected information gain about the coastal CATE, add calibrated differential-privacy noise to each of the 32 utilities, and test whether the merge order survives more often than with Shapley weights.</w:t>
      </w:r>
    </w:p>
    <w:p>
      <w:pPr>
        <w:keepNext/>
        <w:pBdr>
          <w:top w:val="single" w:color="5B21B6" w:sz="6" w:space="4"/>
        </w:pBdr>
        <w:spacing w:after="60" w:before="220"/>
      </w:pPr>
      <w:r>
        <w:rPr>
          <w:b/>
          <w:bCs/>
          <w:color w:val="5B21B6"/>
          <w:sz w:val="23"/>
          <w:szCs w:val="23"/>
        </w:rPr>
        <w:t xml:space="preserve">D2  </w:t>
      </w:r>
      <w:r>
        <w:rPr>
          <w:b/>
          <w:bCs/>
          <w:color w:val="1F3864"/>
          <w:sz w:val="23"/>
          <w:szCs w:val="23"/>
        </w:rPr>
        <w:t xml:space="preserve">Threshold KNN-Shapley: A Linear-Time and Privacy-Friendly Approach to Data Valuation</w:t>
      </w:r>
    </w:p>
    <w:p>
      <w:pPr>
        <w:keepNext/>
        <w:spacing w:after="60" w:line="240" w:lineRule="auto"/>
      </w:pPr>
      <w:r>
        <w:rPr>
          <w:b/>
          <w:bCs/>
          <w:color w:val="333B47"/>
          <w:sz w:val="15"/>
          <w:szCs w:val="15"/>
        </w:rPr>
        <w:t xml:space="preserve">Authors: </w:t>
      </w:r>
      <w:r>
        <w:rPr>
          <w:sz w:val="15"/>
          <w:szCs w:val="15"/>
        </w:rPr>
        <w:t xml:space="preserve">Jiachen T. Wang, Yuqing Zhu, Yu-Xiang Wang, Ruoxi Jia, Prateek Mittal</w:t>
      </w:r>
      <w:r>
        <w:rPr>
          <w:sz w:val="15"/>
          <w:szCs w:val="15"/>
        </w:rPr>
        <w:t xml:space="preserve">   </w:t>
      </w:r>
      <w:r>
        <w:rPr>
          <w:b/>
          <w:bCs/>
          <w:color w:val="333B47"/>
          <w:sz w:val="15"/>
          <w:szCs w:val="15"/>
        </w:rPr>
        <w:t xml:space="preserve">Published in: </w:t>
      </w:r>
      <w:r>
        <w:rPr>
          <w:sz w:val="15"/>
          <w:szCs w:val="15"/>
        </w:rPr>
        <w:t xml:space="preserve">Advances in Neural Information Processing Systems 36 (NeurIPS 2023), pages not verified; arXiv 2308.15709; a shorter version also appeared at the NeurIPS 2023 ATTRIB workshop</w:t>
      </w:r>
      <w:r>
        <w:rPr>
          <w:sz w:val="15"/>
          <w:szCs w:val="15"/>
        </w:rPr>
        <w:t xml:space="preserve">   </w:t>
      </w:r>
      <w:r>
        <w:rPr>
          <w:b/>
          <w:bCs/>
          <w:color w:val="333B47"/>
          <w:sz w:val="15"/>
          <w:szCs w:val="15"/>
        </w:rPr>
        <w:t xml:space="preserve">Link: </w:t>
      </w:r>
      <w:hyperlink w:history="1" r:id="rIdnx87owzkhjl-qa1hserbr">
        <w:r>
          <w:rPr>
            <w:color w:val="1D4ED8"/>
            <w:sz w:val="15"/>
            <w:szCs w:val="15"/>
            <w:u w:val="single"/>
          </w:rPr>
          <w:t xml:space="preserve">https://collaborate.princeton.edu/en/publications/threshold-knn-shapley-a-linear-time-and-privacy-friendly-approach-2/</w:t>
        </w:r>
      </w:hyperlink>
    </w:p>
    <w:p>
      <w:pPr>
        <w:keepNext/>
        <w:spacing w:after="80" w:line="240" w:lineRule="auto"/>
      </w:pPr>
      <w:r>
        <w:rPr>
          <w:b/>
          <w:bCs/>
          <w:color w:val="333B47"/>
          <w:sz w:val="15"/>
          <w:szCs w:val="15"/>
        </w:rPr>
        <w:t xml:space="preserve">Affiliation: </w:t>
      </w:r>
      <w:r>
        <w:rPr>
          <w:color w:val="3A4350"/>
          <w:sz w:val="15"/>
          <w:szCs w:val="15"/>
        </w:rPr>
        <w:t xml:space="preserve">Jiachen T. Wang and Prateek Mittal, Princeton University; Yuqing Zhu and Yu-Xiang Wang, UC Santa Barbara; Ruoxi Jia, Virginia Tech (search summary of the arXiv record). The Princeton research portal lists the paper in Advances in Neural Information Processing Systems 36 (37th NeurIPS, 2023).</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5B21B6"/>
          <w:sz w:val="17"/>
          <w:szCs w:val="17"/>
        </w:rPr>
        <w:t xml:space="preserve">Summary. </w:t>
      </w:r>
      <w:r>
        <w:rPr>
          <w:sz w:val="17"/>
          <w:szCs w:val="17"/>
        </w:rPr>
        <w:t xml:space="preserve">KNN-Shapley values each training point by its Shapley contribution to a </w:t>
      </w:r>
      <m:oMath>
        <m:r>
          <m:t>K</m:t>
        </m:r>
      </m:oMath>
      <w:r>
        <w:rPr>
          <w:sz w:val="17"/>
          <w:szCs w:val="17"/>
        </w:rPr>
        <w:t xml:space="preserve">-nearest-neighbour classifier; it is among the most practical valuation methods but carries privacy risks and is hard to make differentially private (DP). The paper replaces the </w:t>
      </w:r>
      <m:oMath>
        <m:r>
          <m:t>K</m:t>
        </m:r>
      </m:oMath>
      <w:r>
        <w:rPr>
          <w:sz w:val="17"/>
          <w:szCs w:val="17"/>
        </w:rPr>
        <w:t xml:space="preserve"> nearest neighbours by all neighbours within a fixed distance and shows that the resulting Shapley value of a point depends on only three counting queries, computable in linear time. Privatising the counts with the Gaussian mechanism gives DP-TKNN-Shapley, with a proved </w:t>
      </w:r>
      <m:oMath>
        <m:d>
          <m:dPr>
            <m:begChr m:val="("/>
            <m:sepChr m:val=""/>
            <m:endChr m:val=")"/>
            <m:grow/>
          </m:dPr>
          <m:e>
            <m:r>
              <m:t>ε</m:t>
            </m:r>
            <m:r>
              <m:rPr>
                <m:sty m:val="p"/>
              </m:rPr>
              <m:t>,</m:t>
            </m:r>
            <m:r>
              <m:t>δ</m:t>
            </m:r>
          </m:e>
        </m:d>
      </m:oMath>
      <w:r>
        <w:rPr>
          <w:sz w:val="17"/>
          <w:szCs w:val="17"/>
        </w:rPr>
        <w:t xml:space="preserve">-DP guarantee for releasing a value to its owner, resistance to collusion among data holders and easy privacy amplification by subsampling. It reports a better privacy–utility trade-off than naively privatised KNN-Shapley.</w:t>
      </w:r>
    </w:p>
    <w:p>
      <w:pPr>
        <w:keepNext/>
        <w:spacing w:after="20" w:before="40"/>
      </w:pPr>
      <w:r>
        <w:rPr>
          <w:b/>
          <w:bCs/>
          <w:color w:val="5B21B6"/>
          <w:sz w:val="17"/>
          <w:szCs w:val="17"/>
        </w:rPr>
        <w:t xml:space="preserve">Key equation.</w:t>
      </w:r>
      <w:r>
        <w:rPr>
          <w:i/>
          <w:iCs/>
          <w:color w:val="5B6573"/>
          <w:sz w:val="15"/>
          <w:szCs w:val="15"/>
        </w:rPr>
        <w:t xml:space="preserve">  Gaussian-mechanism release of the three counting queries behind TKNN-Shapley (noise scale as given for Theorem 6 in a search summary; the map f is representative)</w:t>
      </w:r>
    </w:p>
    <w:p>
      <w:pPr>
        <w:pStyle w:val="Equation"/>
      </w:pPr>
      <m:oMathPara>
        <m:oMathParaPr>
          <m:jc m:val="center"/>
        </m:oMathParaPr>
        <m:oMath>
          <m:sSub>
            <m:e>
              <m:acc>
                <m:accPr>
                  <m:chr m:val="̃"/>
                </m:accPr>
                <m:e>
                  <m:r>
                    <m:t>ϕ</m:t>
                  </m:r>
                </m:e>
              </m:acc>
            </m:e>
            <m:sub>
              <m:r>
                <m:t>i</m:t>
              </m:r>
            </m:sub>
          </m:sSub>
          <m:r>
            <m:rPr>
              <m:sty m:val="p"/>
            </m:rPr>
            <m:t>=</m:t>
          </m:r>
          <m:r>
            <m:t>f</m:t>
          </m:r>
          <m:d>
            <m:dPr>
              <m:begChr m:val="("/>
              <m:sepChr m:val=""/>
              <m:endChr m:val=")"/>
              <m:grow/>
            </m:dPr>
            <m:e>
              <m:sSub>
                <m:e>
                  <m:r>
                    <m:rPr>
                      <m:sty m:val="b"/>
                    </m:rPr>
                    <m:t>c</m:t>
                  </m:r>
                </m:e>
                <m:sub>
                  <m:r>
                    <m:t>i</m:t>
                  </m:r>
                </m:sub>
              </m:sSub>
              <m:r>
                <m:rPr>
                  <m:sty m:val="p"/>
                </m:rPr>
                <m:t>+</m:t>
              </m:r>
              <m:r>
                <m:t>ξ</m:t>
              </m:r>
            </m:e>
          </m:d>
          <m:r>
            <m:rPr>
              <m:sty m:val="p"/>
            </m:rPr>
            <m:t>,</m:t>
          </m:r>
          <m:r>
            <m:t> </m:t>
          </m:r>
          <m:r>
            <m:t>ξ</m:t>
          </m:r>
          <m:r>
            <m:rPr>
              <m:sty m:val="p"/>
            </m:rPr>
            <m:t>∼</m:t>
          </m:r>
          <m:r>
            <m:rPr>
              <m:scr m:val="script"/>
              <m:sty m:val="p"/>
            </m:rPr>
            <m:t>N</m:t>
          </m:r>
          <m:d>
            <m:dPr>
              <m:begChr m:val="("/>
              <m:sepChr m:val=""/>
              <m:endChr m:val=")"/>
              <m:grow/>
            </m:dPr>
            <m:e>
              <m:r>
                <m:t>0</m:t>
              </m:r>
              <m:r>
                <m:rPr>
                  <m:sty m:val="p"/>
                </m:rPr>
                <m:t>,</m:t>
              </m:r>
              <m:sSup>
                <m:e>
                  <m:r>
                    <m:t>σ</m:t>
                  </m:r>
                </m:e>
                <m:sup>
                  <m:r>
                    <m:t>2</m:t>
                  </m:r>
                </m:sup>
              </m:sSup>
              <m:sSub>
                <m:e>
                  <m:r>
                    <m:t>I</m:t>
                  </m:r>
                </m:e>
                <m:sub>
                  <m:r>
                    <m:t>3</m:t>
                  </m:r>
                </m:sub>
              </m:sSub>
            </m:e>
          </m:d>
          <m:r>
            <m:rPr>
              <m:sty m:val="p"/>
            </m:rPr>
            <m:t>,</m:t>
          </m:r>
          <m:r>
            <m:t> </m:t>
          </m:r>
          <m:r>
            <m:t>σ</m:t>
          </m:r>
          <m:r>
            <m:rPr>
              <m:sty m:val="p"/>
            </m:rPr>
            <m:t>=</m:t>
          </m:r>
          <m:f>
            <m:fPr>
              <m:type m:val="bar"/>
            </m:fPr>
            <m:num>
              <m:rad>
                <m:radPr>
                  <m:degHide m:val="on"/>
                </m:radPr>
                <m:deg/>
                <m:e>
                  <m:r>
                    <m:t>3</m:t>
                  </m:r>
                </m:e>
              </m:rad>
              <m:r>
                <m:t> </m:t>
              </m:r>
              <m:rad>
                <m:radPr>
                  <m:degHide m:val="on"/>
                </m:radPr>
                <m:deg/>
                <m:e>
                  <m:r>
                    <m:rPr>
                      <m:sty m:val="p"/>
                    </m:rPr>
                    <m:t>log</m:t>
                  </m:r>
                  <m:d>
                    <m:dPr>
                      <m:begChr m:val="("/>
                      <m:sepChr m:val=""/>
                      <m:endChr m:val=")"/>
                      <m:grow/>
                    </m:dPr>
                    <m:e>
                      <m:r>
                        <m:t>1.25</m:t>
                      </m:r>
                      <m:r>
                        <m:rPr>
                          <m:sty m:val="p"/>
                        </m:rPr>
                        <m:t>/</m:t>
                      </m:r>
                      <m:r>
                        <m:t>δ</m:t>
                      </m:r>
                    </m:e>
                  </m:d>
                </m:e>
              </m:rad>
            </m:num>
            <m:den>
              <m:r>
                <m:t>ε</m:t>
              </m:r>
            </m:den>
          </m:f>
        </m:oMath>
      </m:oMathPara>
    </w:p>
    <w:p>
      <w:pPr>
        <w:spacing w:after="60"/>
        <w:jc w:val="both"/>
      </w:pPr>
      <m:oMath>
        <m:sSub>
          <m:e>
            <m:r>
              <m:rPr>
                <m:sty m:val="b"/>
              </m:rPr>
              <m:t>c</m:t>
            </m:r>
          </m:e>
          <m:sub>
            <m:r>
              <m:t>i</m:t>
            </m:r>
          </m:sub>
        </m:sSub>
      </m:oMath>
      <w:r>
        <w:rPr>
          <w:color w:val="3A4350"/>
          <w:sz w:val="15"/>
          <w:szCs w:val="15"/>
        </w:rPr>
        <w:t xml:space="preserve"> holds the three counting queries on which the TKNN-Shapley value of point </w:t>
      </w:r>
      <m:oMath>
        <m:r>
          <m:t>i</m:t>
        </m:r>
      </m:oMath>
      <w:r>
        <w:rPr>
          <w:color w:val="3A4350"/>
          <w:sz w:val="15"/>
          <w:szCs w:val="15"/>
        </w:rPr>
        <w:t xml:space="preserve"> depends (counts of points within the distance threshold of a validation point, split by label), </w:t>
      </w:r>
      <m:oMath>
        <m:r>
          <m:t>f</m:t>
        </m:r>
      </m:oMath>
      <w:r>
        <w:rPr>
          <w:color w:val="3A4350"/>
          <w:sz w:val="15"/>
          <w:szCs w:val="15"/>
        </w:rPr>
        <w:t xml:space="preserve"> is the closed-form map from counts to value and </w:t>
      </w:r>
      <m:oMath>
        <m:r>
          <m:t>σ</m:t>
        </m:r>
      </m:oMath>
      <w:r>
        <w:rPr>
          <w:color w:val="3A4350"/>
          <w:sz w:val="15"/>
          <w:szCs w:val="15"/>
        </w:rPr>
        <w:t xml:space="preserve"> the noise scale that makes the release </w:t>
      </w:r>
      <m:oMath>
        <m:d>
          <m:dPr>
            <m:begChr m:val="("/>
            <m:sepChr m:val=""/>
            <m:endChr m:val=")"/>
            <m:grow/>
          </m:dPr>
          <m:e>
            <m:r>
              <m:t>ε</m:t>
            </m:r>
            <m:r>
              <m:rPr>
                <m:sty m:val="p"/>
              </m:rPr>
              <m:t>,</m:t>
            </m:r>
            <m:r>
              <m:t>δ</m:t>
            </m:r>
          </m:e>
        </m:d>
      </m:oMath>
      <w:r>
        <w:rPr>
          <w:color w:val="3A4350"/>
          <w:sz w:val="15"/>
          <w:szCs w:val="15"/>
        </w:rPr>
        <w:t xml:space="preserve">-DP.</w:t>
      </w:r>
    </w:p>
    <w:p>
      <w:pPr>
        <w:spacing w:after="60"/>
        <w:jc w:val="both"/>
      </w:pPr>
      <w:r>
        <w:rPr>
          <w:b/>
          <w:bCs/>
          <w:color w:val="5B21B6"/>
          <w:sz w:val="17"/>
          <w:szCs w:val="17"/>
        </w:rPr>
        <w:t xml:space="preserve">Link to the Fushë-Kuqe records. </w:t>
      </w:r>
      <w:r>
        <w:rPr>
          <w:sz w:val="17"/>
          <w:szCs w:val="17"/>
        </w:rPr>
        <w:t xml:space="preserve">Belongs to theme D (data valuation and data acquisition). A distance threshold fits wells naturally: the neighbours of a coastal decision well are the records within a band of distance to the sea and transmissivity. Each holder, including the irrigators, could release noisy counts of such neighbours by pumping group, so their value is assessed before any location is revealed.</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turns data valuation from a privacy liability into a statistic that can be released under DP with a proved guarantee, linear cost and resistance to colluding holders, which is exactly what valuing data across institutions needs. Listed by the Princeton research portal in the NeurIPS 2023 proceedings.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guarantees concern a nearest-neighbour classifier scored on the valuer's validation set. The aquifer target is a CATE with poor overlap near the coast; whether a counting-query value can capture the overlap gain of a merge, as the anchor's criterion does,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Shapley value for a threshold nearest-neighbour rule that reduces to three counts, which makes DP release, subsampling amplification and collusion resistance straightforward. Proposed extension: for each holder, count high- and low-pumping wells within a radius of each coastal decision well in (distance to sea, log-transmissivity) space, release the counts with the Gaussian mechanism, and test whether this noisy overlap score ranks the five merges as the full secure expected-information-gain criterion does.</w:t>
      </w:r>
    </w:p>
    <w:p>
      <w:pPr>
        <w:keepNext/>
        <w:pBdr>
          <w:top w:val="single" w:color="5B21B6" w:sz="6" w:space="4"/>
        </w:pBdr>
        <w:spacing w:after="60" w:before="220"/>
      </w:pPr>
      <w:r>
        <w:rPr>
          <w:b/>
          <w:bCs/>
          <w:color w:val="5B21B6"/>
          <w:sz w:val="23"/>
          <w:szCs w:val="23"/>
        </w:rPr>
        <w:t xml:space="preserve">D3  </w:t>
      </w:r>
      <w:r>
        <w:rPr>
          <w:b/>
          <w:bCs/>
          <w:color w:val="1F3864"/>
          <w:sz w:val="23"/>
          <w:szCs w:val="23"/>
        </w:rPr>
        <w:t xml:space="preserve">Data Acquisition via Experimental Design for Data Markets</w:t>
      </w:r>
    </w:p>
    <w:p>
      <w:pPr>
        <w:keepNext/>
        <w:spacing w:after="60" w:line="240" w:lineRule="auto"/>
      </w:pPr>
      <w:r>
        <w:rPr>
          <w:b/>
          <w:bCs/>
          <w:color w:val="333B47"/>
          <w:sz w:val="15"/>
          <w:szCs w:val="15"/>
        </w:rPr>
        <w:t xml:space="preserve">Authors: </w:t>
      </w:r>
      <w:r>
        <w:rPr>
          <w:sz w:val="15"/>
          <w:szCs w:val="15"/>
        </w:rPr>
        <w:t xml:space="preserve">Charles Lu, Baihe Huang, Sai Praneeth Karimireddy, Praneeth Vepakomma, Michael I. Jordan, Ramesh Raskar</w:t>
      </w:r>
      <w:r>
        <w:rPr>
          <w:sz w:val="15"/>
          <w:szCs w:val="15"/>
        </w:rPr>
        <w:t xml:space="preserve">   </w:t>
      </w:r>
      <w:r>
        <w:rPr>
          <w:b/>
          <w:bCs/>
          <w:color w:val="333B47"/>
          <w:sz w:val="15"/>
          <w:szCs w:val="15"/>
        </w:rPr>
        <w:t xml:space="preserve">Published in: </w:t>
      </w:r>
      <w:r>
        <w:rPr>
          <w:sz w:val="15"/>
          <w:szCs w:val="15"/>
        </w:rPr>
        <w:t xml:space="preserve">Advances in Neural Information Processing Systems 37 (NeurIPS 2024), pages not verified; arXiv 2403.13893 (as "DAVED")</w:t>
      </w:r>
      <w:r>
        <w:rPr>
          <w:sz w:val="15"/>
          <w:szCs w:val="15"/>
        </w:rPr>
        <w:t xml:space="preserve">   </w:t>
      </w:r>
      <w:r>
        <w:rPr>
          <w:b/>
          <w:bCs/>
          <w:color w:val="333B47"/>
          <w:sz w:val="15"/>
          <w:szCs w:val="15"/>
        </w:rPr>
        <w:t xml:space="preserve">Link: </w:t>
      </w:r>
      <w:hyperlink w:history="1" r:id="rId2o2ue7gr562w8bohfrwp_">
        <w:r>
          <w:rPr>
            <w:color w:val="1D4ED8"/>
            <w:sz w:val="15"/>
            <w:szCs w:val="15"/>
            <w:u w:val="single"/>
          </w:rPr>
          <w:t xml:space="preserve">https://proceedings.neurips.cc/paper_files/paper/2024/hash/d5e8326bbec25e1c608787d24488521b-Abstract.html</w:t>
        </w:r>
      </w:hyperlink>
    </w:p>
    <w:p>
      <w:pPr>
        <w:keepNext/>
        <w:spacing w:after="80" w:line="240" w:lineRule="auto"/>
      </w:pPr>
      <w:r>
        <w:rPr>
          <w:b/>
          <w:bCs/>
          <w:color w:val="333B47"/>
          <w:sz w:val="15"/>
          <w:szCs w:val="15"/>
        </w:rPr>
        <w:t xml:space="preserve">Affiliation: </w:t>
      </w:r>
      <w:r>
        <w:rPr>
          <w:color w:val="3A4350"/>
          <w:sz w:val="15"/>
          <w:szCs w:val="15"/>
        </w:rPr>
        <w:t xml:space="preserve">Charles Lu, graduate student, MIT Media Lab (MIT Media Lab project page for this paper, in search results); the project belongs to Ramesh Raskar's Media Lab group. Affiliations of the other authors were not checked. DOI as reported in a search summary of the NeurIPS record.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(3/5)</w:t>
      </w:r>
    </w:p>
    <w:p>
      <w:pPr>
        <w:spacing w:after="60"/>
        <w:jc w:val="both"/>
      </w:pPr>
      <w:r>
        <w:rPr>
          <w:b/>
          <w:bCs/>
          <w:color w:val="5B21B6"/>
          <w:sz w:val="17"/>
          <w:szCs w:val="17"/>
        </w:rPr>
        <w:t xml:space="preserve">Summary. </w:t>
      </w:r>
      <w:r>
        <w:rPr>
          <w:sz w:val="17"/>
          <w:szCs w:val="17"/>
        </w:rPr>
        <w:t xml:space="preserve">A buyer holding a few unlabelled test points wants to buy, from sellers, the training points that will most reduce prediction error on them, without centralising the sellers' data and without the labelled validation set that most Shapley-type valuation needs. The paper linearises the predictor (kernelised or embedding-based linear regression) and casts selection as V-optimal experimental design: choose a budgeted design that minimises predictive variance at the buyer's test points. The relaxed design is solved by a Frank–Wolfe-type scheme that needs only local inner products, so it runs in a federated way, and it reports lower test error than data-valuation baselines at much lower cost.</w:t>
      </w:r>
    </w:p>
    <w:p>
      <w:pPr>
        <w:keepNext/>
        <w:spacing w:after="20" w:before="40"/>
      </w:pPr>
      <w:r>
        <w:rPr>
          <w:b/>
          <w:bCs/>
          <w:color w:val="5B21B6"/>
          <w:sz w:val="17"/>
          <w:szCs w:val="17"/>
        </w:rPr>
        <w:t xml:space="preserve">Key equation.</w:t>
      </w:r>
      <w:r>
        <w:rPr>
          <w:i/>
          <w:iCs/>
          <w:color w:val="5B6573"/>
          <w:sz w:val="15"/>
          <w:szCs w:val="15"/>
        </w:rPr>
        <w:t xml:space="preserve">  V-optimal design centred on the buyer's test points (representative formulation)</w:t>
      </w:r>
    </w:p>
    <w:p>
      <w:pPr>
        <w:pStyle w:val="Equation"/>
      </w:pPr>
      <m:oMathPara>
        <m:oMathParaPr>
          <m:jc m:val="center"/>
        </m:oMathParaPr>
        <m:oMath>
          <m:limLow>
            <m:e>
              <m:r>
                <m:rPr>
                  <m:sty m:val="p"/>
                </m:rPr>
                <m:t>min</m:t>
              </m:r>
            </m:e>
            <m:lim>
              <m:r>
                <m:t>w</m:t>
              </m:r>
              <m:r>
                <m:rPr>
                  <m:sty m:val="p"/>
                </m:rPr>
                <m:t>∈</m:t>
              </m:r>
              <m:sSub>
                <m:e>
                  <m:r>
                    <m:t>Δ</m:t>
                  </m:r>
                </m:e>
                <m:sub>
                  <m:r>
                    <m:t>n</m:t>
                  </m:r>
                </m:sub>
              </m:sSub>
            </m:lim>
          </m:limLow>
          <m:r>
            <m:t> </m:t>
          </m:r>
          <m:r>
            <m:rPr>
              <m:nor/>
            </m:rPr>
            <m:t>tr</m:t>
          </m:r>
          <m:d>
            <m:dPr>
              <m:begChr m:val="("/>
              <m:sepChr m:val=""/>
              <m:endChr m:val=")"/>
              <m:grow/>
            </m:dPr>
            <m:e>
              <m:sSub>
                <m:e>
                  <m:r>
                    <m:t>X</m:t>
                  </m:r>
                </m:e>
                <m:sub>
                  <m:r>
                    <m:rPr>
                      <m:nor/>
                    </m:rPr>
                    <m:t>test</m:t>
                  </m:r>
                </m:sub>
              </m:sSub>
              <m:sSup>
                <m:e>
                  <m:d>
                    <m:dPr>
                      <m:begChr m:val="("/>
                      <m:sepChr m:val=""/>
                      <m:endChr m:val=")"/>
                      <m:grow/>
                    </m:dPr>
                    <m:e>
                      <m:nary>
                        <m:naryPr>
                          <m:chr m:val="∑"/>
                          <m:limLoc m:val="undOvr"/>
                          <m:subHide m:val="off"/>
                          <m:supHide m:val="off"/>
                        </m:naryPr>
                        <m:sub>
                          <m:r>
                            <m:t>j</m:t>
                          </m:r>
                          <m:r>
                            <m:rPr>
                              <m:sty m:val="p"/>
                            </m:rPr>
                            <m:t>=</m:t>
                          </m:r>
                          <m:r>
                            <m:t>1</m:t>
                          </m:r>
                        </m:sub>
                        <m:sup>
                          <m:r>
                            <m:t>n</m:t>
                          </m:r>
                        </m:sup>
                        <m:e>
                          <m:sSub>
                            <m:e>
                              <m:r>
                                <m:t>w</m:t>
                              </m:r>
                            </m:e>
                            <m:sub>
                              <m:r>
                                <m:t>j</m:t>
                              </m:r>
                            </m:sub>
                          </m:sSub>
                        </m:e>
                      </m:nary>
                      <m:r>
                        <m:t> </m:t>
                      </m:r>
                      <m:sSub>
                        <m:e>
                          <m:r>
                            <m:t>x</m:t>
                          </m:r>
                        </m:e>
                        <m:sub>
                          <m:r>
                            <m:t>j</m:t>
                          </m:r>
                        </m:sub>
                      </m:sSub>
                      <m:sSubSup>
                        <m:e>
                          <m:r>
                            <m:t>x</m:t>
                          </m:r>
                        </m:e>
                        <m:sub>
                          <m:r>
                            <m:t>j</m:t>
                          </m:r>
                        </m:sub>
                        <m:sup>
                          <m:r>
                            <m:rPr>
                              <m:sty m:val="p"/>
                            </m:rPr>
                            <m:t>⊤</m:t>
                          </m:r>
                        </m:sup>
                      </m:sSubSup>
                      <m:r>
                        <m:rPr>
                          <m:sty m:val="p"/>
                        </m:rPr>
                        <m:t>+</m:t>
                      </m:r>
                      <m:r>
                        <m:t>λ</m:t>
                      </m:r>
                      <m:r>
                        <m:t>I</m:t>
                      </m:r>
                    </m:e>
                  </m:d>
                </m:e>
                <m:sup>
                  <m:r>
                    <m:rPr>
                      <m:sty m:val="p"/>
                    </m:rPr>
                    <m:t>−</m:t>
                  </m:r>
                  <m:r>
                    <m:t>1</m:t>
                  </m:r>
                </m:sup>
              </m:sSup>
              <m:sSubSup>
                <m:e>
                  <m:r>
                    <m:t>X</m:t>
                  </m:r>
                </m:e>
                <m:sub>
                  <m:r>
                    <m:rPr>
                      <m:nor/>
                    </m:rPr>
                    <m:t>test</m:t>
                  </m:r>
                </m:sub>
                <m:sup>
                  <m:r>
                    <m:rPr>
                      <m:sty m:val="p"/>
                    </m:rPr>
                    <m:t>⊤</m:t>
                  </m:r>
                </m:sup>
              </m:sSubSup>
            </m:e>
          </m:d>
        </m:oMath>
      </m:oMathPara>
    </w:p>
    <w:p>
      <w:pPr>
        <w:spacing w:after="60"/>
        <w:jc w:val="both"/>
      </w:pPr>
      <m:oMath>
        <m:sSub>
          <m:e>
            <m:r>
              <m:t>x</m:t>
            </m:r>
          </m:e>
          <m:sub>
            <m:r>
              <m:t>j</m:t>
            </m:r>
          </m:sub>
        </m:sSub>
      </m:oMath>
      <w:r>
        <w:rPr>
          <w:color w:val="3A4350"/>
          <w:sz w:val="15"/>
          <w:szCs w:val="15"/>
        </w:rPr>
        <w:t xml:space="preserve"> are the features of the sellers' candidate points, </w:t>
      </w:r>
      <m:oMath>
        <m:r>
          <m:t>w</m:t>
        </m:r>
      </m:oMath>
      <w:r>
        <w:rPr>
          <w:color w:val="3A4350"/>
          <w:sz w:val="15"/>
          <w:szCs w:val="15"/>
        </w:rPr>
        <w:t xml:space="preserve"> a weight vector on the simplex </w:t>
      </w:r>
      <m:oMath>
        <m:sSub>
          <m:e>
            <m:r>
              <m:t>Δ</m:t>
            </m:r>
          </m:e>
          <m:sub>
            <m:r>
              <m:t>n</m:t>
            </m:r>
          </m:sub>
        </m:sSub>
      </m:oMath>
      <w:r>
        <w:rPr>
          <w:color w:val="3A4350"/>
          <w:sz w:val="15"/>
          <w:szCs w:val="15"/>
        </w:rPr>
        <w:t xml:space="preserve"> that is rounded to a purchase within the budget, </w:t>
      </w:r>
      <m:oMath>
        <m:sSub>
          <m:e>
            <m:r>
              <m:t>X</m:t>
            </m:r>
          </m:e>
          <m:sub>
            <m:r>
              <m:rPr>
                <m:nor/>
              </m:rPr>
              <m:t>test</m:t>
            </m:r>
          </m:sub>
        </m:sSub>
      </m:oMath>
      <w:r>
        <w:rPr>
          <w:color w:val="3A4350"/>
          <w:sz w:val="15"/>
          <w:szCs w:val="15"/>
        </w:rPr>
        <w:t xml:space="preserve"> stacks the buyer's unlabelled test features and </w:t>
      </w:r>
      <m:oMath>
        <m:r>
          <m:t>λ</m:t>
        </m:r>
      </m:oMath>
      <w:r>
        <w:rPr>
          <w:color w:val="3A4350"/>
          <w:sz w:val="15"/>
          <w:szCs w:val="15"/>
        </w:rPr>
        <w:t xml:space="preserve"> is a ridge term; the trace is the summed predictive variance at the test points.</w:t>
      </w:r>
    </w:p>
    <w:p>
      <w:pPr>
        <w:spacing w:after="60"/>
        <w:jc w:val="both"/>
      </w:pPr>
      <w:r>
        <w:rPr>
          <w:b/>
          <w:bCs/>
          <w:color w:val="5B21B6"/>
          <w:sz w:val="17"/>
          <w:szCs w:val="17"/>
        </w:rPr>
        <w:t xml:space="preserve">Link to the Fushë-Kuqe records. </w:t>
      </w:r>
      <w:r>
        <w:rPr>
          <w:sz w:val="17"/>
          <w:szCs w:val="17"/>
        </w:rPr>
        <w:t xml:space="preserve">Belongs to theme D (data valuation and data acquisition). The pumping-cap decision concerns specific coastal wells, which play the buyer's test points: each holder scores its own records by how much they cut predictive variance there, computing only inner products locally, and the holder with the largest reduction is merged first.</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reframes data purchase as optimal design aimed at the buyer's own targets, removing the need for labelled validation data and central access that most valuation methods assume. Main-track NeurIPS 2024; it ties the data-market literature directly to the experimental-design tools behind the anchor's information-gain criterion.</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criterion is prediction variance at test inputs under a linearised model; it neither targets a causal contrast nor rewards better overlap of treatment groups. A federated V-optimal design for a CATE with operator-chosen pumping is open, and the aquifer is a natural test case.</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data acquisition posed as a federated V-optimal design centred on the buyer's unlabelled test points, with no validation labels. Proposed extension: replace prediction variance by the posterior variance of the high-minus-low pumping contrast in chloride change at the coastal decision wells, evaluate it per holder from securely aggregated sums </w:t>
      </w:r>
      <m:oMath>
        <m:r>
          <m:rPr>
            <m:sty m:val="p"/>
          </m:rPr>
          <m:t>∑</m:t>
        </m:r>
        <m:sSub>
          <m:e>
            <m:r>
              <m:t>x</m:t>
            </m:r>
          </m:e>
          <m:sub>
            <m:r>
              <m:t>j</m:t>
            </m:r>
          </m:sub>
        </m:sSub>
        <m:sSubSup>
          <m:e>
            <m:r>
              <m:t>x</m:t>
            </m:r>
          </m:e>
          <m:sub>
            <m:r>
              <m:t>j</m:t>
            </m:r>
          </m:sub>
          <m:sup>
            <m:r>
              <m:rPr>
                <m:sty m:val="p"/>
              </m:rPr>
              <m:t>⊤</m:t>
            </m:r>
          </m:sup>
        </m:sSubSup>
      </m:oMath>
      <w:r>
        <w:rPr>
          <w:sz w:val="17"/>
          <w:szCs w:val="17"/>
        </w:rPr>
        <w:t xml:space="preserve"> for each pumping group, and test whether its ranking of the five holders matches the anchor's expected information gain.</w:t>
      </w:r>
    </w:p>
    <w:p>
      <w:pPr>
        <w:keepNext/>
        <w:pBdr>
          <w:top w:val="single" w:color="5B21B6" w:sz="6" w:space="4"/>
        </w:pBdr>
        <w:spacing w:after="60" w:before="220"/>
      </w:pPr>
      <w:r>
        <w:rPr>
          <w:b/>
          <w:bCs/>
          <w:color w:val="5B21B6"/>
          <w:sz w:val="23"/>
          <w:szCs w:val="23"/>
        </w:rPr>
        <w:t xml:space="preserve">D4  </w:t>
      </w:r>
      <w:r>
        <w:rPr>
          <w:b/>
          <w:bCs/>
          <w:color w:val="1F3864"/>
          <w:sz w:val="23"/>
          <w:szCs w:val="23"/>
        </w:rPr>
        <w:t xml:space="preserve">Incentive Compatible Active Learning</w:t>
      </w:r>
    </w:p>
    <w:p>
      <w:pPr>
        <w:keepNext/>
        <w:spacing w:after="60" w:line="240" w:lineRule="auto"/>
      </w:pPr>
      <w:r>
        <w:rPr>
          <w:b/>
          <w:bCs/>
          <w:color w:val="333B47"/>
          <w:sz w:val="15"/>
          <w:szCs w:val="15"/>
        </w:rPr>
        <w:t xml:space="preserve">Authors: </w:t>
      </w:r>
      <w:r>
        <w:rPr>
          <w:sz w:val="15"/>
          <w:szCs w:val="15"/>
        </w:rPr>
        <w:t xml:space="preserve">Federico Echenique, Siddharth Prasad</w:t>
      </w:r>
      <w:r>
        <w:rPr>
          <w:sz w:val="15"/>
          <w:szCs w:val="15"/>
        </w:rPr>
        <w:t xml:space="preserve">   </w:t>
      </w:r>
      <w:r>
        <w:rPr>
          <w:b/>
          <w:bCs/>
          <w:color w:val="333B47"/>
          <w:sz w:val="15"/>
          <w:szCs w:val="15"/>
        </w:rPr>
        <w:t xml:space="preserve">Published in: </w:t>
      </w:r>
      <w:r>
        <w:rPr>
          <w:sz w:val="15"/>
          <w:szCs w:val="15"/>
        </w:rPr>
        <w:t xml:space="preserve">11th Innovations in Theoretical Computer Science Conference (ITCS 2020), Leibniz International Proceedings in Informatics (LIPIcs) 151, ed. T. Vidick, 67:1–67:20 (2020)</w:t>
      </w:r>
      <w:r>
        <w:rPr>
          <w:sz w:val="15"/>
          <w:szCs w:val="15"/>
        </w:rPr>
        <w:t xml:space="preserve">   </w:t>
      </w:r>
      <w:r>
        <w:rPr>
          <w:b/>
          <w:bCs/>
          <w:color w:val="333B47"/>
          <w:sz w:val="15"/>
          <w:szCs w:val="15"/>
        </w:rPr>
        <w:t xml:space="preserve">Link: </w:t>
      </w:r>
      <w:hyperlink w:history="1" r:id="rIddzhas0r18w06mzntirbrm">
        <w:r>
          <w:rPr>
            <w:color w:val="1D4ED8"/>
            <w:sz w:val="15"/>
            <w:szCs w:val="15"/>
            <w:u w:val="single"/>
          </w:rPr>
          <w:t xml:space="preserve">https://doi.org/10.4230/LIPIcs.ITCS.2020.67</w:t>
        </w:r>
      </w:hyperlink>
    </w:p>
    <w:p>
      <w:pPr>
        <w:keepNext/>
        <w:spacing w:after="80" w:line="240" w:lineRule="auto"/>
      </w:pPr>
      <w:r>
        <w:rPr>
          <w:b/>
          <w:bCs/>
          <w:color w:val="333B47"/>
          <w:sz w:val="15"/>
          <w:szCs w:val="15"/>
        </w:rPr>
        <w:t xml:space="preserve">Affiliation: </w:t>
      </w:r>
      <w:r>
        <w:rPr>
          <w:color w:val="3A4350"/>
          <w:sz w:val="15"/>
          <w:szCs w:val="15"/>
        </w:rPr>
        <w:t xml:space="preserve">Federico Echenique, California Institute of Technology; Siddharth Prasad, Carnegie Mellon University (search summary of the Dagstuhl DROPS record of the paper). The paper also has a CaltechAUTHORS record (resolver.caltech.edu/CaltechAUTHORS:20210304-085754936). Preprint arXiv 1911.05171.</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5B21B6"/>
          <w:sz w:val="17"/>
          <w:szCs w:val="17"/>
        </w:rPr>
        <w:t xml:space="preserve">Summary. </w:t>
      </w:r>
      <w:r>
        <w:rPr>
          <w:sz w:val="17"/>
          <w:szCs w:val="17"/>
        </w:rPr>
        <w:t xml:space="preserve">Active learning chooses each question from earlier answers, so a strategic respondent may misreport to steer later questions profitably. Can adaptive questioning be incentive compatible without losing its fast rate? For risk attitudes measured with multiple price lists, a sequential search that raises the sure amount until the subject prefers it to a lottery is not incentive compatible, but under mild assumptions the reported certainty equivalent is a one-to-one function of the true one, so the truth is recoverable; a modified payment scheme is proposed. For beliefs about uncertain events, a scoring-rule-based learner is incentive compatible and needs only subpolynomially more queries than the obvious fast methods.</w:t>
      </w:r>
    </w:p>
    <w:p>
      <w:pPr>
        <w:keepNext/>
        <w:spacing w:after="20" w:before="40"/>
      </w:pPr>
      <w:r>
        <w:rPr>
          <w:b/>
          <w:bCs/>
          <w:color w:val="5B21B6"/>
          <w:sz w:val="17"/>
          <w:szCs w:val="17"/>
        </w:rPr>
        <w:t xml:space="preserve">Key equation.</w:t>
      </w:r>
      <w:r>
        <w:rPr>
          <w:i/>
          <w:iCs/>
          <w:color w:val="5B6573"/>
          <w:sz w:val="15"/>
          <w:szCs w:val="15"/>
        </w:rPr>
        <w:t xml:space="preserve">  Incentive compatibility of an adaptive questioning protocol: truthful answers maximise the expected total reward over the whole, answer-dependent query sequence (representative formulation)</w:t>
      </w:r>
    </w:p>
    <w:p>
      <w:pPr>
        <w:pStyle w:val="Equation"/>
      </w:pPr>
      <m:oMathPara>
        <m:oMathParaPr>
          <m:jc m:val="center"/>
        </m:oMathParaPr>
        <m:oMath>
          <m:sSub>
            <m:e>
              <m:r>
                <m:rPr>
                  <m:scr m:val="double-struck"/>
                  <m:sty m:val="p"/>
                </m:rPr>
                <m:t>E</m:t>
              </m:r>
            </m:e>
            <m:sub>
              <m:r>
                <m:t>ω</m:t>
              </m:r>
              <m:r>
                <m:rPr>
                  <m:sty m:val="p"/>
                </m:rPr>
                <m:t>∼</m:t>
              </m:r>
              <m:r>
                <m:t>p</m:t>
              </m:r>
            </m:sub>
          </m:sSub>
          <m:d>
            <m:dPr>
              <m:begChr m:val="["/>
              <m:sepChr m:val=""/>
              <m:endChr m:val="]"/>
              <m:grow/>
            </m:dPr>
            <m:e>
              <m:nary>
                <m:naryPr>
                  <m:chr m:val="∑"/>
                  <m:limLoc m:val="undOvr"/>
                  <m:subHide m:val="off"/>
                  <m:supHide m:val="off"/>
                </m:naryPr>
                <m:sub>
                  <m:r>
                    <m:t>t</m:t>
                  </m:r>
                  <m:r>
                    <m:rPr>
                      <m:sty m:val="p"/>
                    </m:rPr>
                    <m:t>=</m:t>
                  </m:r>
                  <m:r>
                    <m:t>1</m:t>
                  </m:r>
                </m:sub>
                <m:sup>
                  <m:r>
                    <m:t>n</m:t>
                  </m:r>
                </m:sup>
                <m:e>
                  <m:r>
                    <m:t>S</m:t>
                  </m:r>
                </m:e>
              </m:nary>
              <m:d>
                <m:dPr>
                  <m:begChr m:val="("/>
                  <m:sepChr m:val=""/>
                  <m:endChr m:val=")"/>
                  <m:grow/>
                </m:dPr>
                <m:e>
                  <m:sSub>
                    <m:e>
                      <m:r>
                        <m:t>q</m:t>
                      </m:r>
                    </m:e>
                    <m:sub>
                      <m:r>
                        <m:t>t</m:t>
                      </m:r>
                    </m:sub>
                  </m:sSub>
                  <m:d>
                    <m:dPr>
                      <m:begChr m:val="("/>
                      <m:sepChr m:val=""/>
                      <m:endChr m:val=")"/>
                      <m:grow/>
                    </m:dPr>
                    <m:e>
                      <m:sSup>
                        <m:e>
                          <m:r>
                            <m:t>σ</m:t>
                          </m:r>
                        </m:e>
                        <m:sup>
                          <m:r>
                            <m:rPr>
                              <m:sty m:val="p"/>
                            </m:rPr>
                            <m:t>⋆</m:t>
                          </m:r>
                        </m:sup>
                      </m:sSup>
                    </m:e>
                  </m:d>
                  <m:r>
                    <m:rPr>
                      <m:sty m:val="p"/>
                    </m:rPr>
                    <m:t>,</m:t>
                  </m:r>
                  <m:sSub>
                    <m:e>
                      <m:r>
                        <m:t>r</m:t>
                      </m:r>
                    </m:e>
                    <m:sub>
                      <m:r>
                        <m:t>t</m:t>
                      </m:r>
                    </m:sub>
                  </m:sSub>
                  <m:d>
                    <m:dPr>
                      <m:begChr m:val="("/>
                      <m:sepChr m:val=""/>
                      <m:endChr m:val=")"/>
                      <m:grow/>
                    </m:dPr>
                    <m:e>
                      <m:sSup>
                        <m:e>
                          <m:r>
                            <m:t>σ</m:t>
                          </m:r>
                        </m:e>
                        <m:sup>
                          <m:r>
                            <m:rPr>
                              <m:sty m:val="p"/>
                            </m:rPr>
                            <m:t>⋆</m:t>
                          </m:r>
                        </m:sup>
                      </m:sSup>
                    </m:e>
                  </m:d>
                  <m:r>
                    <m:rPr>
                      <m:sty m:val="p"/>
                    </m:rPr>
                    <m:t>,</m:t>
                  </m:r>
                  <m:r>
                    <m:t>ω</m:t>
                  </m:r>
                </m:e>
              </m:d>
            </m:e>
          </m:d>
          <m:r>
            <m:rPr>
              <m:sty m:val="p"/>
            </m:rPr>
            <m:t>≥</m:t>
          </m:r>
          <m:sSub>
            <m:e>
              <m:r>
                <m:rPr>
                  <m:scr m:val="double-struck"/>
                  <m:sty m:val="p"/>
                </m:rPr>
                <m:t>E</m:t>
              </m:r>
            </m:e>
            <m:sub>
              <m:r>
                <m:t>ω</m:t>
              </m:r>
              <m:r>
                <m:rPr>
                  <m:sty m:val="p"/>
                </m:rPr>
                <m:t>∼</m:t>
              </m:r>
              <m:r>
                <m:t>p</m:t>
              </m:r>
            </m:sub>
          </m:sSub>
          <m:d>
            <m:dPr>
              <m:begChr m:val="["/>
              <m:sepChr m:val=""/>
              <m:endChr m:val="]"/>
              <m:grow/>
            </m:dPr>
            <m:e>
              <m:nary>
                <m:naryPr>
                  <m:chr m:val="∑"/>
                  <m:limLoc m:val="undOvr"/>
                  <m:subHide m:val="off"/>
                  <m:supHide m:val="off"/>
                </m:naryPr>
                <m:sub>
                  <m:r>
                    <m:t>t</m:t>
                  </m:r>
                  <m:r>
                    <m:rPr>
                      <m:sty m:val="p"/>
                    </m:rPr>
                    <m:t>=</m:t>
                  </m:r>
                  <m:r>
                    <m:t>1</m:t>
                  </m:r>
                </m:sub>
                <m:sup>
                  <m:r>
                    <m:t>n</m:t>
                  </m:r>
                </m:sup>
                <m:e>
                  <m:r>
                    <m:t>S</m:t>
                  </m:r>
                </m:e>
              </m:nary>
              <m:d>
                <m:dPr>
                  <m:begChr m:val="("/>
                  <m:sepChr m:val=""/>
                  <m:endChr m:val=")"/>
                  <m:grow/>
                </m:dPr>
                <m:e>
                  <m:sSub>
                    <m:e>
                      <m:r>
                        <m:t>q</m:t>
                      </m:r>
                    </m:e>
                    <m:sub>
                      <m:r>
                        <m:t>t</m:t>
                      </m:r>
                    </m:sub>
                  </m:sSub>
                  <m:d>
                    <m:dPr>
                      <m:begChr m:val="("/>
                      <m:sepChr m:val=""/>
                      <m:endChr m:val=")"/>
                      <m:grow/>
                    </m:dPr>
                    <m:e>
                      <m:r>
                        <m:t>σ</m:t>
                      </m:r>
                    </m:e>
                  </m:d>
                  <m:r>
                    <m:rPr>
                      <m:sty m:val="p"/>
                    </m:rPr>
                    <m:t>,</m:t>
                  </m:r>
                  <m:sSub>
                    <m:e>
                      <m:r>
                        <m:t>r</m:t>
                      </m:r>
                    </m:e>
                    <m:sub>
                      <m:r>
                        <m:t>t</m:t>
                      </m:r>
                    </m:sub>
                  </m:sSub>
                  <m:d>
                    <m:dPr>
                      <m:begChr m:val="("/>
                      <m:sepChr m:val=""/>
                      <m:endChr m:val=")"/>
                      <m:grow/>
                    </m:dPr>
                    <m:e>
                      <m:r>
                        <m:t>σ</m:t>
                      </m:r>
                    </m:e>
                  </m:d>
                  <m:r>
                    <m:rPr>
                      <m:sty m:val="p"/>
                    </m:rPr>
                    <m:t>,</m:t>
                  </m:r>
                  <m:r>
                    <m:t>ω</m:t>
                  </m:r>
                </m:e>
              </m:d>
            </m:e>
          </m:d>
        </m:oMath>
      </m:oMathPara>
    </w:p>
    <w:p>
      <w:pPr>
        <w:spacing w:after="60"/>
        <w:jc w:val="both"/>
      </w:pPr>
      <m:oMath>
        <m:r>
          <m:t>p</m:t>
        </m:r>
      </m:oMath>
      <w:r>
        <w:rPr>
          <w:color w:val="3A4350"/>
          <w:sz w:val="15"/>
          <w:szCs w:val="15"/>
        </w:rPr>
        <w:t xml:space="preserve"> is the subject's true belief about the uncertain outcome </w:t>
      </w:r>
      <m:oMath>
        <m:r>
          <m:t>ω</m:t>
        </m:r>
      </m:oMath>
      <w:r>
        <w:rPr>
          <w:color w:val="3A4350"/>
          <w:sz w:val="15"/>
          <w:szCs w:val="15"/>
        </w:rPr>
        <w:t xml:space="preserve">, </w:t>
      </w:r>
      <m:oMath>
        <m:sSup>
          <m:e>
            <m:r>
              <m:t>σ</m:t>
            </m:r>
          </m:e>
          <m:sup>
            <m:r>
              <m:rPr>
                <m:sty m:val="p"/>
              </m:rPr>
              <m:t>⋆</m:t>
            </m:r>
          </m:sup>
        </m:sSup>
      </m:oMath>
      <w:r>
        <w:rPr>
          <w:color w:val="3A4350"/>
          <w:sz w:val="15"/>
          <w:szCs w:val="15"/>
        </w:rPr>
        <w:t xml:space="preserve"> the truthful answering strategy and </w:t>
      </w:r>
      <m:oMath>
        <m:r>
          <m:t>σ</m:t>
        </m:r>
      </m:oMath>
      <w:r>
        <w:rPr>
          <w:color w:val="3A4350"/>
          <w:sz w:val="15"/>
          <w:szCs w:val="15"/>
        </w:rPr>
        <w:t xml:space="preserve"> any other strategy, </w:t>
      </w:r>
      <m:oMath>
        <m:sSub>
          <m:e>
            <m:r>
              <m:t>q</m:t>
            </m:r>
          </m:e>
          <m:sub>
            <m:r>
              <m:t>t</m:t>
            </m:r>
          </m:sub>
        </m:sSub>
        <m:d>
          <m:dPr>
            <m:begChr m:val="("/>
            <m:sepChr m:val=""/>
            <m:endChr m:val=")"/>
            <m:grow/>
          </m:dPr>
          <m:e>
            <m:r>
              <m:t>σ</m:t>
            </m:r>
          </m:e>
        </m:d>
      </m:oMath>
      <w:r>
        <w:rPr>
          <w:color w:val="3A4350"/>
          <w:sz w:val="15"/>
          <w:szCs w:val="15"/>
        </w:rPr>
        <w:t xml:space="preserve"> the </w:t>
      </w:r>
      <m:oMath>
        <m:r>
          <m:t>t</m:t>
        </m:r>
      </m:oMath>
      <w:r>
        <w:rPr>
          <w:color w:val="3A4350"/>
          <w:sz w:val="15"/>
          <w:szCs w:val="15"/>
        </w:rPr>
        <w:t xml:space="preserve">-th question (which depends on the earlier answers), </w:t>
      </w:r>
      <m:oMath>
        <m:sSub>
          <m:e>
            <m:r>
              <m:t>r</m:t>
            </m:r>
          </m:e>
          <m:sub>
            <m:r>
              <m:t>t</m:t>
            </m:r>
          </m:sub>
        </m:sSub>
        <m:d>
          <m:dPr>
            <m:begChr m:val="("/>
            <m:sepChr m:val=""/>
            <m:endChr m:val=")"/>
            <m:grow/>
          </m:dPr>
          <m:e>
            <m:r>
              <m:t>σ</m:t>
            </m:r>
          </m:e>
        </m:d>
      </m:oMath>
      <w:r>
        <w:rPr>
          <w:color w:val="3A4350"/>
          <w:sz w:val="15"/>
          <w:szCs w:val="15"/>
        </w:rPr>
        <w:t xml:space="preserve"> the answer and </w:t>
      </w:r>
      <m:oMath>
        <m:r>
          <m:t>S</m:t>
        </m:r>
      </m:oMath>
      <w:r>
        <w:rPr>
          <w:color w:val="3A4350"/>
          <w:sz w:val="15"/>
          <w:szCs w:val="15"/>
        </w:rPr>
        <w:t xml:space="preserve"> the scoring-rule payment; the inequality must hold even though a deviation also changes which questions are asked.</w:t>
      </w:r>
    </w:p>
    <w:p>
      <w:pPr>
        <w:spacing w:after="60"/>
        <w:jc w:val="both"/>
      </w:pPr>
      <w:r>
        <w:rPr>
          <w:b/>
          <w:bCs/>
          <w:color w:val="5B21B6"/>
          <w:sz w:val="17"/>
          <w:szCs w:val="17"/>
        </w:rPr>
        <w:t xml:space="preserve">Link to the Fushë-Kuqe records. </w:t>
      </w:r>
      <w:r>
        <w:rPr>
          <w:sz w:val="17"/>
          <w:szCs w:val="17"/>
        </w:rPr>
        <w:t xml:space="preserve">Belongs to theme D (data valuation and data acquisition). Choosing the next merge from what earlier merges revealed is active learning with strategic respondents: an irrigator or hotel that guesses which records lead to caps could shape answers to steer later requests. The paper shows such adaptive acquisition can be made truthful at small cost in queries.</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proves that adaptive learning from a strategic respondent can be made incentive compatible at only a subpolynomial cost in queries, and that a manipulable search can still be inverted exactly. Peer-reviewed ITCS 2020 (LIPIcs); later work on incentivised collaborative active learning (Cohen &amp; Shao) builds on it.</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Its respondents report their own preferences or beliefs and are paid per question. Whether truthful adaptive acquisition is possible when the answer is a dataset valued for its information about a CATE, and holders care about the caps it triggers,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proofs that a non-incentive-compatible sequential search can be inverted one-to-one, and that a scoring-rule learner is incentive compatible with only subpolynomially more queries. Proposed extension: ask each holder a sequence of summary questions on its local pumping–chloride response chosen by the merge planner, pay by a proper scoring rule against the later pooled CATE, and test in simulations of the aquifer whether strategic holders can still bias which wells are capped.</w:t>
      </w:r>
    </w:p>
    <w:p>
      <w:pPr>
        <w:keepNext/>
        <w:pBdr>
          <w:top w:val="single" w:color="5B21B6" w:sz="6" w:space="4"/>
        </w:pBdr>
        <w:spacing w:after="60" w:before="220"/>
      </w:pPr>
      <w:r>
        <w:rPr>
          <w:b/>
          <w:bCs/>
          <w:color w:val="5B21B6"/>
          <w:sz w:val="23"/>
          <w:szCs w:val="23"/>
        </w:rPr>
        <w:t xml:space="preserve">D5  </w:t>
      </w:r>
      <w:r>
        <w:rPr>
          <w:b/>
          <w:bCs/>
          <w:color w:val="1F3864"/>
          <w:sz w:val="23"/>
          <w:szCs w:val="23"/>
        </w:rPr>
        <w:t xml:space="preserve">Truthful Data Acquisition via Peer Prediction</w:t>
      </w:r>
    </w:p>
    <w:p>
      <w:pPr>
        <w:keepNext/>
        <w:spacing w:after="60" w:line="240" w:lineRule="auto"/>
      </w:pPr>
      <w:r>
        <w:rPr>
          <w:b/>
          <w:bCs/>
          <w:color w:val="333B47"/>
          <w:sz w:val="15"/>
          <w:szCs w:val="15"/>
        </w:rPr>
        <w:t xml:space="preserve">Authors: </w:t>
      </w:r>
      <w:r>
        <w:rPr>
          <w:sz w:val="15"/>
          <w:szCs w:val="15"/>
        </w:rPr>
        <w:t xml:space="preserve">Yiling Chen, Yiheng Shen, Shuran Zheng</w:t>
      </w:r>
      <w:r>
        <w:rPr>
          <w:sz w:val="15"/>
          <w:szCs w:val="15"/>
        </w:rPr>
        <w:t xml:space="preserve">   </w:t>
      </w:r>
      <w:r>
        <w:rPr>
          <w:b/>
          <w:bCs/>
          <w:color w:val="333B47"/>
          <w:sz w:val="15"/>
          <w:szCs w:val="15"/>
        </w:rPr>
        <w:t xml:space="preserve">Published in: </w:t>
      </w:r>
      <w:r>
        <w:rPr>
          <w:sz w:val="15"/>
          <w:szCs w:val="15"/>
        </w:rPr>
        <w:t xml:space="preserve">Advances in Neural Information Processing Systems 33 (NeurIPS 2020), pages not verified; arXiv 2006.03992</w:t>
      </w:r>
      <w:r>
        <w:rPr>
          <w:sz w:val="15"/>
          <w:szCs w:val="15"/>
        </w:rPr>
        <w:t xml:space="preserve">   </w:t>
      </w:r>
      <w:r>
        <w:rPr>
          <w:b/>
          <w:bCs/>
          <w:color w:val="333B47"/>
          <w:sz w:val="15"/>
          <w:szCs w:val="15"/>
        </w:rPr>
        <w:t xml:space="preserve">Link: </w:t>
      </w:r>
      <w:hyperlink w:history="1" r:id="rIdp_zve4c_gbukrtlrqhpj2">
        <w:r>
          <w:rPr>
            <w:color w:val="1D4ED8"/>
            <w:sz w:val="15"/>
            <w:szCs w:val="15"/>
            <w:u w:val="single"/>
          </w:rPr>
          <w:t xml:space="preserve">https://papers.nips.cc/paper/2020/hash/d35b05a832e2bb91f110d54e34e2da79-Abstract.html</w:t>
        </w:r>
      </w:hyperlink>
    </w:p>
    <w:p>
      <w:pPr>
        <w:keepNext/>
        <w:spacing w:after="80" w:line="240" w:lineRule="auto"/>
      </w:pPr>
      <w:r>
        <w:rPr>
          <w:b/>
          <w:bCs/>
          <w:color w:val="333B47"/>
          <w:sz w:val="15"/>
          <w:szCs w:val="15"/>
        </w:rPr>
        <w:t xml:space="preserve">Affiliation: </w:t>
      </w:r>
      <w:r>
        <w:rPr>
          <w:color w:val="3A4350"/>
          <w:sz w:val="15"/>
          <w:szCs w:val="15"/>
        </w:rPr>
        <w:t xml:space="preserve">Yiling Chen and Shuran Zheng, Harvard University; Yiheng Shen, Tsinghua University (search summary of the paper record). NSF grants CCF-1718549 and IIS-2007887 acknowledged.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5B21B6"/>
          <w:sz w:val="17"/>
          <w:szCs w:val="17"/>
        </w:rPr>
        <w:t xml:space="preserve">Summary. </w:t>
      </w:r>
      <w:r>
        <w:rPr>
          <w:sz w:val="17"/>
          <w:szCs w:val="17"/>
        </w:rPr>
        <w:t xml:space="preserve">An analyst with a fixed budget buys datasets from several providers but has no test data, so payments can depend only on the reports. In a Bayesian model, each provider is paid according to the mutual information between his reported data and the other providers' reports. A manipulated report is a (possibly random) function of the true data, so by the data processing inequality misreporting cannot raise the expected payment when others are truthful: truthful reporting is an equilibrium. This holds when data are collected once and when collected repeatedly; individual rationality and budget feasibility hold for certain distributions in the first setting and all distributions in the second.</w:t>
      </w:r>
    </w:p>
    <w:p>
      <w:pPr>
        <w:keepNext/>
        <w:spacing w:after="20" w:before="40"/>
      </w:pPr>
      <w:r>
        <w:rPr>
          <w:b/>
          <w:bCs/>
          <w:color w:val="5B21B6"/>
          <w:sz w:val="17"/>
          <w:szCs w:val="17"/>
        </w:rPr>
        <w:t xml:space="preserve">Key equation.</w:t>
      </w:r>
      <w:r>
        <w:rPr>
          <w:i/>
          <w:iCs/>
          <w:color w:val="5B6573"/>
          <w:sz w:val="15"/>
          <w:szCs w:val="15"/>
        </w:rPr>
        <w:t xml:space="preserve">  Expected payment of provider i and the data processing bound that makes truth-telling optimal (representative formulation)</w:t>
      </w:r>
    </w:p>
    <w:p>
      <w:pPr>
        <w:pStyle w:val="Equation"/>
      </w:pPr>
      <m:oMathPara>
        <m:oMathParaPr>
          <m:jc m:val="center"/>
        </m:oMathParaPr>
        <m:oMath>
          <m:r>
            <m:rPr>
              <m:scr m:val="double-struck"/>
              <m:sty m:val="p"/>
            </m:rPr>
            <m:t>E</m:t>
          </m:r>
          <m:d>
            <m:dPr>
              <m:begChr m:val="["/>
              <m:sepChr m:val=""/>
              <m:endChr m:val="]"/>
              <m:grow/>
            </m:dPr>
            <m:e>
              <m:sSub>
                <m:e>
                  <m:r>
                    <m:t>r</m:t>
                  </m:r>
                </m:e>
                <m:sub>
                  <m:r>
                    <m:t>i</m:t>
                  </m:r>
                </m:sub>
              </m:sSub>
            </m:e>
          </m:d>
          <m:r>
            <m:rPr>
              <m:sty m:val="p"/>
            </m:rPr>
            <m:t>=</m:t>
          </m:r>
          <m:r>
            <m:t>I</m:t>
          </m:r>
          <m:d>
            <m:dPr>
              <m:begChr m:val="("/>
              <m:sepChr m:val=""/>
              <m:endChr m:val=")"/>
              <m:grow/>
            </m:dPr>
            <m:e>
              <m:sSub>
                <m:e>
                  <m:acc>
                    <m:accPr>
                      <m:chr m:val="̃"/>
                    </m:accPr>
                    <m:e>
                      <m:r>
                        <m:t>D</m:t>
                      </m:r>
                    </m:e>
                  </m:acc>
                </m:e>
                <m:sub>
                  <m:r>
                    <m:t>i</m:t>
                  </m:r>
                </m:sub>
              </m:sSub>
              <m:r>
                <m:rPr>
                  <m:sty m:val="p"/>
                </m:rPr>
                <m:t>;</m:t>
              </m:r>
              <m:sSub>
                <m:e>
                  <m:r>
                    <m:t>D</m:t>
                  </m:r>
                </m:e>
                <m:sub>
                  <m:r>
                    <m:rPr>
                      <m:sty m:val="p"/>
                    </m:rPr>
                    <m:t>−</m:t>
                  </m:r>
                  <m:r>
                    <m:t>i</m:t>
                  </m:r>
                </m:sub>
              </m:sSub>
            </m:e>
          </m:d>
          <m:r>
            <m:rPr>
              <m:sty m:val="p"/>
            </m:rPr>
            <m:t>≤</m:t>
          </m:r>
          <m:r>
            <m:t>I</m:t>
          </m:r>
          <m:d>
            <m:dPr>
              <m:begChr m:val="("/>
              <m:sepChr m:val=""/>
              <m:endChr m:val=")"/>
              <m:grow/>
            </m:dPr>
            <m:e>
              <m:sSub>
                <m:e>
                  <m:r>
                    <m:t>D</m:t>
                  </m:r>
                </m:e>
                <m:sub>
                  <m:r>
                    <m:t>i</m:t>
                  </m:r>
                </m:sub>
              </m:sSub>
              <m:r>
                <m:rPr>
                  <m:sty m:val="p"/>
                </m:rPr>
                <m:t>;</m:t>
              </m:r>
              <m:sSub>
                <m:e>
                  <m:r>
                    <m:t>D</m:t>
                  </m:r>
                </m:e>
                <m:sub>
                  <m:r>
                    <m:rPr>
                      <m:sty m:val="p"/>
                    </m:rPr>
                    <m:t>−</m:t>
                  </m:r>
                  <m:r>
                    <m:t>i</m:t>
                  </m:r>
                </m:sub>
              </m:sSub>
            </m:e>
          </m:d>
        </m:oMath>
      </m:oMathPara>
    </w:p>
    <w:p>
      <w:pPr>
        <w:spacing w:after="60"/>
        <w:jc w:val="both"/>
      </w:pPr>
      <m:oMath>
        <m:sSub>
          <m:e>
            <m:r>
              <m:t>D</m:t>
            </m:r>
          </m:e>
          <m:sub>
            <m:r>
              <m:t>i</m:t>
            </m:r>
          </m:sub>
        </m:sSub>
      </m:oMath>
      <w:r>
        <w:rPr>
          <w:color w:val="3A4350"/>
          <w:sz w:val="15"/>
          <w:szCs w:val="15"/>
        </w:rPr>
        <w:t xml:space="preserve"> is provider </w:t>
      </w:r>
      <m:oMath>
        <m:r>
          <m:t>i</m:t>
        </m:r>
      </m:oMath>
      <w:r>
        <w:rPr>
          <w:color w:val="3A4350"/>
          <w:sz w:val="15"/>
          <w:szCs w:val="15"/>
        </w:rPr>
        <w:t xml:space="preserve">'s true dataset, </w:t>
      </w:r>
      <m:oMath>
        <m:sSub>
          <m:e>
            <m:acc>
              <m:accPr>
                <m:chr m:val="̃"/>
              </m:accPr>
              <m:e>
                <m:r>
                  <m:t>D</m:t>
                </m:r>
              </m:e>
            </m:acc>
          </m:e>
          <m:sub>
            <m:r>
              <m:t>i</m:t>
            </m:r>
          </m:sub>
        </m:sSub>
      </m:oMath>
      <w:r>
        <w:rPr>
          <w:color w:val="3A4350"/>
          <w:sz w:val="15"/>
          <w:szCs w:val="15"/>
        </w:rPr>
        <w:t xml:space="preserve"> his report, a possibly randomised function of </w:t>
      </w:r>
      <m:oMath>
        <m:sSub>
          <m:e>
            <m:r>
              <m:t>D</m:t>
            </m:r>
          </m:e>
          <m:sub>
            <m:r>
              <m:t>i</m:t>
            </m:r>
          </m:sub>
        </m:sSub>
      </m:oMath>
      <w:r>
        <w:rPr>
          <w:color w:val="3A4350"/>
          <w:sz w:val="15"/>
          <w:szCs w:val="15"/>
        </w:rPr>
        <w:t xml:space="preserve">, </w:t>
      </w:r>
      <m:oMath>
        <m:sSub>
          <m:e>
            <m:r>
              <m:t>D</m:t>
            </m:r>
          </m:e>
          <m:sub>
            <m:r>
              <m:rPr>
                <m:sty m:val="p"/>
              </m:rPr>
              <m:t>−</m:t>
            </m:r>
            <m:r>
              <m:t>i</m:t>
            </m:r>
          </m:sub>
        </m:sSub>
      </m:oMath>
      <w:r>
        <w:rPr>
          <w:color w:val="3A4350"/>
          <w:sz w:val="15"/>
          <w:szCs w:val="15"/>
        </w:rPr>
        <w:t xml:space="preserve"> the truthful reports of the others and </w:t>
      </w:r>
      <m:oMath>
        <m:r>
          <m:t>I</m:t>
        </m:r>
      </m:oMath>
      <w:r>
        <w:rPr>
          <w:color w:val="3A4350"/>
          <w:sz w:val="15"/>
          <w:szCs w:val="15"/>
        </w:rPr>
        <w:t xml:space="preserve"> mutual information; equality holds for truthful reporting.</w:t>
      </w:r>
    </w:p>
    <w:p>
      <w:pPr>
        <w:spacing w:after="60"/>
        <w:jc w:val="both"/>
      </w:pPr>
      <w:r>
        <w:rPr>
          <w:b/>
          <w:bCs/>
          <w:color w:val="5B21B6"/>
          <w:sz w:val="17"/>
          <w:szCs w:val="17"/>
        </w:rPr>
        <w:t xml:space="preserve">Link to the Fushë-Kuqe records. </w:t>
      </w:r>
      <w:r>
        <w:rPr>
          <w:sz w:val="17"/>
          <w:szCs w:val="17"/>
        </w:rPr>
        <w:t xml:space="preserve">Belongs to theme D (data valuation and data acquisition). Irrigators and hotels could under-report pumping or drop awkward records. Crediting each holder by the information its records share with the others' rewards honest submission without a test set, which the review lacks before merging, and the same scores measure how informative each holder is.</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brings peer-prediction mechanism design to data purchase without test data, with a clean information-theoretic truthfulness proof and conditions for budget feasibility. Main-track NeurIPS 2020; the published meta-review describes the paper as strong and well written.</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Rewards follow statistical dependence on others' data, not decision value: a holder with unique coastal wells that overlap little with inland records may be under-rewarded. A truthful mechanism whose payment tracks the information gain about the coastal CATE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payments equal to the mutual information between a provider's report and the others' reports, with truthfulness from the data processing inequality and budget results in two collection regimes. Proposed extension: score each Fushë-Kuqe holder by the information its submitted heads and chloride share with the other holders' records through the conductivity field, computed under secure computation, and test in simulations of the aquifer model whether misreported irrigator pumping lowers the score.</w:t>
      </w:r>
    </w:p>
    <w:p>
      <w:pPr>
        <w:pStyle w:val="Heading1"/>
      </w:pPr>
      <w:r>
        <w:rPr>
          <w:color w:val="1F3864"/>
        </w:rPr>
        <w:t xml:space="preserve">8. Synthesis: what the 20 articles show together</w:t>
      </w:r>
    </w:p>
    <w:p>
      <w:pPr>
        <w:pStyle w:val="Heading3"/>
      </w:pPr>
      <w:r>
        <w:rPr>
          <w:color w:val="1F3864"/>
        </w:rPr>
        <w:t xml:space="preserve">8.1 The set at a glance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4300"/>
        <w:gridCol w:w="5338"/>
      </w:tblGrid>
      <w:tr>
        <w:trPr>
          <w:cantSplit/>
          <w:tblHeader/>
        </w:trPr>
        <w:tc>
          <w:tcPr>
            <w:tcW w:type="dxa" w:w="4300"/>
            <w:shd w:fill="1F3864" w:color="auto" w:val="clear"/>
            <w:tcMar>
              <w:top w:type="dxa" w:w="60"/>
              <w:left w:type="dxa" w:w="100"/>
              <w:bottom w:type="dxa" w:w="60"/>
              <w:right w:type="dxa" w:w="100"/>
            </w:tcMar>
            <w:vAlign w:val="top"/>
          </w:tcPr>
          <w:p>
            <w:r>
              <w:rPr>
                <w:b/>
                <w:bCs/>
                <w:color w:val="FFFFFF"/>
                <w:sz w:val="17"/>
                <w:szCs w:val="17"/>
              </w:rPr>
              <w:t xml:space="preserve">Theme of Part I</w:t>
            </w:r>
          </w:p>
        </w:tc>
        <w:tc>
          <w:tcPr>
            <w:tcW w:type="dxa" w:w="5338"/>
            <w:shd w:fill="1F3864" w:color="auto" w:val="clear"/>
            <w:tcMar>
              <w:top w:type="dxa" w:w="60"/>
              <w:left w:type="dxa" w:w="100"/>
              <w:bottom w:type="dxa" w:w="60"/>
              <w:right w:type="dxa" w:w="100"/>
            </w:tcMar>
            <w:vAlign w:val="top"/>
          </w:tcPr>
          <w:p>
            <w:r>
              <w:rPr>
                <w:b/>
                <w:bCs/>
                <w:color w:val="FFFFFF"/>
                <w:sz w:val="17"/>
                <w:szCs w:val="17"/>
              </w:rPr>
              <w:t xml:space="preserve">Papers</w:t>
            </w:r>
          </w:p>
        </w:tc>
      </w:tr>
      <w:tr>
        <w:trPr>
          <w:cantSplit/>
        </w:trPr>
        <w:tc>
          <w:tcPr>
            <w:tcW w:type="dxa" w:w="4300"/>
            <w:tcMar>
              <w:top w:type="dxa" w:w="60"/>
              <w:left w:type="dxa" w:w="100"/>
              <w:bottom w:type="dxa" w:w="60"/>
              <w:right w:type="dxa" w:w="100"/>
            </w:tcMar>
            <w:vAlign w:val="top"/>
          </w:tcPr>
          <w:p>
            <w:r>
              <w:rPr>
                <w:sz w:val="17"/>
                <w:szCs w:val="17"/>
              </w:rPr>
              <w:t xml:space="preserve">1.1 The value of a merge as expected information gain</w:t>
            </w:r>
          </w:p>
        </w:tc>
        <w:tc>
          <w:tcPr>
            <w:tcW w:type="dxa" w:w="5338"/>
            <w:tcMar>
              <w:top w:type="dxa" w:w="60"/>
              <w:left w:type="dxa" w:w="100"/>
              <w:bottom w:type="dxa" w:w="60"/>
              <w:right w:type="dxa" w:w="100"/>
            </w:tcMar>
            <w:vAlign w:val="top"/>
          </w:tcPr>
          <w:p>
            <w:r>
              <w:rPr>
                <w:sz w:val="17"/>
                <w:szCs w:val="17"/>
              </w:rPr>
              <w:t xml:space="preserve">[V1], [V2], [V3]</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1.2 Overlap: why merging helps causal estimation</w:t>
            </w:r>
          </w:p>
        </w:tc>
        <w:tc>
          <w:tcPr>
            <w:tcW w:type="dxa" w:w="5338"/>
            <w:shd w:fill="F7F9FC" w:color="auto" w:val="clear"/>
            <w:tcMar>
              <w:top w:type="dxa" w:w="60"/>
              <w:left w:type="dxa" w:w="100"/>
              <w:bottom w:type="dxa" w:w="60"/>
              <w:right w:type="dxa" w:w="100"/>
            </w:tcMar>
            <w:vAlign w:val="top"/>
          </w:tcPr>
          <w:p>
            <w:r>
              <w:rPr>
                <w:sz w:val="17"/>
                <w:szCs w:val="17"/>
              </w:rPr>
              <w:t xml:space="preserve">[V4], [F1], [F2], [F4], [FR2]</w:t>
            </w:r>
          </w:p>
        </w:tc>
      </w:tr>
      <w:tr>
        <w:trPr>
          <w:cantSplit/>
        </w:trPr>
        <w:tc>
          <w:tcPr>
            <w:tcW w:type="dxa" w:w="4300"/>
            <w:tcMar>
              <w:top w:type="dxa" w:w="60"/>
              <w:left w:type="dxa" w:w="100"/>
              <w:bottom w:type="dxa" w:w="60"/>
              <w:right w:type="dxa" w:w="100"/>
            </w:tcMar>
            <w:vAlign w:val="top"/>
          </w:tcPr>
          <w:p>
            <w:r>
              <w:rPr>
                <w:sz w:val="17"/>
                <w:szCs w:val="17"/>
              </w:rPr>
              <w:t xml:space="preserve">1.3 Information or decision</w:t>
            </w:r>
          </w:p>
        </w:tc>
        <w:tc>
          <w:tcPr>
            <w:tcW w:type="dxa" w:w="5338"/>
            <w:tcMar>
              <w:top w:type="dxa" w:w="60"/>
              <w:left w:type="dxa" w:w="100"/>
              <w:bottom w:type="dxa" w:w="60"/>
              <w:right w:type="dxa" w:w="100"/>
            </w:tcMar>
            <w:vAlign w:val="top"/>
          </w:tcPr>
          <w:p>
            <w:r>
              <w:rPr>
                <w:sz w:val="17"/>
                <w:szCs w:val="17"/>
              </w:rPr>
              <w:t xml:space="preserve">[V1], [V5], [VR1]</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1.4 Merging without pooling</w:t>
            </w:r>
          </w:p>
        </w:tc>
        <w:tc>
          <w:tcPr>
            <w:tcW w:type="dxa" w:w="5338"/>
            <w:shd w:fill="F7F9FC" w:color="auto" w:val="clear"/>
            <w:tcMar>
              <w:top w:type="dxa" w:w="60"/>
              <w:left w:type="dxa" w:w="100"/>
              <w:bottom w:type="dxa" w:w="60"/>
              <w:right w:type="dxa" w:w="100"/>
            </w:tcMar>
            <w:vAlign w:val="top"/>
          </w:tcPr>
          <w:p>
            <w:r>
              <w:rPr>
                <w:sz w:val="17"/>
                <w:szCs w:val="17"/>
              </w:rPr>
              <w:t xml:space="preserve">[F1], [F2], [F3], [F5], [FR1]</w:t>
            </w:r>
          </w:p>
        </w:tc>
      </w:tr>
      <w:tr>
        <w:trPr>
          <w:cantSplit/>
        </w:trPr>
        <w:tc>
          <w:tcPr>
            <w:tcW w:type="dxa" w:w="4300"/>
            <w:tcMar>
              <w:top w:type="dxa" w:w="60"/>
              <w:left w:type="dxa" w:w="100"/>
              <w:bottom w:type="dxa" w:w="60"/>
              <w:right w:type="dxa" w:w="100"/>
            </w:tcMar>
            <w:vAlign w:val="top"/>
          </w:tcPr>
          <w:p>
            <w:r>
              <w:rPr>
                <w:sz w:val="17"/>
                <w:szCs w:val="17"/>
              </w:rPr>
              <w:t xml:space="preserve">1.5 Differential privacy and secure computation</w:t>
            </w:r>
          </w:p>
        </w:tc>
        <w:tc>
          <w:tcPr>
            <w:tcW w:type="dxa" w:w="5338"/>
            <w:tcMar>
              <w:top w:type="dxa" w:w="60"/>
              <w:left w:type="dxa" w:w="100"/>
              <w:bottom w:type="dxa" w:w="60"/>
              <w:right w:type="dxa" w:w="100"/>
            </w:tcMar>
            <w:vAlign w:val="top"/>
          </w:tcPr>
          <w:p>
            <w:r>
              <w:rPr>
                <w:sz w:val="17"/>
                <w:szCs w:val="17"/>
              </w:rPr>
              <w:t xml:space="preserve">[P1], [P2], [P3], [P4], [P5]</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1.6 Data valuation and data markets</w:t>
            </w:r>
          </w:p>
        </w:tc>
        <w:tc>
          <w:tcPr>
            <w:tcW w:type="dxa" w:w="5338"/>
            <w:shd w:fill="F7F9FC" w:color="auto" w:val="clear"/>
            <w:tcMar>
              <w:top w:type="dxa" w:w="60"/>
              <w:left w:type="dxa" w:w="100"/>
              <w:bottom w:type="dxa" w:w="60"/>
              <w:right w:type="dxa" w:w="100"/>
            </w:tcMar>
            <w:vAlign w:val="top"/>
          </w:tcPr>
          <w:p>
            <w:r>
              <w:rPr>
                <w:sz w:val="17"/>
                <w:szCs w:val="17"/>
              </w:rPr>
              <w:t xml:space="preserve">[D1], [D2], [D3], [D4], [D5]</w:t>
            </w:r>
          </w:p>
        </w:tc>
      </w:tr>
    </w:tbl>
    <w:p>
      <w:pPr>
        <w:spacing w:after="160"/>
      </w:pPr>
    </w:p>
    <w:p>
      <w:pPr>
        <w:pStyle w:val="Heading3"/>
      </w:pPr>
      <w:r>
        <w:rPr>
          <w:color w:val="1F3864"/>
        </w:rPr>
        <w:t xml:space="preserve">8.2 Valuing a merge: information, overlap and decisions</w:t>
      </w:r>
    </w:p>
    <w:p>
      <w:pPr>
        <w:spacing w:after="120"/>
        <w:jc w:val="both"/>
      </w:pPr>
      <w:r>
        <w:t xml:space="preserve">The value-of-information papers give the tools to compute what a dataset is worth before acquiring it: information estimators for general models [V2], acquisition under a shift between pool and target [V3], acquisition functions that are exactly a value of information [V1], and a decision-theoretic account of what uncertainty is [V5]. For causal effects, overlap is the reason a merge is worth anything: CATE estimates fail where one treatment group is missing [V4], and federated estimators reweight sites to a target population [F1, F2]. The anchor paper joins information and overlap in one secure score [B1]. None of the papers asks whether the score ranks merges the way the decision they serve would, nor whether any merge is worth its cost.</w:t>
      </w:r>
    </w:p>
    <w:p>
      <w:pPr>
        <w:pStyle w:val="Heading3"/>
      </w:pPr>
      <w:r>
        <w:rPr>
          <w:color w:val="1F3864"/>
        </w:rPr>
        <w:t xml:space="preserve">8.3 Merging without pooling, and privately</w:t>
      </w:r>
    </w:p>
    <w:p>
      <w:pPr>
        <w:spacing w:after="120"/>
        <w:jc w:val="both"/>
      </w:pPr>
      <w:r>
        <w:t xml:space="preserve">Federated causal estimators need only summaries and one round [F1, F2, FR1], communication-efficient iterations reach full efficiency [F5], Bayesian fusion carries uncertainty from each source [F3], and external data sharpen a trial's generalisation [F4]. Privacy is now precise: noise can be calibrated without waste [P1], secure multiplication can trade perfect privacy for differential privacy and fewer nodes [P2], encryption and MPC scale to millions of records [P3], and synthetic data can be used without over-confidence [P4, P5]. For a Gaussian linear model all these meet in the Gram matrix: it is the summary that federated estimation shares, the input that MPC protects and the statistic whose sensitivity differential privacy bounds.</w:t>
      </w:r>
    </w:p>
    <w:p>
      <w:pPr>
        <w:pStyle w:val="Heading3"/>
      </w:pPr>
      <w:r>
        <w:rPr>
          <w:color w:val="1F3864"/>
        </w:rPr>
        <w:t xml:space="preserve">8.4 Valuing data as an asset</w:t>
      </w:r>
    </w:p>
    <w:p>
      <w:pPr>
        <w:spacing w:after="120"/>
        <w:jc w:val="both"/>
      </w:pPr>
      <w:r>
        <w:t xml:space="preserve">Data valuation offers robust semivalues [D1], private valuation [D2], buying by experimental design without seeing the data [D3], incentive-compatible adaptive questioning [D4], truthful payments [D5] and the externalities of correlated data [DR3, DR1]. Two warnings carry over to well records: valuation for prediction is not valuation for a causal decision, and records of neighbouring wells are correlated, so one holder's records reveal something about another's, which is why the privacy unit and the price of a merge must be set with care.</w:t>
      </w:r>
    </w:p>
    <w:p>
      <w:pPr>
        <w:pStyle w:val="Heading3"/>
      </w:pPr>
      <w:r>
        <w:rPr>
          <w:color w:val="1F3864"/>
        </w:rPr>
        <w:t xml:space="preserve">8.5 Map of opportunities</w:t>
      </w:r>
    </w:p>
    <w:p>
      <w:pPr>
        <w:spacing w:after="120"/>
        <w:jc w:val="both"/>
      </w:pPr>
      <w:r>
        <w:t xml:space="preserve">Each row joins the open problems of several cards into one research question that, to the extent of the searches of 26 October 2026, no published work has answered for well records or another physical system. Row 1 is begun in section 9.</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500"/>
        <w:gridCol w:w="2500"/>
        <w:gridCol w:w="1800"/>
        <w:gridCol w:w="4838"/>
      </w:tblGrid>
      <w:tr>
        <w:trPr>
          <w:cantSplit/>
          <w:tblHeader/>
        </w:trPr>
        <w:tc>
          <w:tcPr>
            <w:tcW w:type="dxa" w:w="500"/>
            <w:shd w:fill="1F3864" w:color="auto" w:val="clear"/>
            <w:tcMar>
              <w:top w:type="dxa" w:w="60"/>
              <w:left w:type="dxa" w:w="100"/>
              <w:bottom w:type="dxa" w:w="60"/>
              <w:right w:type="dxa" w:w="100"/>
            </w:tcMar>
            <w:vAlign w:val="top"/>
          </w:tcPr>
          <w:p>
            <w:r>
              <w:rPr>
                <w:b/>
                <w:bCs/>
                <w:color w:val="FFFFFF"/>
                <w:sz w:val="16"/>
                <w:szCs w:val="16"/>
              </w:rPr>
              <w:t xml:space="preserve">#</w:t>
            </w:r>
          </w:p>
        </w:tc>
        <w:tc>
          <w:tcPr>
            <w:tcW w:type="dxa" w:w="2500"/>
            <w:shd w:fill="1F3864" w:color="auto" w:val="clear"/>
            <w:tcMar>
              <w:top w:type="dxa" w:w="60"/>
              <w:left w:type="dxa" w:w="100"/>
              <w:bottom w:type="dxa" w:w="60"/>
              <w:right w:type="dxa" w:w="100"/>
            </w:tcMar>
            <w:vAlign w:val="top"/>
          </w:tcPr>
          <w:p>
            <w:r>
              <w:rPr>
                <w:b/>
                <w:bCs/>
                <w:color w:val="FFFFFF"/>
                <w:sz w:val="16"/>
                <w:szCs w:val="16"/>
              </w:rPr>
              <w:t xml:space="preserve">Opportunity</w:t>
            </w:r>
          </w:p>
        </w:tc>
        <w:tc>
          <w:tcPr>
            <w:tcW w:type="dxa" w:w="1800"/>
            <w:shd w:fill="1F3864" w:color="auto" w:val="clear"/>
            <w:tcMar>
              <w:top w:type="dxa" w:w="60"/>
              <w:left w:type="dxa" w:w="100"/>
              <w:bottom w:type="dxa" w:w="60"/>
              <w:right w:type="dxa" w:w="100"/>
            </w:tcMar>
            <w:vAlign w:val="top"/>
          </w:tcPr>
          <w:p>
            <w:r>
              <w:rPr>
                <w:b/>
                <w:bCs/>
                <w:color w:val="FFFFFF"/>
                <w:sz w:val="16"/>
                <w:szCs w:val="16"/>
              </w:rPr>
              <w:t xml:space="preserve">Built on</w:t>
            </w:r>
          </w:p>
        </w:tc>
        <w:tc>
          <w:tcPr>
            <w:tcW w:type="dxa" w:w="4838"/>
            <w:shd w:fill="1F3864" w:color="auto" w:val="clear"/>
            <w:tcMar>
              <w:top w:type="dxa" w:w="60"/>
              <w:left w:type="dxa" w:w="100"/>
              <w:bottom w:type="dxa" w:w="60"/>
              <w:right w:type="dxa" w:w="100"/>
            </w:tcMar>
            <w:vAlign w:val="top"/>
          </w:tcPr>
          <w:p>
            <w:r>
              <w:rPr>
                <w:b/>
                <w:bCs/>
                <w:color w:val="FFFFFF"/>
                <w:sz w:val="16"/>
                <w:szCs w:val="16"/>
              </w:rPr>
              <w:t xml:space="preserve">What is open and what a first result would prove</w:t>
            </w:r>
          </w:p>
        </w:tc>
      </w:tr>
      <w:tr>
        <w:trPr>
          <w:cantSplit/>
        </w:trPr>
        <w:tc>
          <w:tcPr>
            <w:tcW w:type="dxa" w:w="500"/>
            <w:tcMar>
              <w:top w:type="dxa" w:w="60"/>
              <w:left w:type="dxa" w:w="100"/>
              <w:bottom w:type="dxa" w:w="60"/>
              <w:right w:type="dxa" w:w="100"/>
            </w:tcMar>
            <w:vAlign w:val="top"/>
          </w:tcPr>
          <w:p>
            <w:r>
              <w:rPr>
                <w:sz w:val="16"/>
                <w:szCs w:val="16"/>
              </w:rPr>
              <w:t xml:space="preserve">1</w:t>
            </w:r>
          </w:p>
        </w:tc>
        <w:tc>
          <w:tcPr>
            <w:tcW w:type="dxa" w:w="2500"/>
            <w:tcMar>
              <w:top w:type="dxa" w:w="60"/>
              <w:left w:type="dxa" w:w="100"/>
              <w:bottom w:type="dxa" w:w="60"/>
              <w:right w:type="dxa" w:w="100"/>
            </w:tcMar>
            <w:vAlign w:val="top"/>
          </w:tcPr>
          <w:p>
            <w:r>
              <w:rPr>
                <w:sz w:val="16"/>
                <w:szCs w:val="16"/>
              </w:rPr>
              <w:t xml:space="preserve">Decision value of a merge, on secret shares</w:t>
            </w:r>
          </w:p>
        </w:tc>
        <w:tc>
          <w:tcPr>
            <w:tcW w:type="dxa" w:w="1800"/>
            <w:tcMar>
              <w:top w:type="dxa" w:w="60"/>
              <w:left w:type="dxa" w:w="100"/>
              <w:bottom w:type="dxa" w:w="60"/>
              <w:right w:type="dxa" w:w="100"/>
            </w:tcMar>
            <w:vAlign w:val="top"/>
          </w:tcPr>
          <w:p>
            <w:r>
              <w:rPr>
                <w:sz w:val="16"/>
                <w:szCs w:val="16"/>
              </w:rPr>
              <w:t xml:space="preserve">[B1], [V1], [V5], [P2]</w:t>
            </w:r>
          </w:p>
        </w:tc>
        <w:tc>
          <w:tcPr>
            <w:tcW w:type="dxa" w:w="4838"/>
            <w:tcMar>
              <w:top w:type="dxa" w:w="60"/>
              <w:left w:type="dxa" w:w="100"/>
              <w:bottom w:type="dxa" w:w="60"/>
              <w:right w:type="dxa" w:w="100"/>
            </w:tcMar>
            <w:vAlign w:val="top"/>
          </w:tcPr>
          <w:p>
            <w:r>
              <w:rPr>
                <w:sz w:val="16"/>
                <w:szCs w:val="16"/>
              </w:rPr>
              <w:t xml:space="preserve">The value of a merge for the decision the records serve, in loss units, computed without revealing records and private for each record. Begun in section 9 (BASHKIMI-GO).</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2</w:t>
            </w:r>
          </w:p>
        </w:tc>
        <w:tc>
          <w:tcPr>
            <w:tcW w:type="dxa" w:w="2500"/>
            <w:shd w:fill="F7F9FC" w:color="auto" w:val="clear"/>
            <w:tcMar>
              <w:top w:type="dxa" w:w="60"/>
              <w:left w:type="dxa" w:w="100"/>
              <w:bottom w:type="dxa" w:w="60"/>
              <w:right w:type="dxa" w:w="100"/>
            </w:tcMar>
            <w:vAlign w:val="top"/>
          </w:tcPr>
          <w:p>
            <w:r>
              <w:rPr>
                <w:sz w:val="16"/>
                <w:szCs w:val="16"/>
              </w:rPr>
              <w:t xml:space="preserve">Physics as the overlap</w:t>
            </w:r>
          </w:p>
        </w:tc>
        <w:tc>
          <w:tcPr>
            <w:tcW w:type="dxa" w:w="1800"/>
            <w:shd w:fill="F7F9FC" w:color="auto" w:val="clear"/>
            <w:tcMar>
              <w:top w:type="dxa" w:w="60"/>
              <w:left w:type="dxa" w:w="100"/>
              <w:bottom w:type="dxa" w:w="60"/>
              <w:right w:type="dxa" w:w="100"/>
            </w:tcMar>
            <w:vAlign w:val="top"/>
          </w:tcPr>
          <w:p>
            <w:r>
              <w:rPr>
                <w:sz w:val="16"/>
                <w:szCs w:val="16"/>
              </w:rPr>
              <w:t xml:space="preserve">[F3], [F4], [V4]</w:t>
            </w:r>
          </w:p>
        </w:tc>
        <w:tc>
          <w:tcPr>
            <w:tcW w:type="dxa" w:w="4838"/>
            <w:shd w:fill="F7F9FC" w:color="auto" w:val="clear"/>
            <w:tcMar>
              <w:top w:type="dxa" w:w="60"/>
              <w:left w:type="dxa" w:w="100"/>
              <w:bottom w:type="dxa" w:w="60"/>
              <w:right w:type="dxa" w:w="100"/>
            </w:tcMar>
            <w:vAlign w:val="top"/>
          </w:tcPr>
          <w:p>
            <w:r>
              <w:rPr>
                <w:sz w:val="16"/>
                <w:szCs w:val="16"/>
              </w:rPr>
              <w:t xml:space="preserve">A CATE basis from a process model lets records far from the decision region inform it; which merges remain worth making once the physics is in the model, and how to test that the physics is right before trusting the transfer.</w:t>
            </w:r>
          </w:p>
        </w:tc>
      </w:tr>
      <w:tr>
        <w:trPr>
          <w:cantSplit/>
        </w:trPr>
        <w:tc>
          <w:tcPr>
            <w:tcW w:type="dxa" w:w="500"/>
            <w:tcMar>
              <w:top w:type="dxa" w:w="60"/>
              <w:left w:type="dxa" w:w="100"/>
              <w:bottom w:type="dxa" w:w="60"/>
              <w:right w:type="dxa" w:w="100"/>
            </w:tcMar>
            <w:vAlign w:val="top"/>
          </w:tcPr>
          <w:p>
            <w:r>
              <w:rPr>
                <w:sz w:val="16"/>
                <w:szCs w:val="16"/>
              </w:rPr>
              <w:t xml:space="preserve">3</w:t>
            </w:r>
          </w:p>
        </w:tc>
        <w:tc>
          <w:tcPr>
            <w:tcW w:type="dxa" w:w="2500"/>
            <w:tcMar>
              <w:top w:type="dxa" w:w="60"/>
              <w:left w:type="dxa" w:w="100"/>
              <w:bottom w:type="dxa" w:w="60"/>
              <w:right w:type="dxa" w:w="100"/>
            </w:tcMar>
            <w:vAlign w:val="top"/>
          </w:tcPr>
          <w:p>
            <w:r>
              <w:rPr>
                <w:sz w:val="16"/>
                <w:szCs w:val="16"/>
              </w:rPr>
              <w:t xml:space="preserve">Merging under unmeasured confounding that differs by holder</w:t>
            </w:r>
          </w:p>
        </w:tc>
        <w:tc>
          <w:tcPr>
            <w:tcW w:type="dxa" w:w="1800"/>
            <w:tcMar>
              <w:top w:type="dxa" w:w="60"/>
              <w:left w:type="dxa" w:w="100"/>
              <w:bottom w:type="dxa" w:w="60"/>
              <w:right w:type="dxa" w:w="100"/>
            </w:tcMar>
            <w:vAlign w:val="top"/>
          </w:tcPr>
          <w:p>
            <w:r>
              <w:rPr>
                <w:sz w:val="16"/>
                <w:szCs w:val="16"/>
              </w:rPr>
              <w:t xml:space="preserve">[F1], [F2], [FR2]</w:t>
            </w:r>
          </w:p>
        </w:tc>
        <w:tc>
          <w:tcPr>
            <w:tcW w:type="dxa" w:w="4838"/>
            <w:tcMar>
              <w:top w:type="dxa" w:w="60"/>
              <w:left w:type="dxa" w:w="100"/>
              <w:bottom w:type="dxa" w:w="60"/>
              <w:right w:type="dxa" w:w="100"/>
            </w:tcMar>
            <w:vAlign w:val="top"/>
          </w:tcPr>
          <w:p>
            <w:r>
              <w:rPr>
                <w:sz w:val="16"/>
                <w:szCs w:val="16"/>
              </w:rPr>
              <w:t xml:space="preserve">Holders differ in why they pump hard; a value of a merge that accounts for holder-specific confounding and falsifies it before merging.</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4</w:t>
            </w:r>
          </w:p>
        </w:tc>
        <w:tc>
          <w:tcPr>
            <w:tcW w:type="dxa" w:w="2500"/>
            <w:shd w:fill="F7F9FC" w:color="auto" w:val="clear"/>
            <w:tcMar>
              <w:top w:type="dxa" w:w="60"/>
              <w:left w:type="dxa" w:w="100"/>
              <w:bottom w:type="dxa" w:w="60"/>
              <w:right w:type="dxa" w:w="100"/>
            </w:tcMar>
            <w:vAlign w:val="top"/>
          </w:tcPr>
          <w:p>
            <w:r>
              <w:rPr>
                <w:sz w:val="16"/>
                <w:szCs w:val="16"/>
              </w:rPr>
              <w:t xml:space="preserve">Privacy units that match the data</w:t>
            </w:r>
          </w:p>
        </w:tc>
        <w:tc>
          <w:tcPr>
            <w:tcW w:type="dxa" w:w="1800"/>
            <w:shd w:fill="F7F9FC" w:color="auto" w:val="clear"/>
            <w:tcMar>
              <w:top w:type="dxa" w:w="60"/>
              <w:left w:type="dxa" w:w="100"/>
              <w:bottom w:type="dxa" w:w="60"/>
              <w:right w:type="dxa" w:w="100"/>
            </w:tcMar>
            <w:vAlign w:val="top"/>
          </w:tcPr>
          <w:p>
            <w:r>
              <w:rPr>
                <w:sz w:val="16"/>
                <w:szCs w:val="16"/>
              </w:rPr>
              <w:t xml:space="preserve">[P1], [P3], [D2]</w:t>
            </w:r>
          </w:p>
        </w:tc>
        <w:tc>
          <w:tcPr>
            <w:tcW w:type="dxa" w:w="4838"/>
            <w:shd w:fill="F7F9FC" w:color="auto" w:val="clear"/>
            <w:tcMar>
              <w:top w:type="dxa" w:w="60"/>
              <w:left w:type="dxa" w:w="100"/>
              <w:bottom w:type="dxa" w:w="60"/>
              <w:right w:type="dxa" w:w="100"/>
            </w:tcMar>
            <w:vAlign w:val="top"/>
          </w:tcPr>
          <w:p>
            <w:r>
              <w:rPr>
                <w:sz w:val="16"/>
                <w:szCs w:val="16"/>
              </w:rPr>
              <w:t xml:space="preserve">One well with many seasons, or one owner with several wells, is the natural unit of privacy; canonical noise and private valuation at that unit without destroying the value of small coastal datasets.</w:t>
            </w:r>
          </w:p>
        </w:tc>
      </w:tr>
      <w:tr>
        <w:trPr>
          <w:cantSplit/>
        </w:trPr>
        <w:tc>
          <w:tcPr>
            <w:tcW w:type="dxa" w:w="500"/>
            <w:tcMar>
              <w:top w:type="dxa" w:w="60"/>
              <w:left w:type="dxa" w:w="100"/>
              <w:bottom w:type="dxa" w:w="60"/>
              <w:right w:type="dxa" w:w="100"/>
            </w:tcMar>
            <w:vAlign w:val="top"/>
          </w:tcPr>
          <w:p>
            <w:r>
              <w:rPr>
                <w:sz w:val="16"/>
                <w:szCs w:val="16"/>
              </w:rPr>
              <w:t xml:space="preserve">5</w:t>
            </w:r>
          </w:p>
        </w:tc>
        <w:tc>
          <w:tcPr>
            <w:tcW w:type="dxa" w:w="2500"/>
            <w:tcMar>
              <w:top w:type="dxa" w:w="60"/>
              <w:left w:type="dxa" w:w="100"/>
              <w:bottom w:type="dxa" w:w="60"/>
              <w:right w:type="dxa" w:w="100"/>
            </w:tcMar>
            <w:vAlign w:val="top"/>
          </w:tcPr>
          <w:p>
            <w:r>
              <w:rPr>
                <w:sz w:val="16"/>
                <w:szCs w:val="16"/>
              </w:rPr>
              <w:t xml:space="preserve">Incentives to share well records</w:t>
            </w:r>
          </w:p>
        </w:tc>
        <w:tc>
          <w:tcPr>
            <w:tcW w:type="dxa" w:w="1800"/>
            <w:tcMar>
              <w:top w:type="dxa" w:w="60"/>
              <w:left w:type="dxa" w:w="100"/>
              <w:bottom w:type="dxa" w:w="60"/>
              <w:right w:type="dxa" w:w="100"/>
            </w:tcMar>
            <w:vAlign w:val="top"/>
          </w:tcPr>
          <w:p>
            <w:r>
              <w:rPr>
                <w:sz w:val="16"/>
                <w:szCs w:val="16"/>
              </w:rPr>
              <w:t xml:space="preserve">[D3], [D4], [D5], [DR1]</w:t>
            </w:r>
          </w:p>
        </w:tc>
        <w:tc>
          <w:tcPr>
            <w:tcW w:type="dxa" w:w="4838"/>
            <w:tcMar>
              <w:top w:type="dxa" w:w="60"/>
              <w:left w:type="dxa" w:w="100"/>
              <w:bottom w:type="dxa" w:w="60"/>
              <w:right w:type="dxa" w:w="100"/>
            </w:tcMar>
            <w:vAlign w:val="top"/>
          </w:tcPr>
          <w:p>
            <w:r>
              <w:rPr>
                <w:sz w:val="16"/>
                <w:szCs w:val="16"/>
              </w:rPr>
              <w:t xml:space="preserve">Payments or data-for-data agreements that make holders report truthfully and share when the merge is worth it, with a decision value as the price.</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6</w:t>
            </w:r>
          </w:p>
        </w:tc>
        <w:tc>
          <w:tcPr>
            <w:tcW w:type="dxa" w:w="2500"/>
            <w:shd w:fill="F7F9FC" w:color="auto" w:val="clear"/>
            <w:tcMar>
              <w:top w:type="dxa" w:w="60"/>
              <w:left w:type="dxa" w:w="100"/>
              <w:bottom w:type="dxa" w:w="60"/>
              <w:right w:type="dxa" w:w="100"/>
            </w:tcMar>
            <w:vAlign w:val="top"/>
          </w:tcPr>
          <w:p>
            <w:r>
              <w:rPr>
                <w:sz w:val="16"/>
                <w:szCs w:val="16"/>
              </w:rPr>
              <w:t xml:space="preserve">Sequential merging</w:t>
            </w:r>
          </w:p>
        </w:tc>
        <w:tc>
          <w:tcPr>
            <w:tcW w:type="dxa" w:w="1800"/>
            <w:shd w:fill="F7F9FC" w:color="auto" w:val="clear"/>
            <w:tcMar>
              <w:top w:type="dxa" w:w="60"/>
              <w:left w:type="dxa" w:w="100"/>
              <w:bottom w:type="dxa" w:w="60"/>
              <w:right w:type="dxa" w:w="100"/>
            </w:tcMar>
            <w:vAlign w:val="top"/>
          </w:tcPr>
          <w:p>
            <w:r>
              <w:rPr>
                <w:sz w:val="16"/>
                <w:szCs w:val="16"/>
              </w:rPr>
              <w:t xml:space="preserve">[V2], [V3], [F5]</w:t>
            </w:r>
          </w:p>
        </w:tc>
        <w:tc>
          <w:tcPr>
            <w:tcW w:type="dxa" w:w="4838"/>
            <w:shd w:fill="F7F9FC" w:color="auto" w:val="clear"/>
            <w:tcMar>
              <w:top w:type="dxa" w:w="60"/>
              <w:left w:type="dxa" w:w="100"/>
              <w:bottom w:type="dxa" w:w="60"/>
              <w:right w:type="dxa" w:w="100"/>
            </w:tcMar>
            <w:vAlign w:val="top"/>
          </w:tcPr>
          <w:p>
            <w:r>
              <w:rPr>
                <w:sz w:val="16"/>
                <w:szCs w:val="16"/>
              </w:rPr>
              <w:t xml:space="preserve">Merge one holder, update, then value the next: a sequential policy whose stopping rule is the cost of the next merge.</w:t>
            </w:r>
          </w:p>
        </w:tc>
      </w:tr>
    </w:tbl>
    <w:p>
      <w:pPr>
        <w:pStyle w:val="Heading1"/>
        <w:pageBreakBefore/>
      </w:pPr>
      <w:r>
        <w:rPr>
          <w:color w:val="92400E"/>
        </w:rPr>
        <w:t xml:space="preserve">9. The proposed innovation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rPr>
          <w:b/>
          <w:bCs/>
        </w:rPr>
        <w:t xml:space="preserve">BASHKIMI-GO</w:t>
      </w:r>
      <w:r>
        <w:t xml:space="preserve"> (</w:t>
      </w:r>
      <w:r>
        <w:rPr>
          <w:i/>
          <w:iCs/>
        </w:rPr>
        <w:t xml:space="preserve">bashkimi</w:t>
      </w:r>
      <w:r>
        <w:t xml:space="preserve">: the merger) tells the Fushë-Kuqe water utility which institution's well records to merge with its own first, </w:t>
      </w:r>
      <w:r>
        <w:rPr>
          <w:i/>
          <w:iCs/>
        </w:rPr>
        <w:t xml:space="preserve">before any record is shared</w:t>
      </w:r>
      <w:r>
        <w:t xml:space="preserve">, and whether the merge is worth its cost at all. It extends the anchor paper [B1] in three ways. (1) It values a merge by the expected fall of the Bayes risk of the decision the records serve, which wells may keep pumping hard in summer, rather than by information about parameters; the value is in the units of the loss and needs only the candidate's Gram matrix (Propositions B1, B3). (2) Its CATE model is physics-informed: the groundwater model predicts how the effect of pumping on chloride grows near the saltwater toe, and a calibrated Gaussian field carries the error of that physics. (3) It computes the value on secret shares, nonlinear functions included, and makes it differentially private for each well-season record by clipping the information a record may carry (Proposition B4). On 200 plausible aquifers </w:t>
      </w:r>
      <w:r>
        <w:rPr>
          <w:b/>
          <w:bCs/>
        </w:rPr>
        <w:t xml:space="preserve">the physics-informed model without any merge already decides better (loss 0.502) than the generic model after the best possible merge (0.542)</w:t>
      </w:r>
      <w:r>
        <w:t xml:space="preserve">; the decision value picks merges as well as the anchor's EIG and clearly better than taking the largest dataset, and it alone can say </w:t>
      </w:r>
      <w:r>
        <w:rPr>
          <w:i/>
          <w:iCs/>
        </w:rPr>
        <w:t xml:space="preserve">no</w:t>
      </w:r>
      <w:r>
        <w:t xml:space="preserve">: when a merge costs 0.06 loss units it turns a net loss of 0.024 into a gain of 0.006. Secure computation reproduces the value to 1.4e-4 and the choice in 40 of 40 aquifers.</w:t>
      </w:r>
    </w:p>
    <w:p>
      <w:pPr>
        <w:pStyle w:val="Heading3"/>
      </w:pPr>
      <w:r>
        <w:rPr>
          <w:color w:val="1F3864"/>
        </w:rPr>
        <w:t xml:space="preserve">9.1 Who holds what, and what must be decided</w:t>
      </w:r>
    </w:p>
    <w:p>
      <w:pPr>
        <w:spacing w:after="120"/>
        <w:jc w:val="both"/>
      </w:pPr>
      <w:r>
        <w:t xml:space="preserve">The test is built on the Fushë-Kuqe sector model of the previous reviews (3,545 cells of 250 m, twelve zonal log-conductivities with a finer Gaussian field the zones cannot represent). In each plausible aquifer the effect of high summer pumping (1,500 m³/d more) on the seasonal change of log chloride at a well is </w:t>
      </w:r>
      <m:oMath>
        <m:r>
          <m:t>τ</m:t>
        </m:r>
        <m:d>
          <m:dPr>
            <m:begChr m:val="("/>
            <m:sepChr m:val=""/>
            <m:endChr m:val=")"/>
            <m:grow/>
          </m:dPr>
          <m:e>
            <m:r>
              <m:t>x</m:t>
            </m:r>
          </m:e>
        </m:d>
        <m:r>
          <m:rPr>
            <m:sty m:val="p"/>
          </m:rPr>
          <m:t>=</m:t>
        </m:r>
        <m:sSub>
          <m:e>
            <m:r>
              <m:t>γ</m:t>
            </m:r>
          </m:e>
          <m:sub>
            <m:r>
              <m:rPr>
                <m:nor/>
              </m:rPr>
              <m:t>Cl</m:t>
            </m:r>
          </m:sub>
        </m:sSub>
        <m:r>
          <m:t> </m:t>
        </m:r>
        <m:r>
          <m:t>Δ</m:t>
        </m:r>
        <m:r>
          <m:t>Q</m:t>
        </m:r>
        <m:r>
          <m:t> </m:t>
        </m:r>
        <m:sSub>
          <m:e>
            <m:d>
              <m:dPr>
                <m:begChr m:val="["/>
                <m:sepChr m:val=""/>
                <m:endChr m:val="]"/>
                <m:grow/>
              </m:dPr>
              <m:e>
                <m:sSup>
                  <m:e>
                    <m:r>
                      <m:t>A</m:t>
                    </m:r>
                  </m:e>
                  <m:sup>
                    <m:r>
                      <m:rPr>
                        <m:sty m:val="p"/>
                      </m:rPr>
                      <m:t>−</m:t>
                    </m:r>
                    <m:r>
                      <m:t>1</m:t>
                    </m:r>
                  </m:sup>
                </m:sSup>
              </m:e>
            </m:d>
          </m:e>
          <m:sub>
            <m:r>
              <m:t>x</m:t>
            </m:r>
            <m:r>
              <m:t>x</m:t>
            </m:r>
          </m:sub>
        </m:sSub>
        <m:r>
          <m:rPr>
            <m:sty m:val="p"/>
          </m:rPr>
          <m:t>exp</m:t>
        </m:r>
        <m:d>
          <m:dPr>
            <m:begChr m:val="("/>
            <m:sepChr m:val=""/>
            <m:endChr m:val=")"/>
            <m:grow/>
          </m:dPr>
          <m:e>
            <m:r>
              <m:rPr>
                <m:sty m:val="p"/>
              </m:rPr>
              <m:t>−</m:t>
            </m:r>
            <m:d>
              <m:dPr>
                <m:begChr m:val="("/>
                <m:sepChr m:val=""/>
                <m:endChr m:val=")"/>
                <m:grow/>
              </m:dPr>
              <m:e>
                <m:sSub>
                  <m:e>
                    <m:r>
                      <m:t>h</m:t>
                    </m:r>
                  </m:e>
                  <m:sub>
                    <m:r>
                      <m:t>n</m:t>
                    </m:r>
                  </m:sub>
                </m:sSub>
                <m:d>
                  <m:dPr>
                    <m:begChr m:val="("/>
                    <m:sepChr m:val=""/>
                    <m:endChr m:val=")"/>
                    <m:grow/>
                  </m:dPr>
                  <m:e>
                    <m:r>
                      <m:t>x</m:t>
                    </m:r>
                  </m:e>
                </m:d>
                <m:r>
                  <m:rPr>
                    <m:sty m:val="p"/>
                  </m:rPr>
                  <m:t>−</m:t>
                </m:r>
                <m:sSub>
                  <m:e>
                    <m:r>
                      <m:t>h</m:t>
                    </m:r>
                  </m:e>
                  <m:sub>
                    <m:r>
                      <m:t>c</m:t>
                    </m:r>
                  </m:sub>
                </m:sSub>
              </m:e>
            </m:d>
            <m:r>
              <m:rPr>
                <m:sty m:val="p"/>
              </m:rPr>
              <m:t>/</m:t>
            </m:r>
            <m:r>
              <m:t>λ</m:t>
            </m:r>
          </m:e>
        </m:d>
      </m:oMath>
      <w:r>
        <w:t xml:space="preserve">: the extra drawdown at the well, from the diagonal of the inverse flow matrix, weighted by how close the natural head </w:t>
      </w:r>
      <m:oMath>
        <m:sSub>
          <m:e>
            <m:r>
              <m:t>h</m:t>
            </m:r>
          </m:e>
          <m:sub>
            <m:r>
              <m:t>n</m:t>
            </m:r>
          </m:sub>
        </m:sSub>
      </m:oMath>
      <w:r>
        <w:t xml:space="preserve"> is to the Ghyben–Herzberg threshold </w:t>
      </w:r>
      <m:oMath>
        <m:sSub>
          <m:e>
            <m:r>
              <m:t>h</m:t>
            </m:r>
          </m:e>
          <m:sub>
            <m:r>
              <m:t>c</m:t>
            </m:r>
          </m:sub>
        </m:sSub>
        <m:r>
          <m:rPr>
            <m:sty m:val="p"/>
          </m:rPr>
          <m:t>=</m:t>
        </m:r>
        <m:r>
          <m:t>1</m:t>
        </m:r>
      </m:oMath>
      <w:r>
        <w:t xml:space="preserve"> m. The chemistry (</w:t>
      </w:r>
      <m:oMath>
        <m:sSub>
          <m:e>
            <m:r>
              <m:t>γ</m:t>
            </m:r>
          </m:e>
          <m:sub>
            <m:r>
              <m:rPr>
                <m:nor/>
              </m:rPr>
              <m:t>Cl</m:t>
            </m:r>
          </m:sub>
        </m:sSub>
      </m:oMath>
      <w:r>
        <w:t xml:space="preserve">, </w:t>
      </w:r>
      <m:oMath>
        <m:r>
          <m:t>λ</m:t>
        </m:r>
      </m:oMath>
      <w:r>
        <w:t xml:space="preserve">, the seasonal drift) is uncertain. Five holders keep their own records (Figure B1a): the water utility (the host; 20 inland supply wells, 60 well-seasons, 90% pumped high), the monitoring agency (60 inland wells, 300 records, half pumped high), private irrigators (30 wells 1.5–5 km from the sea, 120 records, 85% high), coastal hotels (8 wells within 1.5 km of the sea, 32 records, half high) and a research campaign (12 wells anywhere, 24 records, designed). Each record has the distance to the sea, the log transmissivity of the well's pumping test, the pumping level and the chloride change. The utility must decide, for 40 target wells 0.3–6 km from the sea, whether to allow high pumping (loss </w:t>
      </w:r>
      <m:oMath>
        <m:r>
          <m:t>L</m:t>
        </m:r>
        <m:sSup>
          <m:e>
            <m:d>
              <m:dPr>
                <m:begChr m:val="("/>
                <m:sepChr m:val=""/>
                <m:endChr m:val=")"/>
                <m:grow/>
              </m:dPr>
              <m:e>
                <m:r>
                  <m:t>τ</m:t>
                </m:r>
                <m:r>
                  <m:rPr>
                    <m:sty m:val="p"/>
                  </m:rPr>
                  <m:t>−</m:t>
                </m:r>
                <m:r>
                  <m:t>t</m:t>
                </m:r>
              </m:e>
            </m:d>
          </m:e>
          <m:sup>
            <m:r>
              <m:rPr>
                <m:nor/>
              </m:rPr>
              <m:t>+</m:t>
            </m:r>
          </m:sup>
        </m:sSup>
      </m:oMath>
      <w:r>
        <w:t xml:space="preserve"> with tolerance </w:t>
      </w:r>
      <m:oMath>
        <m:r>
          <m:t>t</m:t>
        </m:r>
        <m:r>
          <m:rPr>
            <m:sty m:val="p"/>
          </m:rPr>
          <m:t>=</m:t>
        </m:r>
        <m:r>
          <m:t>0.10</m:t>
        </m:r>
      </m:oMath>
      <w:r>
        <w:t xml:space="preserve">) or to cap it (loss </w:t>
      </w:r>
      <m:oMath>
        <m:r>
          <m:t>c</m:t>
        </m:r>
        <m:r>
          <m:rPr>
            <m:sty m:val="p"/>
          </m:rPr>
          <m:t>=</m:t>
        </m:r>
        <m:r>
          <m:t>0.03</m:t>
        </m:r>
      </m:oMath>
      <w:r>
        <w:t xml:space="preserve"> of water not supplied).</w:t>
      </w:r>
    </w:p>
    <w:p>
      <w:pPr>
        <w:spacing w:after="120"/>
        <w:jc w:val="both"/>
      </w:pPr>
      <w:r>
        <w:t xml:space="preserve">The Bayesian model is shared by all holders and linear in its parameters: </w:t>
      </w:r>
      <m:oMath>
        <m:r>
          <m:t>y</m:t>
        </m:r>
        <m:r>
          <m:rPr>
            <m:sty m:val="p"/>
          </m:rPr>
          <m:t>=</m:t>
        </m:r>
        <m:sSub>
          <m:e>
            <m:r>
              <m:t>ψ</m:t>
            </m:r>
          </m:e>
          <m:sub>
            <m:r>
              <m:t>b</m:t>
            </m:r>
          </m:sub>
        </m:sSub>
        <m:sSup>
          <m:e>
            <m:d>
              <m:dPr>
                <m:begChr m:val="("/>
                <m:sepChr m:val=""/>
                <m:endChr m:val=")"/>
                <m:grow/>
              </m:dPr>
              <m:e>
                <m:r>
                  <m:t>x</m:t>
                </m:r>
              </m:e>
            </m:d>
          </m:e>
          <m:sup>
            <m:r>
              <m:rPr>
                <m:sty m:val="p"/>
              </m:rPr>
              <m:t>⊤</m:t>
            </m:r>
          </m:sup>
        </m:sSup>
        <m:r>
          <m:t>β</m:t>
        </m:r>
        <m:r>
          <m:rPr>
            <m:sty m:val="p"/>
          </m:rPr>
          <m:t>+</m:t>
        </m:r>
        <m:r>
          <m:t>a</m:t>
        </m:r>
        <m:d>
          <m:dPr>
            <m:begChr m:val="["/>
            <m:sepChr m:val=""/>
            <m:endChr m:val="]"/>
            <m:grow/>
          </m:dPr>
          <m:e>
            <m:sSub>
              <m:e>
                <m:r>
                  <m:t>ψ</m:t>
                </m:r>
              </m:e>
              <m:sub>
                <m:r>
                  <m:t>t</m:t>
                </m:r>
              </m:sub>
            </m:sSub>
            <m:sSup>
              <m:e>
                <m:d>
                  <m:dPr>
                    <m:begChr m:val="("/>
                    <m:sepChr m:val=""/>
                    <m:endChr m:val=")"/>
                    <m:grow/>
                  </m:dPr>
                  <m:e>
                    <m:r>
                      <m:t>x</m:t>
                    </m:r>
                  </m:e>
                </m:d>
              </m:e>
              <m:sup>
                <m:r>
                  <m:rPr>
                    <m:sty m:val="p"/>
                  </m:rPr>
                  <m:t>⊤</m:t>
                </m:r>
              </m:sup>
            </m:sSup>
            <m:r>
              <m:t>γ</m:t>
            </m:r>
            <m:r>
              <m:rPr>
                <m:sty m:val="p"/>
              </m:rPr>
              <m:t>+</m:t>
            </m:r>
            <m:r>
              <m:t>s</m:t>
            </m:r>
            <m:d>
              <m:dPr>
                <m:begChr m:val="("/>
                <m:sepChr m:val=""/>
                <m:endChr m:val=")"/>
                <m:grow/>
              </m:dPr>
              <m:e>
                <m:r>
                  <m:t>x</m:t>
                </m:r>
              </m:e>
            </m:d>
            <m:r>
              <m:t>ρ</m:t>
            </m:r>
            <m:d>
              <m:dPr>
                <m:begChr m:val="("/>
                <m:sepChr m:val=""/>
                <m:endChr m:val=")"/>
                <m:grow/>
              </m:dPr>
              <m:e>
                <m:r>
                  <m:t>x</m:t>
                </m:r>
              </m:e>
            </m:d>
            <m:r>
              <m:rPr>
                <m:sty m:val="p"/>
              </m:rPr>
              <m:t>+</m:t>
            </m:r>
            <m:r>
              <m:t>s</m:t>
            </m:r>
            <m:d>
              <m:dPr>
                <m:begChr m:val="("/>
                <m:sepChr m:val=""/>
                <m:endChr m:val=")"/>
                <m:grow/>
              </m:dPr>
              <m:e>
                <m:r>
                  <m:t>x</m:t>
                </m:r>
              </m:e>
            </m:d>
            <m:r>
              <m:t>ν</m:t>
            </m:r>
            <m:d>
              <m:dPr>
                <m:begChr m:val="("/>
                <m:sepChr m:val=""/>
                <m:endChr m:val=")"/>
                <m:grow/>
              </m:dPr>
              <m:e>
                <m:r>
                  <m:t>x</m:t>
                </m:r>
              </m:e>
            </m:d>
          </m:e>
        </m:d>
        <m:r>
          <m:rPr>
            <m:sty m:val="p"/>
          </m:rPr>
          <m:t>+</m:t>
        </m:r>
        <m:r>
          <m:t>e</m:t>
        </m:r>
      </m:oMath>
      <w:r>
        <w:t xml:space="preserve">. The CATE basis </w:t>
      </w:r>
      <m:oMath>
        <m:sSub>
          <m:e>
            <m:r>
              <m:t>ψ</m:t>
            </m:r>
          </m:e>
          <m:sub>
            <m:r>
              <m:t>t</m:t>
            </m:r>
          </m:sub>
        </m:sSub>
      </m:oMath>
      <w:r>
        <w:t xml:space="preserve"> is </w:t>
      </w:r>
      <w:r>
        <w:rPr>
          <w:i/>
          <w:iCs/>
        </w:rPr>
        <w:t xml:space="preserve">physics-informed</w:t>
      </w:r>
      <w:r>
        <w:t xml:space="preserve">: it contains the effect the mean 12-zone model predicts for three decay lengths, with the self-drawdown corrected by the well's own pumping-test transmissivity. The relative error of that physics is a Gaussian field </w:t>
      </w:r>
      <m:oMath>
        <m:r>
          <m:t>ρ</m:t>
        </m:r>
      </m:oMath>
      <w:r>
        <w:t xml:space="preserve"> on an 87-node lattice of the coastal strip (predictive process [B17]) plus a nugget </w:t>
      </w:r>
      <m:oMath>
        <m:r>
          <m:t>ν</m:t>
        </m:r>
      </m:oMath>
      <w:r>
        <w:t xml:space="preserve">, with scale and range calibrated on 400 physical draws (approximation-error approach [B12]); 95 parameters in all. A second, </w:t>
      </w:r>
      <w:r>
        <w:rPr>
          <w:i/>
          <w:iCs/>
        </w:rPr>
        <w:t xml:space="preserve">generic</w:t>
      </w:r>
      <w:r>
        <w:t xml:space="preserve"> model replaces </w:t>
      </w:r>
      <m:oMath>
        <m:sSub>
          <m:e>
            <m:r>
              <m:t>ψ</m:t>
            </m:r>
          </m:e>
          <m:sub>
            <m:r>
              <m:t>t</m:t>
            </m:r>
          </m:sub>
        </m:sSub>
      </m:oMath>
      <w:r>
        <w:t xml:space="preserve"> by a polynomial in log distance and log transmissivity, as in the anchor paper [B1].</w:t>
      </w:r>
    </w:p>
    <w:p>
      <w:pPr>
        <w:pStyle w:val="Heading3"/>
      </w:pPr>
      <w:r>
        <w:rPr>
          <w:color w:val="1F3864"/>
        </w:rPr>
        <w:t xml:space="preserve">9.2 Proposition B1: the value of a merge needs only a Gram matrix</w:t>
      </w:r>
    </w:p>
    <w:p>
      <w:pPr>
        <w:spacing w:after="120"/>
        <w:jc w:val="both"/>
      </w:pPr>
      <w:r>
        <w:rPr>
          <w:b/>
          <w:bCs/>
        </w:rPr>
        <w:t xml:space="preserve">Proposition B1 (outcome-free sufficiency).</w:t>
      </w:r>
      <w:r>
        <w:t xml:space="preserve"> In a Gaussian linear model whose noise variance </w:t>
      </w:r>
      <m:oMath>
        <m:sSubSup>
          <m:e>
            <m:r>
              <m:t>σ</m:t>
            </m:r>
          </m:e>
          <m:sub>
            <m:r>
              <m:t>i</m:t>
            </m:r>
          </m:sub>
          <m:sup>
            <m:r>
              <m:t>2</m:t>
            </m:r>
          </m:sup>
        </m:sSubSup>
      </m:oMath>
      <w:r>
        <w:t xml:space="preserve"> depends only on </w:t>
      </w:r>
      <m:oMath>
        <m:d>
          <m:dPr>
            <m:begChr m:val="("/>
            <m:sepChr m:val=""/>
            <m:endChr m:val=")"/>
            <m:grow/>
          </m:dPr>
          <m:e>
            <m:sSub>
              <m:e>
                <m:r>
                  <m:t>x</m:t>
                </m:r>
              </m:e>
              <m:sub>
                <m:r>
                  <m:t>i</m:t>
                </m:r>
              </m:sub>
            </m:sSub>
            <m:r>
              <m:rPr>
                <m:sty m:val="p"/>
              </m:rPr>
              <m:t>,</m:t>
            </m:r>
            <m:sSub>
              <m:e>
                <m:r>
                  <m:t>a</m:t>
                </m:r>
              </m:e>
              <m:sub>
                <m:r>
                  <m:t>i</m:t>
                </m:r>
              </m:sub>
            </m:sSub>
          </m:e>
        </m:d>
      </m:oMath>
      <w:r>
        <w:t xml:space="preserve">, the posterior covariance after a merge, the predictive law of the posterior mean, and therefore every criterion of this section (the EIG of all parameters, of the CATE parameters, of the target CATEs, and the decision value of Proposition B3) depend on the candidate's records only through its weighted Gram matrix </w:t>
      </w:r>
      <m:oMath>
        <m:r>
          <m:t>G</m:t>
        </m:r>
        <m:r>
          <m:rPr>
            <m:sty m:val="p"/>
          </m:rPr>
          <m:t>=</m:t>
        </m:r>
        <m:nary>
          <m:naryPr>
            <m:chr m:val="∑"/>
            <m:limLoc m:val="undOvr"/>
            <m:subHide m:val="off"/>
            <m:supHide m:val="on"/>
          </m:naryPr>
          <m:sub>
            <m:r>
              <m:t>i</m:t>
            </m:r>
          </m:sub>
          <m:sup>
            <m:r>
              <m:t>​</m:t>
            </m:r>
          </m:sup>
          <m:e>
            <m:sSub>
              <m:e>
                <m:r>
                  <m:t>ϕ</m:t>
                </m:r>
              </m:e>
              <m:sub>
                <m:r>
                  <m:t>i</m:t>
                </m:r>
              </m:sub>
            </m:sSub>
          </m:e>
        </m:nary>
        <m:sSubSup>
          <m:e>
            <m:r>
              <m:t>ϕ</m:t>
            </m:r>
          </m:e>
          <m:sub>
            <m:r>
              <m:t>i</m:t>
            </m:r>
          </m:sub>
          <m:sup>
            <m:r>
              <m:rPr>
                <m:sty m:val="p"/>
              </m:rPr>
              <m:t>⊤</m:t>
            </m:r>
          </m:sup>
        </m:sSubSup>
        <m:r>
          <m:rPr>
            <m:sty m:val="p"/>
          </m:rPr>
          <m:t>/</m:t>
        </m:r>
        <m:sSubSup>
          <m:e>
            <m:r>
              <m:t>σ</m:t>
            </m:r>
          </m:e>
          <m:sub>
            <m:r>
              <m:t>i</m:t>
            </m:r>
          </m:sub>
          <m:sup>
            <m:r>
              <m:t>2</m:t>
            </m:r>
          </m:sup>
        </m:sSubSup>
      </m:oMath>
      <w:r>
        <w:t xml:space="preserve">:</w:t>
      </w:r>
    </w:p>
    <w:p>
      <w:pPr>
        <w:pStyle w:val="Equation"/>
      </w:pPr>
      <m:oMathPara>
        <m:oMathParaPr>
          <m:jc m:val="center"/>
        </m:oMathParaPr>
        <m:oMath>
          <m:sSub>
            <m:e>
              <m:r>
                <m:t>Σ</m:t>
              </m:r>
            </m:e>
            <m:sub>
              <m:r>
                <m:t>1</m:t>
              </m:r>
            </m:sub>
          </m:sSub>
          <m:r>
            <m:rPr>
              <m:sty m:val="p"/>
            </m:rPr>
            <m:t>=</m:t>
          </m:r>
          <m:sSup>
            <m:e>
              <m:d>
                <m:dPr>
                  <m:begChr m:val="("/>
                  <m:sepChr m:val=""/>
                  <m:endChr m:val=")"/>
                  <m:grow/>
                </m:dPr>
                <m:e>
                  <m:sSubSup>
                    <m:e>
                      <m:r>
                        <m:t>Σ</m:t>
                      </m:r>
                    </m:e>
                    <m:sub>
                      <m:r>
                        <m:t>0</m:t>
                      </m:r>
                    </m:sub>
                    <m:sup>
                      <m:r>
                        <m:rPr>
                          <m:sty m:val="p"/>
                        </m:rPr>
                        <m:t>−</m:t>
                      </m:r>
                      <m:r>
                        <m:t>1</m:t>
                      </m:r>
                    </m:sup>
                  </m:sSubSup>
                  <m:r>
                    <m:rPr>
                      <m:sty m:val="p"/>
                    </m:rPr>
                    <m:t>+</m:t>
                  </m:r>
                  <m:r>
                    <m:t>G</m:t>
                  </m:r>
                </m:e>
              </m:d>
            </m:e>
            <m:sup>
              <m:r>
                <m:rPr>
                  <m:sty m:val="p"/>
                </m:rPr>
                <m:t>−</m:t>
              </m:r>
              <m:r>
                <m:t>1</m:t>
              </m:r>
            </m:sup>
          </m:sSup>
          <m:r>
            <m:rPr>
              <m:sty m:val="p"/>
            </m:rPr>
            <m:t>,</m:t>
          </m:r>
          <m:r>
            <m:t>  </m:t>
          </m:r>
          <m:sSub>
            <m:e>
              <m:r>
                <m:t>m</m:t>
              </m:r>
            </m:e>
            <m:sub>
              <m:r>
                <m:t>1</m:t>
              </m:r>
            </m:sub>
          </m:sSub>
          <m:r>
            <m:rPr>
              <m:sty m:val="p"/>
            </m:rPr>
            <m:t>∼</m:t>
          </m:r>
          <m:r>
            <m:rPr>
              <m:scr m:val="script"/>
              <m:sty m:val="p"/>
            </m:rPr>
            <m:t>N</m:t>
          </m:r>
          <m:d>
            <m:dPr>
              <m:begChr m:val="("/>
              <m:sepChr m:val=""/>
              <m:endChr m:val=")"/>
              <m:grow/>
            </m:dPr>
            <m:e>
              <m:sSub>
                <m:e>
                  <m:r>
                    <m:t>m</m:t>
                  </m:r>
                </m:e>
                <m:sub>
                  <m:r>
                    <m:t>0</m:t>
                  </m:r>
                </m:sub>
              </m:sSub>
              <m:r>
                <m:rPr>
                  <m:sty m:val="p"/>
                </m:rPr>
                <m:t>,</m:t>
              </m:r>
              <m:r>
                <m:t> </m:t>
              </m:r>
              <m:sSub>
                <m:e>
                  <m:r>
                    <m:t>Σ</m:t>
                  </m:r>
                </m:e>
                <m:sub>
                  <m:r>
                    <m:t>0</m:t>
                  </m:r>
                </m:sub>
              </m:sSub>
              <m:r>
                <m:rPr>
                  <m:sty m:val="p"/>
                </m:rPr>
                <m:t>−</m:t>
              </m:r>
              <m:sSub>
                <m:e>
                  <m:r>
                    <m:t>Σ</m:t>
                  </m:r>
                </m:e>
                <m:sub>
                  <m:r>
                    <m:t>1</m:t>
                  </m:r>
                </m:sub>
              </m:sSub>
            </m:e>
          </m:d>
          <m:r>
            <m:t> </m:t>
          </m:r>
          <m:r>
            <m:rPr>
              <m:nor/>
            </m:rPr>
            <m:t>before the outcomes are seen</m:t>
          </m:r>
        </m:oMath>
      </m:oMathPara>
    </w:p>
    <w:p>
      <w:pPr>
        <w:spacing w:after="120"/>
        <w:jc w:val="both"/>
      </w:pPr>
      <w:r>
        <w:rPr>
          <w:i/>
          <w:iCs/>
        </w:rPr>
        <w:t xml:space="preserve">Proof.</w:t>
      </w:r>
      <w:r>
        <w:t xml:space="preserve"> Gaussian conjugacy gives </w:t>
      </w:r>
      <m:oMath>
        <m:sSub>
          <m:e>
            <m:r>
              <m:t>Σ</m:t>
            </m:r>
          </m:e>
          <m:sub>
            <m:r>
              <m:t>1</m:t>
            </m:r>
          </m:sub>
        </m:sSub>
      </m:oMath>
      <w:r>
        <w:t xml:space="preserve">, which contains the records only through </w:t>
      </w:r>
      <m:oMath>
        <m:r>
          <m:t>G</m:t>
        </m:r>
      </m:oMath>
      <w:r>
        <w:t xml:space="preserve">. Before the outcomes are seen, </w:t>
      </w:r>
      <m:oMath>
        <m:sSub>
          <m:e>
            <m:r>
              <m:t>m</m:t>
            </m:r>
          </m:e>
          <m:sub>
            <m:r>
              <m:t>1</m:t>
            </m:r>
          </m:sub>
        </m:sSub>
        <m:r>
          <m:rPr>
            <m:sty m:val="p"/>
          </m:rPr>
          <m:t>−</m:t>
        </m:r>
        <m:sSub>
          <m:e>
            <m:r>
              <m:t>m</m:t>
            </m:r>
          </m:e>
          <m:sub>
            <m:r>
              <m:t>0</m:t>
            </m:r>
          </m:sub>
        </m:sSub>
        <m:r>
          <m:rPr>
            <m:sty m:val="p"/>
          </m:rPr>
          <m:t>=</m:t>
        </m:r>
        <m:sSub>
          <m:e>
            <m:r>
              <m:t>Σ</m:t>
            </m:r>
          </m:e>
          <m:sub>
            <m:r>
              <m:t>1</m:t>
            </m:r>
          </m:sub>
        </m:sSub>
        <m:sSup>
          <m:e>
            <m:r>
              <m:t>Φ</m:t>
            </m:r>
          </m:e>
          <m:sup>
            <m:r>
              <m:rPr>
                <m:sty m:val="p"/>
              </m:rPr>
              <m:t>⊤</m:t>
            </m:r>
          </m:sup>
        </m:sSup>
        <m:r>
          <m:t>W</m:t>
        </m:r>
        <m:d>
          <m:dPr>
            <m:begChr m:val="("/>
            <m:sepChr m:val=""/>
            <m:endChr m:val=")"/>
            <m:grow/>
          </m:dPr>
          <m:e>
            <m:r>
              <m:t>y</m:t>
            </m:r>
            <m:r>
              <m:rPr>
                <m:sty m:val="p"/>
              </m:rPr>
              <m:t>−</m:t>
            </m:r>
            <m:r>
              <m:t>Φ</m:t>
            </m:r>
            <m:sSub>
              <m:e>
                <m:r>
                  <m:t>m</m:t>
                </m:r>
              </m:e>
              <m:sub>
                <m:r>
                  <m:t>0</m:t>
                </m:r>
              </m:sub>
            </m:sSub>
          </m:e>
        </m:d>
      </m:oMath>
      <w:r>
        <w:t xml:space="preserve"> is Gaussian with mean zero, and by the law of total variance its covariance is the prior minus the expected posterior covariance, </w:t>
      </w:r>
      <m:oMath>
        <m:sSub>
          <m:e>
            <m:r>
              <m:t>Σ</m:t>
            </m:r>
          </m:e>
          <m:sub>
            <m:r>
              <m:t>0</m:t>
            </m:r>
          </m:sub>
        </m:sSub>
        <m:r>
          <m:rPr>
            <m:sty m:val="p"/>
          </m:rPr>
          <m:t>−</m:t>
        </m:r>
        <m:sSub>
          <m:e>
            <m:r>
              <m:t>Σ</m:t>
            </m:r>
          </m:e>
          <m:sub>
            <m:r>
              <m:t>1</m:t>
            </m:r>
          </m:sub>
        </m:sSub>
      </m:oMath>
      <w:r>
        <w:t xml:space="preserve">. </w:t>
      </w:r>
      <m:oMath>
        <m:r>
          <m:rPr>
            <m:sty m:val="p"/>
          </m:rPr>
          <m:t>▫</m:t>
        </m:r>
      </m:oMath>
      <w:r>
        <w:t xml:space="preserve"> So a holder never has to reveal outcomes, nor which well gave which record, for its merge to be valued: a </w:t>
      </w:r>
      <m:oMath>
        <m:r>
          <m:t>p</m:t>
        </m:r>
        <m:r>
          <m:rPr>
            <m:sty m:val="p"/>
          </m:rPr>
          <m:t>×</m:t>
        </m:r>
        <m:r>
          <m:t>p</m:t>
        </m:r>
      </m:oMath>
      <w:r>
        <w:t xml:space="preserve"> matrix suffices (</w:t>
      </w:r>
      <m:oMath>
        <m:r>
          <m:t>p</m:t>
        </m:r>
        <m:r>
          <m:rPr>
            <m:sty m:val="p"/>
          </m:rPr>
          <m:t>=</m:t>
        </m:r>
        <m:r>
          <m:t>95</m:t>
        </m:r>
      </m:oMath>
      <w:r>
        <w:t xml:space="preserve"> here). The anchor's EIG has the same property [B1]; it is the decision value that needs Propositions B3 and B4.</w:t>
      </w:r>
    </w:p>
    <w:p>
      <w:pPr>
        <w:pStyle w:val="Heading3"/>
      </w:pPr>
      <w:r>
        <w:rPr>
          <w:color w:val="1F3864"/>
        </w:rPr>
        <w:t xml:space="preserve">9.3 Proposition B2: overlap is a Schur complement, and merging is superadditive</w:t>
      </w:r>
    </w:p>
    <w:p>
      <w:pPr>
        <w:spacing w:after="120"/>
        <w:jc w:val="both"/>
      </w:pPr>
      <w:r>
        <w:rPr>
          <w:b/>
          <w:bCs/>
        </w:rPr>
        <w:t xml:space="preserve">Proposition B2 (overlap and synergy).</w:t>
      </w:r>
      <w:r>
        <w:t xml:space="preserve"> With a flat prior on the baseline coefficients, the information a dataset gives on the CATE coefficients is the Schur complement </w:t>
      </w:r>
      <m:oMath>
        <m:sSub>
          <m:e>
            <m:r>
              <m:t>I</m:t>
            </m:r>
          </m:e>
          <m:sub>
            <m:r>
              <m:t>γ</m:t>
            </m:r>
          </m:sub>
        </m:sSub>
        <m:d>
          <m:dPr>
            <m:begChr m:val="("/>
            <m:sepChr m:val=""/>
            <m:endChr m:val=")"/>
            <m:grow/>
          </m:dPr>
          <m:e>
            <m:r>
              <m:t>G</m:t>
            </m:r>
          </m:e>
        </m:d>
        <m:r>
          <m:rPr>
            <m:sty m:val="p"/>
          </m:rPr>
          <m:t>=</m:t>
        </m:r>
        <m:sSub>
          <m:e>
            <m:r>
              <m:t>G</m:t>
            </m:r>
          </m:e>
          <m:sub>
            <m:r>
              <m:t>γ</m:t>
            </m:r>
            <m:r>
              <m:t>γ</m:t>
            </m:r>
          </m:sub>
        </m:sSub>
        <m:r>
          <m:rPr>
            <m:sty m:val="p"/>
          </m:rPr>
          <m:t>−</m:t>
        </m:r>
        <m:sSub>
          <m:e>
            <m:r>
              <m:t>G</m:t>
            </m:r>
          </m:e>
          <m:sub>
            <m:r>
              <m:t>γ</m:t>
            </m:r>
            <m:r>
              <m:t>β</m:t>
            </m:r>
          </m:sub>
        </m:sSub>
        <m:sSubSup>
          <m:e>
            <m:r>
              <m:t>G</m:t>
            </m:r>
          </m:e>
          <m:sub>
            <m:r>
              <m:t>β</m:t>
            </m:r>
            <m:r>
              <m:t>β</m:t>
            </m:r>
          </m:sub>
          <m:sup>
            <m:r>
              <m:rPr>
                <m:nor/>
              </m:rPr>
              <m:t>+</m:t>
            </m:r>
          </m:sup>
        </m:sSubSup>
        <m:sSub>
          <m:e>
            <m:r>
              <m:t>G</m:t>
            </m:r>
          </m:e>
          <m:sub>
            <m:r>
              <m:t>β</m:t>
            </m:r>
            <m:r>
              <m:t>γ</m:t>
            </m:r>
          </m:sub>
        </m:sSub>
      </m:oMath>
      <w:r>
        <w:t xml:space="preserve">. It is positively homogeneous and concave in </w:t>
      </w:r>
      <m:oMath>
        <m:r>
          <m:t>G</m:t>
        </m:r>
      </m:oMath>
      <w:r>
        <w:t xml:space="preserve">, hence superadditive:</w:t>
      </w:r>
    </w:p>
    <w:p>
      <w:pPr>
        <w:pStyle w:val="Equation"/>
      </w:pPr>
      <m:oMathPara>
        <m:oMathParaPr>
          <m:jc m:val="center"/>
        </m:oMathParaPr>
        <m:oMath>
          <m:sSub>
            <m:e>
              <m:r>
                <m:t>I</m:t>
              </m:r>
            </m:e>
            <m:sub>
              <m:r>
                <m:t>γ</m:t>
              </m:r>
            </m:sub>
          </m:sSub>
          <m:d>
            <m:dPr>
              <m:begChr m:val="("/>
              <m:sepChr m:val=""/>
              <m:endChr m:val=")"/>
              <m:grow/>
            </m:dPr>
            <m:e>
              <m:sSub>
                <m:e>
                  <m:r>
                    <m:t>G</m:t>
                  </m:r>
                </m:e>
                <m:sub>
                  <m:r>
                    <m:t>H</m:t>
                  </m:r>
                </m:sub>
              </m:sSub>
              <m:r>
                <m:rPr>
                  <m:sty m:val="p"/>
                </m:rPr>
                <m:t>+</m:t>
              </m:r>
              <m:sSub>
                <m:e>
                  <m:r>
                    <m:t>G</m:t>
                  </m:r>
                </m:e>
                <m:sub>
                  <m:r>
                    <m:t>C</m:t>
                  </m:r>
                </m:sub>
              </m:sSub>
            </m:e>
          </m:d>
          <m:r>
            <m:rPr>
              <m:sty m:val="p"/>
            </m:rPr>
            <m:t>≽</m:t>
          </m:r>
          <m:sSub>
            <m:e>
              <m:r>
                <m:t>I</m:t>
              </m:r>
            </m:e>
            <m:sub>
              <m:r>
                <m:t>γ</m:t>
              </m:r>
            </m:sub>
          </m:sSub>
          <m:d>
            <m:dPr>
              <m:begChr m:val="("/>
              <m:sepChr m:val=""/>
              <m:endChr m:val=")"/>
              <m:grow/>
            </m:dPr>
            <m:e>
              <m:sSub>
                <m:e>
                  <m:r>
                    <m:t>G</m:t>
                  </m:r>
                </m:e>
                <m:sub>
                  <m:r>
                    <m:t>H</m:t>
                  </m:r>
                </m:sub>
              </m:sSub>
            </m:e>
          </m:d>
          <m:r>
            <m:rPr>
              <m:sty m:val="p"/>
            </m:rPr>
            <m:t>+</m:t>
          </m:r>
          <m:sSub>
            <m:e>
              <m:r>
                <m:t>I</m:t>
              </m:r>
            </m:e>
            <m:sub>
              <m:r>
                <m:t>γ</m:t>
              </m:r>
            </m:sub>
          </m:sSub>
          <m:d>
            <m:dPr>
              <m:begChr m:val="("/>
              <m:sepChr m:val=""/>
              <m:endChr m:val=")"/>
              <m:grow/>
            </m:dPr>
            <m:e>
              <m:sSub>
                <m:e>
                  <m:r>
                    <m:t>G</m:t>
                  </m:r>
                </m:e>
                <m:sub>
                  <m:r>
                    <m:t>C</m:t>
                  </m:r>
                </m:sub>
              </m:sSub>
            </m:e>
          </m:d>
          <m:r>
            <m:rPr>
              <m:sty m:val="p"/>
            </m:rPr>
            <m:t>,</m:t>
          </m:r>
          <m:r>
            <m:t>  </m:t>
          </m:r>
          <m:sSub>
            <m:e>
              <m:r>
                <m:t>I</m:t>
              </m:r>
            </m:e>
            <m:sub>
              <m:r>
                <m:t>γ</m:t>
              </m:r>
            </m:sub>
          </m:sSub>
          <m:r>
            <m:rPr>
              <m:sty m:val="p"/>
            </m:rPr>
            <m:t>=</m:t>
          </m:r>
          <m:sSub>
            <m:e>
              <m:r>
                <m:t>G</m:t>
              </m:r>
            </m:e>
            <m:sub>
              <m:r>
                <m:t>0</m:t>
              </m:r>
            </m:sub>
          </m:sSub>
          <m:r>
            <m:rPr>
              <m:sty m:val="p"/>
            </m:rPr>
            <m:t>:</m:t>
          </m:r>
          <m:sSub>
            <m:e>
              <m:r>
                <m:t>G</m:t>
              </m:r>
            </m:e>
            <m:sub>
              <m:r>
                <m:t>1</m:t>
              </m:r>
            </m:sub>
          </m:sSub>
          <m:r>
            <m:t> </m:t>
          </m:r>
          <m:r>
            <m:rPr>
              <m:nor/>
            </m:rPr>
            <m:t>when</m:t>
          </m:r>
          <m:r>
            <m:t> </m:t>
          </m:r>
          <m:sSub>
            <m:e>
              <m:r>
                <m:t>ψ</m:t>
              </m:r>
            </m:e>
            <m:sub>
              <m:r>
                <m:t>b</m:t>
              </m:r>
            </m:sub>
          </m:sSub>
          <m:r>
            <m:rPr>
              <m:sty m:val="p"/>
            </m:rPr>
            <m:t>=</m:t>
          </m:r>
          <m:sSub>
            <m:e>
              <m:r>
                <m:t>ψ</m:t>
              </m:r>
            </m:e>
            <m:sub>
              <m:r>
                <m:t>t</m:t>
              </m:r>
            </m:sub>
          </m:sSub>
        </m:oMath>
      </m:oMathPara>
    </w:p>
    <w:p>
      <w:pPr>
        <w:spacing w:after="120"/>
        <w:jc w:val="both"/>
      </w:pPr>
      <w:r>
        <w:rPr>
          <w:i/>
          <w:iCs/>
        </w:rPr>
        <w:t xml:space="preserve">Proof.</w:t>
      </w:r>
      <w:r>
        <w:t xml:space="preserve"> For any vector </w:t>
      </w:r>
      <m:oMath>
        <m:r>
          <m:t>v</m:t>
        </m:r>
      </m:oMath>
      <w:r>
        <w:t xml:space="preserve">, </w:t>
      </w:r>
      <m:oMath>
        <m:sSup>
          <m:e>
            <m:r>
              <m:t>v</m:t>
            </m:r>
          </m:e>
          <m:sup>
            <m:r>
              <m:rPr>
                <m:sty m:val="p"/>
              </m:rPr>
              <m:t>⊤</m:t>
            </m:r>
          </m:sup>
        </m:sSup>
        <m:sSub>
          <m:e>
            <m:r>
              <m:t>I</m:t>
            </m:r>
          </m:e>
          <m:sub>
            <m:r>
              <m:t>γ</m:t>
            </m:r>
          </m:sub>
        </m:sSub>
        <m:d>
          <m:dPr>
            <m:begChr m:val="("/>
            <m:sepChr m:val=""/>
            <m:endChr m:val=")"/>
            <m:grow/>
          </m:dPr>
          <m:e>
            <m:r>
              <m:t>G</m:t>
            </m:r>
          </m:e>
        </m:d>
        <m:r>
          <m:t>v</m:t>
        </m:r>
        <m:r>
          <m:rPr>
            <m:sty m:val="p"/>
          </m:rPr>
          <m:t>=</m:t>
        </m:r>
        <m:sSub>
          <m:e>
            <m:r>
              <m:rPr>
                <m:sty m:val="p"/>
              </m:rPr>
              <m:t>min</m:t>
            </m:r>
          </m:e>
          <m:sub>
            <m:r>
              <m:t>w</m:t>
            </m:r>
          </m:sub>
        </m:sSub>
        <m:r>
          <m:t> </m:t>
        </m:r>
        <m:sSup>
          <m:e>
            <m:d>
              <m:dPr>
                <m:begChr m:val="("/>
                <m:sepChr m:val=""/>
                <m:endChr m:val=")"/>
                <m:grow/>
              </m:dPr>
              <m:e>
                <m:r>
                  <m:t>w</m:t>
                </m:r>
                <m:r>
                  <m:rPr>
                    <m:sty m:val="p"/>
                  </m:rPr>
                  <m:t>,</m:t>
                </m:r>
                <m:r>
                  <m:t>v</m:t>
                </m:r>
              </m:e>
            </m:d>
          </m:e>
          <m:sup>
            <m:r>
              <m:rPr>
                <m:sty m:val="p"/>
              </m:rPr>
              <m:t>⊤</m:t>
            </m:r>
          </m:sup>
        </m:sSup>
        <m:r>
          <m:t>G</m:t>
        </m:r>
        <m:r>
          <m:t> </m:t>
        </m:r>
        <m:d>
          <m:dPr>
            <m:begChr m:val="("/>
            <m:sepChr m:val=""/>
            <m:endChr m:val=")"/>
            <m:grow/>
          </m:dPr>
          <m:e>
            <m:r>
              <m:t>w</m:t>
            </m:r>
            <m:r>
              <m:rPr>
                <m:sty m:val="p"/>
              </m:rPr>
              <m:t>,</m:t>
            </m:r>
            <m:r>
              <m:t>v</m:t>
            </m:r>
          </m:e>
        </m:d>
      </m:oMath>
      <w:r>
        <w:t xml:space="preserve">, a minimum of functions linear in </w:t>
      </w:r>
      <m:oMath>
        <m:r>
          <m:t>G</m:t>
        </m:r>
      </m:oMath>
      <w:r>
        <w:t xml:space="preserve">, so it is concave in </w:t>
      </w:r>
      <m:oMath>
        <m:r>
          <m:t>G</m:t>
        </m:r>
      </m:oMath>
      <w:r>
        <w:t xml:space="preserve">; with </w:t>
      </w:r>
      <m:oMath>
        <m:sSub>
          <m:e>
            <m:r>
              <m:t>I</m:t>
            </m:r>
          </m:e>
          <m:sub>
            <m:r>
              <m:t>γ</m:t>
            </m:r>
          </m:sub>
        </m:sSub>
        <m:d>
          <m:dPr>
            <m:begChr m:val="("/>
            <m:sepChr m:val=""/>
            <m:endChr m:val=")"/>
            <m:grow/>
          </m:dPr>
          <m:e>
            <m:r>
              <m:t>t</m:t>
            </m:r>
            <m:r>
              <m:t>G</m:t>
            </m:r>
          </m:e>
        </m:d>
        <m:r>
          <m:rPr>
            <m:sty m:val="p"/>
          </m:rPr>
          <m:t>=</m:t>
        </m:r>
        <m:r>
          <m:t>t</m:t>
        </m:r>
        <m:sSub>
          <m:e>
            <m:r>
              <m:t>I</m:t>
            </m:r>
          </m:e>
          <m:sub>
            <m:r>
              <m:t>γ</m:t>
            </m:r>
          </m:sub>
        </m:sSub>
        <m:d>
          <m:dPr>
            <m:begChr m:val="("/>
            <m:sepChr m:val=""/>
            <m:endChr m:val=")"/>
            <m:grow/>
          </m:dPr>
          <m:e>
            <m:r>
              <m:t>G</m:t>
            </m:r>
          </m:e>
        </m:d>
      </m:oMath>
      <w:r>
        <w:t xml:space="preserve">, concavity gives </w:t>
      </w:r>
      <m:oMath>
        <m:sSub>
          <m:e>
            <m:r>
              <m:t>I</m:t>
            </m:r>
          </m:e>
          <m:sub>
            <m:r>
              <m:t>γ</m:t>
            </m:r>
          </m:sub>
        </m:sSub>
        <m:d>
          <m:dPr>
            <m:begChr m:val="("/>
            <m:sepChr m:val=""/>
            <m:endChr m:val=")"/>
            <m:grow/>
          </m:dPr>
          <m:e>
            <m:sSub>
              <m:e>
                <m:r>
                  <m:t>G</m:t>
                </m:r>
              </m:e>
              <m:sub>
                <m:r>
                  <m:t>H</m:t>
                </m:r>
              </m:sub>
            </m:sSub>
            <m:r>
              <m:rPr>
                <m:sty m:val="p"/>
              </m:rPr>
              <m:t>+</m:t>
            </m:r>
            <m:sSub>
              <m:e>
                <m:r>
                  <m:t>G</m:t>
                </m:r>
              </m:e>
              <m:sub>
                <m:r>
                  <m:t>C</m:t>
                </m:r>
              </m:sub>
            </m:sSub>
          </m:e>
        </m:d>
        <m:r>
          <m:rPr>
            <m:sty m:val="p"/>
          </m:rPr>
          <m:t>=</m:t>
        </m:r>
        <m:r>
          <m:t>2</m:t>
        </m:r>
        <m:sSub>
          <m:e>
            <m:r>
              <m:t>I</m:t>
            </m:r>
          </m:e>
          <m:sub>
            <m:r>
              <m:t>γ</m:t>
            </m:r>
          </m:sub>
        </m:sSub>
        <m:d>
          <m:dPr>
            <m:begChr m:val="("/>
            <m:sepChr m:val=""/>
            <m:endChr m:val=")"/>
            <m:grow/>
          </m:dPr>
          <m:e>
            <m:f>
              <m:fPr>
                <m:type m:val="lin"/>
              </m:fPr>
              <m:num>
                <m:r>
                  <m:t>1</m:t>
                </m:r>
              </m:num>
              <m:den>
                <m:r>
                  <m:t>2</m:t>
                </m:r>
              </m:den>
            </m:f>
            <m:d>
              <m:dPr>
                <m:begChr m:val="("/>
                <m:sepChr m:val=""/>
                <m:endChr m:val=")"/>
                <m:grow/>
              </m:dPr>
              <m:e>
                <m:sSub>
                  <m:e>
                    <m:r>
                      <m:t>G</m:t>
                    </m:r>
                  </m:e>
                  <m:sub>
                    <m:r>
                      <m:t>H</m:t>
                    </m:r>
                  </m:sub>
                </m:sSub>
                <m:r>
                  <m:rPr>
                    <m:sty m:val="p"/>
                  </m:rPr>
                  <m:t>+</m:t>
                </m:r>
                <m:sSub>
                  <m:e>
                    <m:r>
                      <m:t>G</m:t>
                    </m:r>
                  </m:e>
                  <m:sub>
                    <m:r>
                      <m:t>C</m:t>
                    </m:r>
                  </m:sub>
                </m:sSub>
              </m:e>
            </m:d>
          </m:e>
        </m:d>
        <m:r>
          <m:rPr>
            <m:sty m:val="p"/>
          </m:rPr>
          <m:t>≽</m:t>
        </m:r>
        <m:sSub>
          <m:e>
            <m:r>
              <m:t>I</m:t>
            </m:r>
          </m:e>
          <m:sub>
            <m:r>
              <m:t>γ</m:t>
            </m:r>
          </m:sub>
        </m:sSub>
        <m:d>
          <m:dPr>
            <m:begChr m:val="("/>
            <m:sepChr m:val=""/>
            <m:endChr m:val=")"/>
            <m:grow/>
          </m:dPr>
          <m:e>
            <m:sSub>
              <m:e>
                <m:r>
                  <m:t>G</m:t>
                </m:r>
              </m:e>
              <m:sub>
                <m:r>
                  <m:t>H</m:t>
                </m:r>
              </m:sub>
            </m:sSub>
          </m:e>
        </m:d>
        <m:r>
          <m:rPr>
            <m:sty m:val="p"/>
          </m:rPr>
          <m:t>+</m:t>
        </m:r>
        <m:sSub>
          <m:e>
            <m:r>
              <m:t>I</m:t>
            </m:r>
          </m:e>
          <m:sub>
            <m:r>
              <m:t>γ</m:t>
            </m:r>
          </m:sub>
        </m:sSub>
        <m:d>
          <m:dPr>
            <m:begChr m:val="("/>
            <m:sepChr m:val=""/>
            <m:endChr m:val=")"/>
            <m:grow/>
          </m:dPr>
          <m:e>
            <m:sSub>
              <m:e>
                <m:r>
                  <m:t>G</m:t>
                </m:r>
              </m:e>
              <m:sub>
                <m:r>
                  <m:t>C</m:t>
                </m:r>
              </m:sub>
            </m:sSub>
          </m:e>
        </m:d>
      </m:oMath>
      <w:r>
        <w:t xml:space="preserve"> [B14]. With equal features the blocks of </w:t>
      </w:r>
      <m:oMath>
        <m:r>
          <m:t>G</m:t>
        </m:r>
      </m:oMath>
      <w:r>
        <w:t xml:space="preserve"> are </w:t>
      </w:r>
      <m:oMath>
        <m:sSub>
          <m:e>
            <m:r>
              <m:t>G</m:t>
            </m:r>
          </m:e>
          <m:sub>
            <m:r>
              <m:t>β</m:t>
            </m:r>
            <m:r>
              <m:t>β</m:t>
            </m:r>
          </m:sub>
        </m:sSub>
        <m:r>
          <m:rPr>
            <m:sty m:val="p"/>
          </m:rPr>
          <m:t>=</m:t>
        </m:r>
        <m:sSub>
          <m:e>
            <m:r>
              <m:t>G</m:t>
            </m:r>
          </m:e>
          <m:sub>
            <m:r>
              <m:t>0</m:t>
            </m:r>
          </m:sub>
        </m:sSub>
        <m:r>
          <m:rPr>
            <m:sty m:val="p"/>
          </m:rPr>
          <m:t>+</m:t>
        </m:r>
        <m:sSub>
          <m:e>
            <m:r>
              <m:t>G</m:t>
            </m:r>
          </m:e>
          <m:sub>
            <m:r>
              <m:t>1</m:t>
            </m:r>
          </m:sub>
        </m:sSub>
      </m:oMath>
      <w:r>
        <w:t xml:space="preserve"> and </w:t>
      </w:r>
      <m:oMath>
        <m:sSub>
          <m:e>
            <m:r>
              <m:t>G</m:t>
            </m:r>
          </m:e>
          <m:sub>
            <m:r>
              <m:t>β</m:t>
            </m:r>
            <m:r>
              <m:t>γ</m:t>
            </m:r>
          </m:sub>
        </m:sSub>
        <m:r>
          <m:rPr>
            <m:sty m:val="p"/>
          </m:rPr>
          <m:t>=</m:t>
        </m:r>
        <m:sSub>
          <m:e>
            <m:r>
              <m:t>G</m:t>
            </m:r>
          </m:e>
          <m:sub>
            <m:r>
              <m:t>γ</m:t>
            </m:r>
            <m:r>
              <m:t>β</m:t>
            </m:r>
          </m:sub>
        </m:sSub>
        <m:r>
          <m:rPr>
            <m:sty m:val="p"/>
          </m:rPr>
          <m:t>=</m:t>
        </m:r>
        <m:sSub>
          <m:e>
            <m:r>
              <m:t>G</m:t>
            </m:r>
          </m:e>
          <m:sub>
            <m:r>
              <m:t>γ</m:t>
            </m:r>
            <m:r>
              <m:t>γ</m:t>
            </m:r>
          </m:sub>
        </m:sSub>
        <m:r>
          <m:rPr>
            <m:sty m:val="p"/>
          </m:rPr>
          <m:t>=</m:t>
        </m:r>
        <m:sSub>
          <m:e>
            <m:r>
              <m:t>G</m:t>
            </m:r>
          </m:e>
          <m:sub>
            <m:r>
              <m:t>1</m:t>
            </m:r>
          </m:sub>
        </m:sSub>
      </m:oMath>
      <w:r>
        <w:t xml:space="preserve">, so the Schur complement is </w:t>
      </w:r>
      <m:oMath>
        <m:sSub>
          <m:e>
            <m:r>
              <m:t>G</m:t>
            </m:r>
          </m:e>
          <m:sub>
            <m:r>
              <m:t>1</m:t>
            </m:r>
          </m:sub>
        </m:sSub>
        <m:r>
          <m:rPr>
            <m:sty m:val="p"/>
          </m:rPr>
          <m:t>−</m:t>
        </m:r>
        <m:sSub>
          <m:e>
            <m:r>
              <m:t>G</m:t>
            </m:r>
          </m:e>
          <m:sub>
            <m:r>
              <m:t>1</m:t>
            </m:r>
          </m:sub>
        </m:sSub>
        <m:sSup>
          <m:e>
            <m:d>
              <m:dPr>
                <m:begChr m:val="("/>
                <m:sepChr m:val=""/>
                <m:endChr m:val=")"/>
                <m:grow/>
              </m:dPr>
              <m:e>
                <m:sSub>
                  <m:e>
                    <m:r>
                      <m:t>G</m:t>
                    </m:r>
                  </m:e>
                  <m:sub>
                    <m:r>
                      <m:t>0</m:t>
                    </m:r>
                  </m:sub>
                </m:sSub>
                <m:r>
                  <m:rPr>
                    <m:sty m:val="p"/>
                  </m:rPr>
                  <m:t>+</m:t>
                </m:r>
                <m:sSub>
                  <m:e>
                    <m:r>
                      <m:t>G</m:t>
                    </m:r>
                  </m:e>
                  <m:sub>
                    <m:r>
                      <m:t>1</m:t>
                    </m:r>
                  </m:sub>
                </m:sSub>
              </m:e>
            </m:d>
          </m:e>
          <m:sup>
            <m:r>
              <m:rPr>
                <m:sty m:val="p"/>
              </m:rPr>
              <m:t>−</m:t>
            </m:r>
            <m:r>
              <m:t>1</m:t>
            </m:r>
          </m:sup>
        </m:sSup>
        <m:sSub>
          <m:e>
            <m:r>
              <m:t>G</m:t>
            </m:r>
          </m:e>
          <m:sub>
            <m:r>
              <m:t>1</m:t>
            </m:r>
          </m:sub>
        </m:sSub>
        <m:r>
          <m:rPr>
            <m:sty m:val="p"/>
          </m:rPr>
          <m:t>=</m:t>
        </m:r>
        <m:sSub>
          <m:e>
            <m:r>
              <m:t>G</m:t>
            </m:r>
          </m:e>
          <m:sub>
            <m:r>
              <m:t>1</m:t>
            </m:r>
          </m:sub>
        </m:sSub>
        <m:sSup>
          <m:e>
            <m:d>
              <m:dPr>
                <m:begChr m:val="("/>
                <m:sepChr m:val=""/>
                <m:endChr m:val=")"/>
                <m:grow/>
              </m:dPr>
              <m:e>
                <m:sSub>
                  <m:e>
                    <m:r>
                      <m:t>G</m:t>
                    </m:r>
                  </m:e>
                  <m:sub>
                    <m:r>
                      <m:t>0</m:t>
                    </m:r>
                  </m:sub>
                </m:sSub>
                <m:r>
                  <m:rPr>
                    <m:sty m:val="p"/>
                  </m:rPr>
                  <m:t>+</m:t>
                </m:r>
                <m:sSub>
                  <m:e>
                    <m:r>
                      <m:t>G</m:t>
                    </m:r>
                  </m:e>
                  <m:sub>
                    <m:r>
                      <m:t>1</m:t>
                    </m:r>
                  </m:sub>
                </m:sSub>
              </m:e>
            </m:d>
          </m:e>
          <m:sup>
            <m:r>
              <m:rPr>
                <m:sty m:val="p"/>
              </m:rPr>
              <m:t>−</m:t>
            </m:r>
            <m:r>
              <m:t>1</m:t>
            </m:r>
          </m:sup>
        </m:sSup>
        <m:sSub>
          <m:e>
            <m:r>
              <m:t>G</m:t>
            </m:r>
          </m:e>
          <m:sub>
            <m:r>
              <m:t>0</m:t>
            </m:r>
          </m:sub>
        </m:sSub>
      </m:oMath>
      <w:r>
        <w:t xml:space="preserve">, the parallel sum [B15]. </w:t>
      </w:r>
      <m:oMath>
        <m:r>
          <m:rPr>
            <m:sty m:val="p"/>
          </m:rPr>
          <m:t>▫</m:t>
        </m:r>
      </m:oMath>
      <w:r>
        <w:t xml:space="preserve"> The difference between the two sides is the information created by overlap: records of one holder supply the comparison group the other lacks.</w:t>
      </w:r>
    </w:p>
    <w:p>
      <w:pPr>
        <w:pStyle w:val="Heading3"/>
      </w:pPr>
      <w:r>
        <w:rPr>
          <w:color w:val="1F3864"/>
        </w:rPr>
        <w:t xml:space="preserve">9.4 Propositions B3 and B4: the decision value and its privacy</w:t>
      </w:r>
    </w:p>
    <w:p>
      <w:pPr>
        <w:spacing w:after="120"/>
        <w:jc w:val="both"/>
      </w:pPr>
      <w:r>
        <w:rPr>
          <w:b/>
          <w:bCs/>
        </w:rPr>
        <w:t xml:space="preserve">Proposition B3 (decision value of a merge).</w:t>
      </w:r>
      <w:r>
        <w:t xml:space="preserve"> Let target </w:t>
      </w:r>
      <m:oMath>
        <m:r>
          <m:t>j</m:t>
        </m:r>
      </m:oMath>
      <w:r>
        <w:t xml:space="preserve"> have CATE </w:t>
      </w:r>
      <m:oMath>
        <m:sSub>
          <m:e>
            <m:r>
              <m:t>τ</m:t>
            </m:r>
          </m:e>
          <m:sub>
            <m:r>
              <m:t>j</m:t>
            </m:r>
          </m:sub>
        </m:sSub>
        <m:r>
          <m:rPr>
            <m:sty m:val="p"/>
          </m:rPr>
          <m:t>=</m:t>
        </m:r>
        <m:sSubSup>
          <m:e>
            <m:r>
              <m:t>c</m:t>
            </m:r>
          </m:e>
          <m:sub>
            <m:r>
              <m:t>j</m:t>
            </m:r>
          </m:sub>
          <m:sup>
            <m:r>
              <m:rPr>
                <m:sty m:val="p"/>
              </m:rPr>
              <m:t>⊤</m:t>
            </m:r>
          </m:sup>
        </m:sSubSup>
        <m:r>
          <m:t>θ</m:t>
        </m:r>
        <m:r>
          <m:rPr>
            <m:sty m:val="p"/>
          </m:rPr>
          <m:t>+</m:t>
        </m:r>
        <m:sSub>
          <m:e>
            <m:r>
              <m:t>s</m:t>
            </m:r>
          </m:e>
          <m:sub>
            <m:r>
              <m:t>j</m:t>
            </m:r>
          </m:sub>
        </m:sSub>
        <m:sSub>
          <m:e>
            <m:r>
              <m:t>ν</m:t>
            </m:r>
          </m:e>
          <m:sub>
            <m:r>
              <m:t>j</m:t>
            </m:r>
          </m:sub>
        </m:sSub>
      </m:oMath>
      <w:r>
        <w:t xml:space="preserve"> with irreducible nugget variance </w:t>
      </w:r>
      <m:oMath>
        <m:sSub>
          <m:e>
            <m:r>
              <m:t>n</m:t>
            </m:r>
          </m:e>
          <m:sub>
            <m:r>
              <m:t>j</m:t>
            </m:r>
          </m:sub>
        </m:sSub>
      </m:oMath>
      <w:r>
        <w:t xml:space="preserve">, current mean </w:t>
      </w:r>
      <m:oMath>
        <m:sSub>
          <m:e>
            <m:r>
              <m:t>μ</m:t>
            </m:r>
          </m:e>
          <m:sub>
            <m:r>
              <m:t>j</m:t>
            </m:r>
          </m:sub>
        </m:sSub>
      </m:oMath>
      <w:r>
        <w:t xml:space="preserve"> and variance </w:t>
      </w:r>
      <m:oMath>
        <m:sSub>
          <m:e>
            <m:r>
              <m:t>v</m:t>
            </m:r>
          </m:e>
          <m:sub>
            <m:r>
              <m:t>0</m:t>
            </m:r>
            <m:r>
              <m:t>j</m:t>
            </m:r>
          </m:sub>
        </m:sSub>
      </m:oMath>
      <w:r>
        <w:t xml:space="preserve">, and post-merge variance </w:t>
      </w:r>
      <m:oMath>
        <m:sSub>
          <m:e>
            <m:r>
              <m:t>v</m:t>
            </m:r>
          </m:e>
          <m:sub>
            <m:r>
              <m:t>1</m:t>
            </m:r>
            <m:r>
              <m:t>j</m:t>
            </m:r>
          </m:sub>
        </m:sSub>
        <m:r>
          <m:rPr>
            <m:sty m:val="p"/>
          </m:rPr>
          <m:t>=</m:t>
        </m:r>
        <m:sSubSup>
          <m:e>
            <m:r>
              <m:t>c</m:t>
            </m:r>
          </m:e>
          <m:sub>
            <m:r>
              <m:t>j</m:t>
            </m:r>
          </m:sub>
          <m:sup>
            <m:r>
              <m:rPr>
                <m:sty m:val="p"/>
              </m:rPr>
              <m:t>⊤</m:t>
            </m:r>
          </m:sup>
        </m:sSubSup>
        <m:sSub>
          <m:e>
            <m:r>
              <m:t>Σ</m:t>
            </m:r>
          </m:e>
          <m:sub>
            <m:r>
              <m:t>1</m:t>
            </m:r>
          </m:sub>
        </m:sSub>
        <m:sSub>
          <m:e>
            <m:r>
              <m:t>c</m:t>
            </m:r>
          </m:e>
          <m:sub>
            <m:r>
              <m:t>j</m:t>
            </m:r>
          </m:sub>
        </m:sSub>
      </m:oMath>
      <w:r>
        <w:t xml:space="preserve">. With </w:t>
      </w:r>
      <m:oMath>
        <m:r>
          <m:t>ψ</m:t>
        </m:r>
        <m:d>
          <m:dPr>
            <m:begChr m:val="("/>
            <m:sepChr m:val=""/>
            <m:endChr m:val=")"/>
            <m:grow/>
          </m:dPr>
          <m:e>
            <m:r>
              <m:t>z</m:t>
            </m:r>
          </m:e>
        </m:d>
        <m:r>
          <m:rPr>
            <m:sty m:val="p"/>
          </m:rPr>
          <m:t>=</m:t>
        </m:r>
        <m:r>
          <m:t>φ</m:t>
        </m:r>
        <m:d>
          <m:dPr>
            <m:begChr m:val="("/>
            <m:sepChr m:val=""/>
            <m:endChr m:val=")"/>
            <m:grow/>
          </m:dPr>
          <m:e>
            <m:r>
              <m:t>z</m:t>
            </m:r>
          </m:e>
        </m:d>
        <m:r>
          <m:rPr>
            <m:sty m:val="p"/>
          </m:rPr>
          <m:t>+</m:t>
        </m:r>
        <m:r>
          <m:t>z</m:t>
        </m:r>
        <m:r>
          <m:t>Φ</m:t>
        </m:r>
        <m:d>
          <m:dPr>
            <m:begChr m:val="("/>
            <m:sepChr m:val=""/>
            <m:endChr m:val=")"/>
            <m:grow/>
          </m:dPr>
          <m:e>
            <m:r>
              <m:t>z</m:t>
            </m:r>
          </m:e>
        </m:d>
      </m:oMath>
      <w:r>
        <w:t xml:space="preserve"> and the Bayes risk </w:t>
      </w:r>
      <m:oMath>
        <m:r>
          <m:t>r</m:t>
        </m:r>
        <m:d>
          <m:dPr>
            <m:begChr m:val="("/>
            <m:sepChr m:val=""/>
            <m:endChr m:val=")"/>
            <m:grow/>
          </m:dPr>
          <m:e>
            <m:r>
              <m:t>μ</m:t>
            </m:r>
            <m:r>
              <m:rPr>
                <m:sty m:val="p"/>
              </m:rPr>
              <m:t>,</m:t>
            </m:r>
            <m:r>
              <m:t>v</m:t>
            </m:r>
          </m:e>
        </m:d>
        <m:r>
          <m:rPr>
            <m:sty m:val="p"/>
          </m:rPr>
          <m:t>=</m:t>
        </m:r>
        <m:r>
          <m:rPr>
            <m:sty m:val="p"/>
          </m:rPr>
          <m:t>min</m:t>
        </m:r>
        <m:d>
          <m:dPr>
            <m:begChr m:val="{"/>
            <m:sepChr m:val=""/>
            <m:endChr m:val="}"/>
            <m:grow/>
          </m:dPr>
          <m:e>
            <m:r>
              <m:t>c</m:t>
            </m:r>
            <m:r>
              <m:rPr>
                <m:sty m:val="p"/>
              </m:rPr>
              <m:t>,</m:t>
            </m:r>
            <m:r>
              <m:t> </m:t>
            </m:r>
            <m:r>
              <m:t>L</m:t>
            </m:r>
            <m:rad>
              <m:radPr>
                <m:degHide m:val="on"/>
              </m:radPr>
              <m:deg/>
              <m:e>
                <m:r>
                  <m:t>v</m:t>
                </m:r>
              </m:e>
            </m:rad>
            <m:r>
              <m:t> </m:t>
            </m:r>
            <m:r>
              <m:t>ψ</m:t>
            </m:r>
            <m:d>
              <m:dPr>
                <m:begChr m:val="("/>
                <m:sepChr m:val=""/>
                <m:endChr m:val=")"/>
                <m:grow/>
              </m:dPr>
              <m:e>
                <m:d>
                  <m:dPr>
                    <m:begChr m:val="("/>
                    <m:sepChr m:val=""/>
                    <m:endChr m:val=")"/>
                    <m:grow/>
                  </m:dPr>
                  <m:e>
                    <m:r>
                      <m:t>μ</m:t>
                    </m:r>
                    <m:r>
                      <m:rPr>
                        <m:sty m:val="p"/>
                      </m:rPr>
                      <m:t>−</m:t>
                    </m:r>
                    <m:r>
                      <m:t>t</m:t>
                    </m:r>
                  </m:e>
                </m:d>
                <m:r>
                  <m:rPr>
                    <m:sty m:val="p"/>
                  </m:rPr>
                  <m:t>/</m:t>
                </m:r>
                <m:rad>
                  <m:radPr>
                    <m:degHide m:val="on"/>
                  </m:radPr>
                  <m:deg/>
                  <m:e>
                    <m:r>
                      <m:t>v</m:t>
                    </m:r>
                  </m:e>
                </m:rad>
              </m:e>
            </m:d>
          </m:e>
        </m:d>
      </m:oMath>
      <w:r>
        <w:t xml:space="preserve">, the expected fall of the Bayes risk of the capping decision is</w:t>
      </w:r>
    </w:p>
    <w:p>
      <w:pPr>
        <w:pStyle w:val="Equation"/>
      </w:pPr>
      <m:oMathPara>
        <m:oMathParaPr>
          <m:jc m:val="center"/>
        </m:oMathParaPr>
        <m:oMath>
          <m:r>
            <m:t>V</m:t>
          </m:r>
          <m:d>
            <m:dPr>
              <m:begChr m:val="("/>
              <m:sepChr m:val=""/>
              <m:endChr m:val=")"/>
              <m:grow/>
            </m:dPr>
            <m:e>
              <m:r>
                <m:t>G</m:t>
              </m:r>
            </m:e>
          </m:d>
          <m:r>
            <m:rPr>
              <m:sty m:val="p"/>
            </m:rPr>
            <m:t>=</m:t>
          </m:r>
          <m:nary>
            <m:naryPr>
              <m:chr m:val="∑"/>
              <m:limLoc m:val="undOvr"/>
              <m:subHide m:val="off"/>
              <m:supHide m:val="on"/>
            </m:naryPr>
            <m:sub>
              <m:r>
                <m:t>j</m:t>
              </m:r>
            </m:sub>
            <m:sup>
              <m:r>
                <m:t>​</m:t>
              </m:r>
            </m:sup>
            <m:e>
              <m:d>
                <m:dPr>
                  <m:begChr m:val="["/>
                  <m:sepChr m:val=""/>
                  <m:endChr m:val="]"/>
                  <m:grow/>
                </m:dPr>
                <m:e>
                  <m:r>
                    <m:t>r</m:t>
                  </m:r>
                  <m:d>
                    <m:dPr>
                      <m:begChr m:val="("/>
                      <m:sepChr m:val=""/>
                      <m:endChr m:val=")"/>
                      <m:grow/>
                    </m:dPr>
                    <m:e>
                      <m:sSub>
                        <m:e>
                          <m:r>
                            <m:t>μ</m:t>
                          </m:r>
                        </m:e>
                        <m:sub>
                          <m:r>
                            <m:t>j</m:t>
                          </m:r>
                        </m:sub>
                      </m:sSub>
                      <m:r>
                        <m:rPr>
                          <m:sty m:val="p"/>
                        </m:rPr>
                        <m:t>,</m:t>
                      </m:r>
                      <m:sSub>
                        <m:e>
                          <m:r>
                            <m:t>v</m:t>
                          </m:r>
                        </m:e>
                        <m:sub>
                          <m:r>
                            <m:t>0</m:t>
                          </m:r>
                          <m:r>
                            <m:t>j</m:t>
                          </m:r>
                        </m:sub>
                      </m:sSub>
                      <m:r>
                        <m:rPr>
                          <m:sty m:val="p"/>
                        </m:rPr>
                        <m:t>+</m:t>
                      </m:r>
                      <m:sSub>
                        <m:e>
                          <m:r>
                            <m:t>n</m:t>
                          </m:r>
                        </m:e>
                        <m:sub>
                          <m:r>
                            <m:t>j</m:t>
                          </m:r>
                        </m:sub>
                      </m:sSub>
                    </m:e>
                  </m:d>
                  <m:r>
                    <m:rPr>
                      <m:sty m:val="p"/>
                    </m:rPr>
                    <m:t>−</m:t>
                  </m:r>
                  <m:sSub>
                    <m:e>
                      <m:r>
                        <m:rPr>
                          <m:scr m:val="double-struck"/>
                          <m:sty m:val="p"/>
                        </m:rPr>
                        <m:t>E</m:t>
                      </m:r>
                    </m:e>
                    <m:sub>
                      <m:r>
                        <m:t>Z</m:t>
                      </m:r>
                    </m:sub>
                  </m:sSub>
                  <m:r>
                    <m:t> </m:t>
                  </m:r>
                  <m:r>
                    <m:t>r</m:t>
                  </m:r>
                  <m:d>
                    <m:dPr>
                      <m:begChr m:val="("/>
                      <m:sepChr m:val=""/>
                      <m:endChr m:val=")"/>
                      <m:grow/>
                    </m:dPr>
                    <m:e>
                      <m:sSub>
                        <m:e>
                          <m:r>
                            <m:t>μ</m:t>
                          </m:r>
                        </m:e>
                        <m:sub>
                          <m:r>
                            <m:t>j</m:t>
                          </m:r>
                        </m:sub>
                      </m:sSub>
                      <m:r>
                        <m:rPr>
                          <m:sty m:val="p"/>
                        </m:rPr>
                        <m:t>+</m:t>
                      </m:r>
                      <m:sSub>
                        <m:e>
                          <m:r>
                            <m:t>s</m:t>
                          </m:r>
                        </m:e>
                        <m:sub>
                          <m:r>
                            <m:t>j</m:t>
                          </m:r>
                        </m:sub>
                      </m:sSub>
                      <m:r>
                        <m:t>Z</m:t>
                      </m:r>
                      <m:r>
                        <m:rPr>
                          <m:sty m:val="p"/>
                        </m:rPr>
                        <m:t>,</m:t>
                      </m:r>
                      <m:r>
                        <m:t> </m:t>
                      </m:r>
                      <m:sSub>
                        <m:e>
                          <m:r>
                            <m:t>v</m:t>
                          </m:r>
                        </m:e>
                        <m:sub>
                          <m:r>
                            <m:t>1</m:t>
                          </m:r>
                          <m:r>
                            <m:t>j</m:t>
                          </m:r>
                        </m:sub>
                      </m:sSub>
                      <m:r>
                        <m:rPr>
                          <m:sty m:val="p"/>
                        </m:rPr>
                        <m:t>+</m:t>
                      </m:r>
                      <m:sSub>
                        <m:e>
                          <m:r>
                            <m:t>n</m:t>
                          </m:r>
                        </m:e>
                        <m:sub>
                          <m:r>
                            <m:t>j</m:t>
                          </m:r>
                        </m:sub>
                      </m:sSub>
                    </m:e>
                  </m:d>
                </m:e>
              </m:d>
            </m:e>
          </m:nary>
          <m:r>
            <m:rPr>
              <m:sty m:val="p"/>
            </m:rPr>
            <m:t>,</m:t>
          </m:r>
          <m:r>
            <m:t>  </m:t>
          </m:r>
          <m:sSubSup>
            <m:e>
              <m:r>
                <m:t>s</m:t>
              </m:r>
            </m:e>
            <m:sub>
              <m:r>
                <m:t>j</m:t>
              </m:r>
            </m:sub>
            <m:sup>
              <m:r>
                <m:t>2</m:t>
              </m:r>
            </m:sup>
          </m:sSubSup>
          <m:r>
            <m:rPr>
              <m:sty m:val="p"/>
            </m:rPr>
            <m:t>=</m:t>
          </m:r>
          <m:sSub>
            <m:e>
              <m:r>
                <m:t>v</m:t>
              </m:r>
            </m:e>
            <m:sub>
              <m:r>
                <m:t>0</m:t>
              </m:r>
              <m:r>
                <m:t>j</m:t>
              </m:r>
            </m:sub>
          </m:sSub>
          <m:r>
            <m:rPr>
              <m:sty m:val="p"/>
            </m:rPr>
            <m:t>−</m:t>
          </m:r>
          <m:sSub>
            <m:e>
              <m:r>
                <m:t>v</m:t>
              </m:r>
            </m:e>
            <m:sub>
              <m:r>
                <m:t>1</m:t>
              </m:r>
              <m:r>
                <m:t>j</m:t>
              </m:r>
            </m:sub>
          </m:sSub>
          <m:r>
            <m:rPr>
              <m:sty m:val="p"/>
            </m:rPr>
            <m:t>,</m:t>
          </m:r>
          <m:r>
            <m:t> </m:t>
          </m:r>
          <m:r>
            <m:t>Z</m:t>
          </m:r>
          <m:r>
            <m:rPr>
              <m:sty m:val="p"/>
            </m:rPr>
            <m:t>∼</m:t>
          </m:r>
          <m:r>
            <m:rPr>
              <m:scr m:val="script"/>
              <m:sty m:val="p"/>
            </m:rPr>
            <m:t>N</m:t>
          </m:r>
          <m:d>
            <m:dPr>
              <m:begChr m:val="("/>
              <m:sepChr m:val=""/>
              <m:endChr m:val=")"/>
              <m:grow/>
            </m:dPr>
            <m:e>
              <m:r>
                <m:t>0</m:t>
              </m:r>
              <m:r>
                <m:rPr>
                  <m:sty m:val="p"/>
                </m:rPr>
                <m:t>,</m:t>
              </m:r>
              <m:r>
                <m:t>1</m:t>
              </m:r>
            </m:e>
          </m:d>
        </m:oMath>
      </m:oMathPara>
    </w:p>
    <w:p>
      <w:pPr>
        <w:spacing w:after="120"/>
        <w:jc w:val="both"/>
      </w:pPr>
      <w:r>
        <w:t xml:space="preserve">It is non-negative and non-decreasing in </w:t>
      </w:r>
      <m:oMath>
        <m:r>
          <m:t>G</m:t>
        </m:r>
      </m:oMath>
      <w:r>
        <w:t xml:space="preserve"> (Loewner order), it is in the units of the loss, so it can be compared with the cost of making the merge, and it is zero at every target whose decision no outcome of the merge can change. </w:t>
      </w:r>
      <w:r>
        <w:rPr>
          <w:i/>
          <w:iCs/>
        </w:rPr>
        <w:t xml:space="preserve">Proof.</w:t>
      </w:r>
      <w:r>
        <w:t xml:space="preserve"> </w:t>
      </w:r>
      <m:oMath>
        <m:r>
          <m:rPr>
            <m:scr m:val="double-struck"/>
            <m:sty m:val="p"/>
          </m:rPr>
          <m:t>E</m:t>
        </m:r>
        <m:sSup>
          <m:e>
            <m:d>
              <m:dPr>
                <m:begChr m:val="("/>
                <m:sepChr m:val=""/>
                <m:endChr m:val=")"/>
                <m:grow/>
              </m:dPr>
              <m:e>
                <m:r>
                  <m:t>τ</m:t>
                </m:r>
                <m:r>
                  <m:rPr>
                    <m:sty m:val="p"/>
                  </m:rPr>
                  <m:t>−</m:t>
                </m:r>
                <m:r>
                  <m:t>t</m:t>
                </m:r>
              </m:e>
            </m:d>
          </m:e>
          <m:sup>
            <m:r>
              <m:rPr>
                <m:nor/>
              </m:rPr>
              <m:t>+</m:t>
            </m:r>
          </m:sup>
        </m:sSup>
        <m:r>
          <m:rPr>
            <m:sty m:val="p"/>
          </m:rPr>
          <m:t>=</m:t>
        </m:r>
        <m:rad>
          <m:radPr>
            <m:degHide m:val="on"/>
          </m:radPr>
          <m:deg/>
          <m:e>
            <m:r>
              <m:t>v</m:t>
            </m:r>
          </m:e>
        </m:rad>
        <m:r>
          <m:t> </m:t>
        </m:r>
        <m:r>
          <m:t>ψ</m:t>
        </m:r>
        <m:d>
          <m:dPr>
            <m:begChr m:val="("/>
            <m:sepChr m:val=""/>
            <m:endChr m:val=")"/>
            <m:grow/>
          </m:dPr>
          <m:e>
            <m:d>
              <m:dPr>
                <m:begChr m:val="("/>
                <m:sepChr m:val=""/>
                <m:endChr m:val=")"/>
                <m:grow/>
              </m:dPr>
              <m:e>
                <m:r>
                  <m:t>μ</m:t>
                </m:r>
                <m:r>
                  <m:rPr>
                    <m:sty m:val="p"/>
                  </m:rPr>
                  <m:t>−</m:t>
                </m:r>
                <m:r>
                  <m:t>t</m:t>
                </m:r>
              </m:e>
            </m:d>
            <m:r>
              <m:rPr>
                <m:sty m:val="p"/>
              </m:rPr>
              <m:t>/</m:t>
            </m:r>
            <m:rad>
              <m:radPr>
                <m:degHide m:val="on"/>
              </m:radPr>
              <m:deg/>
              <m:e>
                <m:r>
                  <m:t>v</m:t>
                </m:r>
              </m:e>
            </m:rad>
          </m:e>
        </m:d>
      </m:oMath>
      <w:r>
        <w:t xml:space="preserve"> for </w:t>
      </w:r>
      <m:oMath>
        <m:r>
          <m:t>τ</m:t>
        </m:r>
        <m:r>
          <m:rPr>
            <m:sty m:val="p"/>
          </m:rPr>
          <m:t>∼</m:t>
        </m:r>
        <m:r>
          <m:rPr>
            <m:scr m:val="script"/>
            <m:sty m:val="p"/>
          </m:rPr>
          <m:t>N</m:t>
        </m:r>
        <m:d>
          <m:dPr>
            <m:begChr m:val="("/>
            <m:sepChr m:val=""/>
            <m:endChr m:val=")"/>
            <m:grow/>
          </m:dPr>
          <m:e>
            <m:r>
              <m:t>μ</m:t>
            </m:r>
            <m:r>
              <m:rPr>
                <m:sty m:val="p"/>
              </m:rPr>
              <m:t>,</m:t>
            </m:r>
            <m:r>
              <m:t>v</m:t>
            </m:r>
          </m:e>
        </m:d>
      </m:oMath>
      <w:r>
        <w:t xml:space="preserve">; Proposition B1 gives the predictive law of the target mean. The Bayes risk is a minimum of functions linear in the belief, hence concave, and the posterior averages to the prior, so </w:t>
      </w:r>
      <m:oMath>
        <m:r>
          <m:t>V</m:t>
        </m:r>
        <m:r>
          <m:rPr>
            <m:sty m:val="p"/>
          </m:rPr>
          <m:t>≥</m:t>
        </m:r>
        <m:r>
          <m:t>0</m:t>
        </m:r>
      </m:oMath>
      <w:r>
        <w:t xml:space="preserve"> by Jensen's inequality; </w:t>
      </w:r>
      <m:oMath>
        <m:r>
          <m:t>G</m:t>
        </m:r>
        <m:r>
          <m:rPr>
            <m:sty m:val="p"/>
          </m:rPr>
          <m:t>′</m:t>
        </m:r>
        <m:r>
          <m:rPr>
            <m:sty m:val="p"/>
          </m:rPr>
          <m:t>≼</m:t>
        </m:r>
        <m:r>
          <m:t>G</m:t>
        </m:r>
      </m:oMath>
      <w:r>
        <w:t xml:space="preserve"> means the experiment with </w:t>
      </w:r>
      <m:oMath>
        <m:r>
          <m:t>G</m:t>
        </m:r>
        <m:r>
          <m:rPr>
            <m:sty m:val="p"/>
          </m:rPr>
          <m:t>′</m:t>
        </m:r>
      </m:oMath>
      <w:r>
        <w:t xml:space="preserve"> is a garbling of the one with </w:t>
      </w:r>
      <m:oMath>
        <m:r>
          <m:t>G</m:t>
        </m:r>
      </m:oMath>
      <w:r>
        <w:t xml:space="preserve"> (add independent noise), so by Blackwell's theorem the larger </w:t>
      </w:r>
      <m:oMath>
        <m:r>
          <m:t>G</m:t>
        </m:r>
      </m:oMath>
      <w:r>
        <w:t xml:space="preserve"> is worth at least as much for this decision [B4]. </w:t>
      </w:r>
      <m:oMath>
        <m:r>
          <m:rPr>
            <m:sty m:val="p"/>
          </m:rPr>
          <m:t>▫</m:t>
        </m:r>
      </m:oMath>
      <w:r>
        <w:t xml:space="preserve"> The expectation over </w:t>
      </w:r>
      <m:oMath>
        <m:r>
          <m:t>Z</m:t>
        </m:r>
      </m:oMath>
      <w:r>
        <w:t xml:space="preserve"> is computed with 40 Gauss–Hermite nodes.</w:t>
      </w:r>
    </w:p>
    <w:p>
      <w:pPr>
        <w:spacing w:after="120"/>
        <w:jc w:val="both"/>
      </w:pPr>
      <w:r>
        <w:rPr>
          <w:b/>
          <w:bCs/>
        </w:rPr>
        <w:t xml:space="preserve">Proposition B4 (privacy of the decision value).</w:t>
      </w:r>
      <w:r>
        <w:t xml:space="preserve"> Let each record's whitened information be clipped, </w:t>
      </w:r>
      <m:oMath>
        <m:sSup>
          <m:e>
            <m:d>
              <m:dPr>
                <m:begChr m:val="∥"/>
                <m:sepChr m:val=""/>
                <m:endChr m:val="∥"/>
                <m:grow/>
              </m:dPr>
              <m:e>
                <m:sSubSup>
                  <m:e>
                    <m:r>
                      <m:t>L</m:t>
                    </m:r>
                  </m:e>
                  <m:sub>
                    <m:r>
                      <m:t>0</m:t>
                    </m:r>
                  </m:sub>
                  <m:sup>
                    <m:r>
                      <m:rPr>
                        <m:sty m:val="p"/>
                      </m:rPr>
                      <m:t>⊤</m:t>
                    </m:r>
                  </m:sup>
                </m:sSubSup>
                <m:sSub>
                  <m:e>
                    <m:r>
                      <m:t>ϕ</m:t>
                    </m:r>
                  </m:e>
                  <m:sub>
                    <m:r>
                      <m:t>i</m:t>
                    </m:r>
                  </m:sub>
                </m:sSub>
                <m:r>
                  <m:rPr>
                    <m:sty m:val="p"/>
                  </m:rPr>
                  <m:t>/</m:t>
                </m:r>
                <m:sSub>
                  <m:e>
                    <m:r>
                      <m:t>σ</m:t>
                    </m:r>
                  </m:e>
                  <m:sub>
                    <m:r>
                      <m:t>i</m:t>
                    </m:r>
                  </m:sub>
                </m:sSub>
              </m:e>
            </m:d>
          </m:e>
          <m:sup>
            <m:r>
              <m:t>2</m:t>
            </m:r>
          </m:sup>
        </m:sSup>
        <m:r>
          <m:rPr>
            <m:sty m:val="p"/>
          </m:rPr>
          <m:t>≤</m:t>
        </m:r>
        <m:r>
          <m:t>λ</m:t>
        </m:r>
      </m:oMath>
      <w:r>
        <w:t xml:space="preserve"> (</w:t>
      </w:r>
      <m:oMath>
        <m:sSub>
          <m:e>
            <m:r>
              <m:t>L</m:t>
            </m:r>
          </m:e>
          <m:sub>
            <m:r>
              <m:t>0</m:t>
            </m:r>
          </m:sub>
        </m:sSub>
        <m:sSubSup>
          <m:e>
            <m:r>
              <m:t>L</m:t>
            </m:r>
          </m:e>
          <m:sub>
            <m:r>
              <m:t>0</m:t>
            </m:r>
          </m:sub>
          <m:sup>
            <m:r>
              <m:rPr>
                <m:sty m:val="p"/>
              </m:rPr>
              <m:t>⊤</m:t>
            </m:r>
          </m:sup>
        </m:sSubSup>
        <m:r>
          <m:rPr>
            <m:sty m:val="p"/>
          </m:rPr>
          <m:t>=</m:t>
        </m:r>
        <m:sSub>
          <m:e>
            <m:r>
              <m:t>Σ</m:t>
            </m:r>
          </m:e>
          <m:sub>
            <m:r>
              <m:t>0</m:t>
            </m:r>
          </m:sub>
        </m:sSub>
      </m:oMath>
      <w:r>
        <w:t xml:space="preserve">), by down-weighting the few records above </w:t>
      </w:r>
      <m:oMath>
        <m:r>
          <m:t>λ</m:t>
        </m:r>
      </m:oMath>
      <w:r>
        <w:t xml:space="preserve">. Then (i) the clipped value never exceeds the true one, and (ii) adding or removing one record moves the preposterior variance </w:t>
      </w:r>
      <m:oMath>
        <m:sSub>
          <m:e>
            <m:r>
              <m:t>u</m:t>
            </m:r>
          </m:e>
          <m:sub>
            <m:r>
              <m:t>j</m:t>
            </m:r>
          </m:sub>
        </m:sSub>
        <m:r>
          <m:rPr>
            <m:sty m:val="p"/>
          </m:rPr>
          <m:t>=</m:t>
        </m:r>
        <m:sSubSup>
          <m:e>
            <m:r>
              <m:t>s</m:t>
            </m:r>
          </m:e>
          <m:sub>
            <m:r>
              <m:t>j</m:t>
            </m:r>
          </m:sub>
          <m:sup>
            <m:r>
              <m:t>2</m:t>
            </m:r>
          </m:sup>
        </m:sSubSup>
      </m:oMath>
      <w:r>
        <w:t xml:space="preserve"> of every target to at most </w:t>
      </w:r>
      <m:oMath>
        <m:sSub>
          <m:e>
            <m:r>
              <m:t>u</m:t>
            </m:r>
          </m:e>
          <m:sub>
            <m:r>
              <m:t>j</m:t>
            </m:r>
          </m:sub>
        </m:sSub>
        <m:r>
          <m:rPr>
            <m:sty m:val="p"/>
          </m:rPr>
          <m:t>+</m:t>
        </m:r>
        <m:r>
          <m:t>κ</m:t>
        </m:r>
        <m:d>
          <m:dPr>
            <m:begChr m:val="("/>
            <m:sepChr m:val=""/>
            <m:endChr m:val=")"/>
            <m:grow/>
          </m:dPr>
          <m:e>
            <m:sSub>
              <m:e>
                <m:r>
                  <m:t>v</m:t>
                </m:r>
              </m:e>
              <m:sub>
                <m:r>
                  <m:t>0</m:t>
                </m:r>
                <m:r>
                  <m:t>j</m:t>
                </m:r>
              </m:sub>
            </m:sSub>
            <m:r>
              <m:rPr>
                <m:sty m:val="p"/>
              </m:rPr>
              <m:t>−</m:t>
            </m:r>
            <m:sSub>
              <m:e>
                <m:r>
                  <m:t>u</m:t>
                </m:r>
              </m:e>
              <m:sub>
                <m:r>
                  <m:t>j</m:t>
                </m:r>
              </m:sub>
            </m:sSub>
          </m:e>
        </m:d>
      </m:oMath>
      <w:r>
        <w:t xml:space="preserve"> with </w:t>
      </w:r>
      <m:oMath>
        <m:r>
          <m:t>κ</m:t>
        </m:r>
        <m:r>
          <m:rPr>
            <m:sty m:val="p"/>
          </m:rPr>
          <m:t>=</m:t>
        </m:r>
        <m:r>
          <m:t>λ</m:t>
        </m:r>
        <m:r>
          <m:rPr>
            <m:sty m:val="p"/>
          </m:rPr>
          <m:t>/</m:t>
        </m:r>
        <m:d>
          <m:dPr>
            <m:begChr m:val="("/>
            <m:sepChr m:val=""/>
            <m:endChr m:val=")"/>
            <m:grow/>
          </m:dPr>
          <m:e>
            <m:r>
              <m:t>1</m:t>
            </m:r>
            <m:r>
              <m:rPr>
                <m:sty m:val="p"/>
              </m:rPr>
              <m:t>+</m:t>
            </m:r>
            <m:r>
              <m:t>λ</m:t>
            </m:r>
          </m:e>
        </m:d>
      </m:oMath>
      <w:r>
        <w:t xml:space="preserve">, so</w:t>
      </w:r>
    </w:p>
    <w:p>
      <w:pPr>
        <w:pStyle w:val="Equation"/>
      </w:pPr>
      <m:oMathPara>
        <m:oMathParaPr>
          <m:jc m:val="center"/>
        </m:oMathParaPr>
        <m:oMath>
          <m:d>
            <m:dPr>
              <m:begChr m:val="|"/>
              <m:sepChr m:val=""/>
              <m:endChr m:val="|"/>
              <m:grow/>
            </m:dPr>
            <m:e>
              <m:r>
                <m:t>V</m:t>
              </m:r>
              <m:d>
                <m:dPr>
                  <m:begChr m:val="("/>
                  <m:sepChr m:val=""/>
                  <m:endChr m:val=")"/>
                  <m:grow/>
                </m:dPr>
                <m:e>
                  <m:r>
                    <m:t>G</m:t>
                  </m:r>
                </m:e>
              </m:d>
              <m:r>
                <m:rPr>
                  <m:sty m:val="p"/>
                </m:rPr>
                <m:t>−</m:t>
              </m:r>
              <m:r>
                <m:t>V</m:t>
              </m:r>
              <m:d>
                <m:dPr>
                  <m:begChr m:val="("/>
                  <m:sepChr m:val=""/>
                  <m:endChr m:val=")"/>
                  <m:grow/>
                </m:dPr>
                <m:e>
                  <m:r>
                    <m:t>G</m:t>
                  </m:r>
                  <m:r>
                    <m:rPr>
                      <m:sty m:val="p"/>
                    </m:rPr>
                    <m:t>′</m:t>
                  </m:r>
                </m:e>
              </m:d>
            </m:e>
          </m:d>
          <m:r>
            <m:rPr>
              <m:sty m:val="p"/>
            </m:rPr>
            <m:t>≤</m:t>
          </m:r>
          <m:sSub>
            <m:e>
              <m:r>
                <m:t>Δ</m:t>
              </m:r>
            </m:e>
            <m:sub>
              <m:r>
                <m:t>V</m:t>
              </m:r>
            </m:sub>
          </m:sSub>
          <m:r>
            <m:rPr>
              <m:sty m:val="p"/>
            </m:rPr>
            <m:t>=</m:t>
          </m:r>
          <m:nary>
            <m:naryPr>
              <m:chr m:val="∑"/>
              <m:limLoc m:val="undOvr"/>
              <m:subHide m:val="off"/>
              <m:supHide m:val="on"/>
            </m:naryPr>
            <m:sub>
              <m:r>
                <m:t>j</m:t>
              </m:r>
            </m:sub>
            <m:sup>
              <m:r>
                <m:t>​</m:t>
              </m:r>
            </m:sup>
            <m:e>
              <m:limLow>
                <m:e>
                  <m:r>
                    <m:rPr>
                      <m:sty m:val="p"/>
                    </m:rPr>
                    <m:t>max</m:t>
                  </m:r>
                </m:e>
                <m:lim>
                  <m:r>
                    <m:t>0</m:t>
                  </m:r>
                  <m:r>
                    <m:rPr>
                      <m:sty m:val="p"/>
                    </m:rPr>
                    <m:t>≤</m:t>
                  </m:r>
                  <m:r>
                    <m:t>u</m:t>
                  </m:r>
                  <m:r>
                    <m:rPr>
                      <m:sty m:val="p"/>
                    </m:rPr>
                    <m:t>≤</m:t>
                  </m:r>
                  <m:sSub>
                    <m:e>
                      <m:r>
                        <m:t>v</m:t>
                      </m:r>
                    </m:e>
                    <m:sub>
                      <m:r>
                        <m:t>0</m:t>
                      </m:r>
                      <m:r>
                        <m:t>j</m:t>
                      </m:r>
                    </m:sub>
                  </m:sSub>
                </m:lim>
              </m:limLow>
            </m:e>
          </m:nary>
          <m:d>
            <m:dPr>
              <m:begChr m:val="["/>
              <m:sepChr m:val=""/>
              <m:endChr m:val="]"/>
              <m:grow/>
            </m:dPr>
            <m:e>
              <m:sSub>
                <m:e>
                  <m:r>
                    <m:t>g</m:t>
                  </m:r>
                </m:e>
                <m:sub>
                  <m:r>
                    <m:t>j</m:t>
                  </m:r>
                </m:sub>
              </m:sSub>
              <m:d>
                <m:dPr>
                  <m:begChr m:val="("/>
                  <m:sepChr m:val=""/>
                  <m:endChr m:val=")"/>
                  <m:grow/>
                </m:dPr>
                <m:e>
                  <m:r>
                    <m:t>u</m:t>
                  </m:r>
                  <m:r>
                    <m:rPr>
                      <m:sty m:val="p"/>
                    </m:rPr>
                    <m:t>+</m:t>
                  </m:r>
                  <m:r>
                    <m:t>κ</m:t>
                  </m:r>
                  <m:d>
                    <m:dPr>
                      <m:begChr m:val="("/>
                      <m:sepChr m:val=""/>
                      <m:endChr m:val=")"/>
                      <m:grow/>
                    </m:dPr>
                    <m:e>
                      <m:sSub>
                        <m:e>
                          <m:r>
                            <m:t>v</m:t>
                          </m:r>
                        </m:e>
                        <m:sub>
                          <m:r>
                            <m:t>0</m:t>
                          </m:r>
                          <m:r>
                            <m:t>j</m:t>
                          </m:r>
                        </m:sub>
                      </m:sSub>
                      <m:r>
                        <m:rPr>
                          <m:sty m:val="p"/>
                        </m:rPr>
                        <m:t>−</m:t>
                      </m:r>
                      <m:r>
                        <m:t>u</m:t>
                      </m:r>
                    </m:e>
                  </m:d>
                </m:e>
              </m:d>
              <m:r>
                <m:rPr>
                  <m:sty m:val="p"/>
                </m:rPr>
                <m:t>−</m:t>
              </m:r>
              <m:sSub>
                <m:e>
                  <m:r>
                    <m:t>g</m:t>
                  </m:r>
                </m:e>
                <m:sub>
                  <m:r>
                    <m:t>j</m:t>
                  </m:r>
                </m:sub>
              </m:sSub>
              <m:d>
                <m:dPr>
                  <m:begChr m:val="("/>
                  <m:sepChr m:val=""/>
                  <m:endChr m:val=")"/>
                  <m:grow/>
                </m:dPr>
                <m:e>
                  <m:r>
                    <m:t>u</m:t>
                  </m:r>
                </m:e>
              </m:d>
            </m:e>
          </m:d>
          <m:r>
            <m:rPr>
              <m:sty m:val="p"/>
            </m:rPr>
            <m:t>,</m:t>
          </m:r>
          <m:r>
            <m:t>  </m:t>
          </m:r>
          <m:r>
            <m:t>M</m:t>
          </m:r>
          <m:d>
            <m:dPr>
              <m:begChr m:val="("/>
              <m:sepChr m:val=""/>
              <m:endChr m:val=")"/>
              <m:grow/>
            </m:dPr>
            <m:e>
              <m:r>
                <m:t>G</m:t>
              </m:r>
            </m:e>
          </m:d>
          <m:r>
            <m:rPr>
              <m:sty m:val="p"/>
            </m:rPr>
            <m:t>=</m:t>
          </m:r>
          <m:r>
            <m:t>V</m:t>
          </m:r>
          <m:d>
            <m:dPr>
              <m:begChr m:val="("/>
              <m:sepChr m:val=""/>
              <m:endChr m:val=")"/>
              <m:grow/>
            </m:dPr>
            <m:e>
              <m:r>
                <m:t>G</m:t>
              </m:r>
            </m:e>
          </m:d>
          <m:r>
            <m:rPr>
              <m:sty m:val="p"/>
            </m:rPr>
            <m:t>+</m:t>
          </m:r>
          <m:r>
            <m:rPr>
              <m:scr m:val="script"/>
              <m:sty m:val="p"/>
            </m:rPr>
            <m:t>N</m:t>
          </m:r>
          <m:d>
            <m:dPr>
              <m:begChr m:val="("/>
              <m:sepChr m:val=""/>
              <m:endChr m:val=")"/>
              <m:grow/>
            </m:dPr>
            <m:e>
              <m:r>
                <m:t>0</m:t>
              </m:r>
              <m:r>
                <m:rPr>
                  <m:sty m:val="p"/>
                </m:rPr>
                <m:t>,</m:t>
              </m:r>
              <m:sSup>
                <m:e>
                  <m:d>
                    <m:dPr>
                      <m:begChr m:val="("/>
                      <m:sepChr m:val=""/>
                      <m:endChr m:val=")"/>
                      <m:grow/>
                    </m:dPr>
                    <m:e>
                      <m:r>
                        <m:t>c</m:t>
                      </m:r>
                      <m:d>
                        <m:dPr>
                          <m:begChr m:val="("/>
                          <m:sepChr m:val=""/>
                          <m:endChr m:val=")"/>
                          <m:grow/>
                        </m:dPr>
                        <m:e>
                          <m:r>
                            <m:t>ε</m:t>
                          </m:r>
                          <m:r>
                            <m:rPr>
                              <m:sty m:val="p"/>
                            </m:rPr>
                            <m:t>,</m:t>
                          </m:r>
                          <m:r>
                            <m:t>δ</m:t>
                          </m:r>
                        </m:e>
                      </m:d>
                      <m:sSub>
                        <m:e>
                          <m:r>
                            <m:t>Δ</m:t>
                          </m:r>
                        </m:e>
                        <m:sub>
                          <m:r>
                            <m:t>V</m:t>
                          </m:r>
                        </m:sub>
                      </m:sSub>
                    </m:e>
                  </m:d>
                </m:e>
                <m:sup>
                  <m:r>
                    <m:t>2</m:t>
                  </m:r>
                </m:sup>
              </m:sSup>
            </m:e>
          </m:d>
        </m:oMath>
      </m:oMathPara>
    </w:p>
    <w:p>
      <w:pPr>
        <w:spacing w:after="120"/>
        <w:jc w:val="both"/>
      </w:pPr>
      <w:r>
        <w:t xml:space="preserve">is </w:t>
      </w:r>
      <m:oMath>
        <m:d>
          <m:dPr>
            <m:begChr m:val="("/>
            <m:sepChr m:val=""/>
            <m:endChr m:val=")"/>
            <m:grow/>
          </m:dPr>
          <m:e>
            <m:r>
              <m:t>ε</m:t>
            </m:r>
            <m:r>
              <m:rPr>
                <m:sty m:val="p"/>
              </m:rPr>
              <m:t>,</m:t>
            </m:r>
            <m:r>
              <m:t>δ</m:t>
            </m:r>
          </m:e>
        </m:d>
      </m:oMath>
      <w:r>
        <w:t xml:space="preserve">-differentially private for the candidate's records, with </w:t>
      </w:r>
      <m:oMath>
        <m:sSub>
          <m:e>
            <m:r>
              <m:t>g</m:t>
            </m:r>
          </m:e>
          <m:sub>
            <m:r>
              <m:t>j</m:t>
            </m:r>
          </m:sub>
        </m:sSub>
        <m:d>
          <m:dPr>
            <m:begChr m:val="("/>
            <m:sepChr m:val=""/>
            <m:endChr m:val=")"/>
            <m:grow/>
          </m:dPr>
          <m:e>
            <m:r>
              <m:t>u</m:t>
            </m:r>
          </m:e>
        </m:d>
      </m:oMath>
      <w:r>
        <w:t xml:space="preserve"> the value at target </w:t>
      </w:r>
      <m:oMath>
        <m:r>
          <m:t>j</m:t>
        </m:r>
      </m:oMath>
      <w:r>
        <w:t xml:space="preserve"> as a function of </w:t>
      </w:r>
      <m:oMath>
        <m:r>
          <m:t>u</m:t>
        </m:r>
      </m:oMath>
      <w:r>
        <w:t xml:space="preserve"> and </w:t>
      </w:r>
      <m:oMath>
        <m:r>
          <m:t>c</m:t>
        </m:r>
        <m:d>
          <m:dPr>
            <m:begChr m:val="("/>
            <m:sepChr m:val=""/>
            <m:endChr m:val=")"/>
            <m:grow/>
          </m:dPr>
          <m:e>
            <m:r>
              <m:t>ε</m:t>
            </m:r>
            <m:r>
              <m:rPr>
                <m:sty m:val="p"/>
              </m:rPr>
              <m:t>,</m:t>
            </m:r>
            <m:r>
              <m:t>δ</m:t>
            </m:r>
          </m:e>
        </m:d>
      </m:oMath>
      <w:r>
        <w:t xml:space="preserve"> from the analytic Gaussian mechanism [B7]. </w:t>
      </w:r>
      <w:r>
        <w:rPr>
          <w:i/>
          <w:iCs/>
        </w:rPr>
        <w:t xml:space="preserve">Proof.</w:t>
      </w:r>
      <w:r>
        <w:t xml:space="preserve"> (i) clipping lowers </w:t>
      </w:r>
      <m:oMath>
        <m:r>
          <m:t>G</m:t>
        </m:r>
      </m:oMath>
      <w:r>
        <w:t xml:space="preserve"> in the Loewner order (Proposition B3). (ii) A record with whitened vector </w:t>
      </w:r>
      <m:oMath>
        <m:r>
          <m:t>r</m:t>
        </m:r>
      </m:oMath>
      <w:r>
        <w:t xml:space="preserve"> changes </w:t>
      </w:r>
      <m:oMath>
        <m:sSub>
          <m:e>
            <m:r>
              <m:t>u</m:t>
            </m:r>
          </m:e>
          <m:sub>
            <m:r>
              <m:t>j</m:t>
            </m:r>
          </m:sub>
        </m:sSub>
      </m:oMath>
      <w:r>
        <w:t xml:space="preserve"> by </w:t>
      </w:r>
      <m:oMath>
        <m:sSup>
          <m:e>
            <m:d>
              <m:dPr>
                <m:begChr m:val="("/>
                <m:sepChr m:val=""/>
                <m:endChr m:val=")"/>
                <m:grow/>
              </m:dPr>
              <m:e>
                <m:sSubSup>
                  <m:e>
                    <m:r>
                      <m:t>w</m:t>
                    </m:r>
                  </m:e>
                  <m:sub>
                    <m:r>
                      <m:t>j</m:t>
                    </m:r>
                  </m:sub>
                  <m:sup>
                    <m:r>
                      <m:rPr>
                        <m:sty m:val="p"/>
                      </m:rPr>
                      <m:t>⊤</m:t>
                    </m:r>
                  </m:sup>
                </m:sSubSup>
                <m:sSup>
                  <m:e>
                    <m:r>
                      <m:t>M</m:t>
                    </m:r>
                  </m:e>
                  <m:sup>
                    <m:r>
                      <m:rPr>
                        <m:sty m:val="p"/>
                      </m:rPr>
                      <m:t>−</m:t>
                    </m:r>
                    <m:r>
                      <m:t>1</m:t>
                    </m:r>
                  </m:sup>
                </m:sSup>
                <m:r>
                  <m:t>r</m:t>
                </m:r>
              </m:e>
            </m:d>
          </m:e>
          <m:sup>
            <m:r>
              <m:t>2</m:t>
            </m:r>
          </m:sup>
        </m:sSup>
        <m:r>
          <m:rPr>
            <m:sty m:val="p"/>
          </m:rPr>
          <m:t>/</m:t>
        </m:r>
        <m:d>
          <m:dPr>
            <m:begChr m:val="("/>
            <m:sepChr m:val=""/>
            <m:endChr m:val=")"/>
            <m:grow/>
          </m:dPr>
          <m:e>
            <m:r>
              <m:t>1</m:t>
            </m:r>
            <m:r>
              <m:rPr>
                <m:sty m:val="p"/>
              </m:rPr>
              <m:t>+</m:t>
            </m:r>
            <m:sSup>
              <m:e>
                <m:r>
                  <m:t>r</m:t>
                </m:r>
              </m:e>
              <m:sup>
                <m:r>
                  <m:rPr>
                    <m:sty m:val="p"/>
                  </m:rPr>
                  <m:t>⊤</m:t>
                </m:r>
              </m:sup>
            </m:sSup>
            <m:sSup>
              <m:e>
                <m:r>
                  <m:t>M</m:t>
                </m:r>
              </m:e>
              <m:sup>
                <m:r>
                  <m:rPr>
                    <m:sty m:val="p"/>
                  </m:rPr>
                  <m:t>−</m:t>
                </m:r>
                <m:r>
                  <m:t>1</m:t>
                </m:r>
              </m:sup>
            </m:sSup>
            <m:r>
              <m:t>r</m:t>
            </m:r>
          </m:e>
        </m:d>
      </m:oMath>
      <w:r>
        <w:t xml:space="preserve">, </w:t>
      </w:r>
      <m:oMath>
        <m:r>
          <m:t>M</m:t>
        </m:r>
        <m:r>
          <m:rPr>
            <m:sty m:val="p"/>
          </m:rPr>
          <m:t>=</m:t>
        </m:r>
        <m:r>
          <m:t>I</m:t>
        </m:r>
        <m:r>
          <m:rPr>
            <m:sty m:val="p"/>
          </m:rPr>
          <m:t>+</m:t>
        </m:r>
        <m:sSubSup>
          <m:e>
            <m:r>
              <m:t>L</m:t>
            </m:r>
          </m:e>
          <m:sub>
            <m:r>
              <m:t>0</m:t>
            </m:r>
          </m:sub>
          <m:sup>
            <m:r>
              <m:rPr>
                <m:sty m:val="p"/>
              </m:rPr>
              <m:t>⊤</m:t>
            </m:r>
          </m:sup>
        </m:sSubSup>
        <m:r>
          <m:t>G</m:t>
        </m:r>
        <m:sSub>
          <m:e>
            <m:r>
              <m:t>L</m:t>
            </m:r>
          </m:e>
          <m:sub>
            <m:r>
              <m:t>0</m:t>
            </m:r>
          </m:sub>
        </m:sSub>
        <m:r>
          <m:rPr>
            <m:sty m:val="p"/>
          </m:rPr>
          <m:t>≽</m:t>
        </m:r>
        <m:r>
          <m:t>I</m:t>
        </m:r>
      </m:oMath>
      <w:r>
        <w:t xml:space="preserve">, </w:t>
      </w:r>
      <m:oMath>
        <m:sSub>
          <m:e>
            <m:r>
              <m:t>w</m:t>
            </m:r>
          </m:e>
          <m:sub>
            <m:r>
              <m:t>j</m:t>
            </m:r>
          </m:sub>
        </m:sSub>
        <m:r>
          <m:rPr>
            <m:sty m:val="p"/>
          </m:rPr>
          <m:t>=</m:t>
        </m:r>
        <m:sSubSup>
          <m:e>
            <m:r>
              <m:t>L</m:t>
            </m:r>
          </m:e>
          <m:sub>
            <m:r>
              <m:t>0</m:t>
            </m:r>
          </m:sub>
          <m:sup>
            <m:r>
              <m:rPr>
                <m:sty m:val="p"/>
              </m:rPr>
              <m:t>⊤</m:t>
            </m:r>
          </m:sup>
        </m:sSubSup>
        <m:sSub>
          <m:e>
            <m:r>
              <m:t>c</m:t>
            </m:r>
          </m:e>
          <m:sub>
            <m:r>
              <m:t>j</m:t>
            </m:r>
          </m:sub>
        </m:sSub>
      </m:oMath>
      <w:r>
        <w:t xml:space="preserve">; by Cauchy–Schwarz in the </w:t>
      </w:r>
      <m:oMath>
        <m:sSup>
          <m:e>
            <m:r>
              <m:t>M</m:t>
            </m:r>
          </m:e>
          <m:sup>
            <m:r>
              <m:rPr>
                <m:sty m:val="p"/>
              </m:rPr>
              <m:t>−</m:t>
            </m:r>
            <m:r>
              <m:t>1</m:t>
            </m:r>
          </m:sup>
        </m:sSup>
      </m:oMath>
      <w:r>
        <w:t xml:space="preserve"> inner product this is at most </w:t>
      </w:r>
      <m:oMath>
        <m:sSub>
          <m:e>
            <m:r>
              <m:t>v</m:t>
            </m:r>
          </m:e>
          <m:sub>
            <m:r>
              <m:t>1</m:t>
            </m:r>
            <m:r>
              <m:t>j</m:t>
            </m:r>
          </m:sub>
        </m:sSub>
        <m:r>
          <m:t> </m:t>
        </m:r>
        <m:r>
          <m:t>x</m:t>
        </m:r>
        <m:r>
          <m:rPr>
            <m:sty m:val="p"/>
          </m:rPr>
          <m:t>/</m:t>
        </m:r>
        <m:d>
          <m:dPr>
            <m:begChr m:val="("/>
            <m:sepChr m:val=""/>
            <m:endChr m:val=")"/>
            <m:grow/>
          </m:dPr>
          <m:e>
            <m:r>
              <m:t>1</m:t>
            </m:r>
            <m:r>
              <m:rPr>
                <m:sty m:val="p"/>
              </m:rPr>
              <m:t>+</m:t>
            </m:r>
            <m:r>
              <m:t>x</m:t>
            </m:r>
          </m:e>
        </m:d>
      </m:oMath>
      <w:r>
        <w:t xml:space="preserve"> with </w:t>
      </w:r>
      <m:oMath>
        <m:r>
          <m:t>x</m:t>
        </m:r>
        <m:r>
          <m:rPr>
            <m:sty m:val="p"/>
          </m:rPr>
          <m:t>=</m:t>
        </m:r>
        <m:sSup>
          <m:e>
            <m:r>
              <m:t>r</m:t>
            </m:r>
          </m:e>
          <m:sup>
            <m:r>
              <m:rPr>
                <m:sty m:val="p"/>
              </m:rPr>
              <m:t>⊤</m:t>
            </m:r>
          </m:sup>
        </m:sSup>
        <m:sSup>
          <m:e>
            <m:r>
              <m:t>M</m:t>
            </m:r>
          </m:e>
          <m:sup>
            <m:r>
              <m:rPr>
                <m:sty m:val="p"/>
              </m:rPr>
              <m:t>−</m:t>
            </m:r>
            <m:r>
              <m:t>1</m:t>
            </m:r>
          </m:sup>
        </m:sSup>
        <m:r>
          <m:t>r</m:t>
        </m:r>
        <m:r>
          <m:rPr>
            <m:sty m:val="p"/>
          </m:rPr>
          <m:t>≤</m:t>
        </m:r>
        <m:r>
          <m:t>λ</m:t>
        </m:r>
      </m:oMath>
      <w:r>
        <w:t xml:space="preserve">, and </w:t>
      </w:r>
      <m:oMath>
        <m:sSub>
          <m:e>
            <m:r>
              <m:t>v</m:t>
            </m:r>
          </m:e>
          <m:sub>
            <m:r>
              <m:t>1</m:t>
            </m:r>
            <m:r>
              <m:t>j</m:t>
            </m:r>
          </m:sub>
        </m:sSub>
        <m:r>
          <m:rPr>
            <m:sty m:val="p"/>
          </m:rPr>
          <m:t>=</m:t>
        </m:r>
        <m:sSub>
          <m:e>
            <m:r>
              <m:t>v</m:t>
            </m:r>
          </m:e>
          <m:sub>
            <m:r>
              <m:t>0</m:t>
            </m:r>
            <m:r>
              <m:t>j</m:t>
            </m:r>
          </m:sub>
        </m:sSub>
        <m:r>
          <m:rPr>
            <m:sty m:val="p"/>
          </m:rPr>
          <m:t>−</m:t>
        </m:r>
        <m:sSub>
          <m:e>
            <m:r>
              <m:t>u</m:t>
            </m:r>
          </m:e>
          <m:sub>
            <m:r>
              <m:t>j</m:t>
            </m:r>
          </m:sub>
        </m:sSub>
      </m:oMath>
      <w:r>
        <w:t xml:space="preserve">; </w:t>
      </w:r>
      <m:oMath>
        <m:sSub>
          <m:e>
            <m:r>
              <m:t>g</m:t>
            </m:r>
          </m:e>
          <m:sub>
            <m:r>
              <m:t>j</m:t>
            </m:r>
          </m:sub>
        </m:sSub>
      </m:oMath>
      <w:r>
        <w:t xml:space="preserve"> is non-decreasing, which gives the bound. </w:t>
      </w:r>
      <m:oMath>
        <m:r>
          <m:rPr>
            <m:sty m:val="p"/>
          </m:rPr>
          <m:t>▫</m:t>
        </m:r>
      </m:oMath>
      <w:r>
        <w:t xml:space="preserve"> </w:t>
      </w:r>
      <m:oMath>
        <m:sSub>
          <m:e>
            <m:r>
              <m:t>Δ</m:t>
            </m:r>
          </m:e>
          <m:sub>
            <m:r>
              <m:t>V</m:t>
            </m:r>
          </m:sub>
        </m:sSub>
      </m:oMath>
      <w:r>
        <w:t xml:space="preserve"> depends only on the host's posterior and on </w:t>
      </w:r>
      <m:oMath>
        <m:r>
          <m:t>λ</m:t>
        </m:r>
      </m:oMath>
      <w:r>
        <w:t xml:space="preserve">, so it is fixed before the candidate's data enter. A second mechanism adds the noise one step earlier, to the clipped whitened information </w:t>
      </w:r>
      <m:oMath>
        <m:sSubSup>
          <m:e>
            <m:r>
              <m:t>L</m:t>
            </m:r>
          </m:e>
          <m:sub>
            <m:r>
              <m:t>0</m:t>
            </m:r>
          </m:sub>
          <m:sup>
            <m:r>
              <m:rPr>
                <m:sty m:val="p"/>
              </m:rPr>
              <m:t>⊤</m:t>
            </m:r>
          </m:sup>
        </m:sSubSup>
        <m:sSub>
          <m:e>
            <m:r>
              <m:t>G</m:t>
            </m:r>
          </m:e>
          <m:sub>
            <m:r>
              <m:t>c</m:t>
            </m:r>
          </m:sub>
        </m:sSub>
        <m:sSub>
          <m:e>
            <m:r>
              <m:t>L</m:t>
            </m:r>
          </m:e>
          <m:sub>
            <m:r>
              <m:t>0</m:t>
            </m:r>
          </m:sub>
        </m:sSub>
      </m:oMath>
      <w:r>
        <w:t xml:space="preserve"> (Frobenius sensitivity </w:t>
      </w:r>
      <m:oMath>
        <m:r>
          <m:t>λ</m:t>
        </m:r>
      </m:oMath>
      <w:r>
        <w:t xml:space="preserve">), and computes the value from it; it is private by post-processing. Both are run inside MPC, so neither the host's posterior nor the candidate's Gram matrix is revealed.</w:t>
      </w:r>
    </w:p>
    <w:p>
      <w:pPr>
        <w:pStyle w:val="Heading3"/>
      </w:pPr>
      <w:r>
        <w:rPr>
          <w:color w:val="1F3864"/>
        </w:rPr>
        <w:t xml:space="preserve">9.5 The secure computation</w:t>
      </w:r>
    </w:p>
    <w:p>
      <w:pPr>
        <w:spacing w:after="120"/>
        <w:jc w:val="both"/>
      </w:pPr>
      <w:r>
        <w:t xml:space="preserve">The candidate computes its Gram matrix locally and secret-shares it; the host shares </w:t>
      </w:r>
      <m:oMath>
        <m:sSub>
          <m:e>
            <m:r>
              <m:t>L</m:t>
            </m:r>
          </m:e>
          <m:sub>
            <m:r>
              <m:t>0</m:t>
            </m:r>
          </m:sub>
        </m:sSub>
      </m:oMath>
      <w:r>
        <w:t xml:space="preserve">, the target directions </w:t>
      </w:r>
      <m:oMath>
        <m:r>
          <m:t>W</m:t>
        </m:r>
        <m:r>
          <m:rPr>
            <m:sty m:val="p"/>
          </m:rPr>
          <m:t>=</m:t>
        </m:r>
        <m:sSubSup>
          <m:e>
            <m:r>
              <m:t>L</m:t>
            </m:r>
          </m:e>
          <m:sub>
            <m:r>
              <m:t>0</m:t>
            </m:r>
          </m:sub>
          <m:sup>
            <m:r>
              <m:rPr>
                <m:sty m:val="p"/>
              </m:rPr>
              <m:t>⊤</m:t>
            </m:r>
          </m:sup>
        </m:sSubSup>
        <m:sSup>
          <m:e>
            <m:r>
              <m:t>C</m:t>
            </m:r>
          </m:e>
          <m:sup>
            <m:r>
              <m:rPr>
                <m:sty m:val="p"/>
              </m:rPr>
              <m:t>⊤</m:t>
            </m:r>
          </m:sup>
        </m:sSup>
      </m:oMath>
      <w:r>
        <w:t xml:space="preserve">, and its target means and variances. On shares in </w:t>
      </w:r>
      <m:oMath>
        <m:sSub>
          <m:e>
            <m:r>
              <m:rPr>
                <m:scr m:val="double-struck"/>
                <m:sty m:val="p"/>
              </m:rPr>
              <m:t>Z</m:t>
            </m:r>
          </m:e>
          <m:sub>
            <m:sSup>
              <m:e>
                <m:r>
                  <m:t>2</m:t>
                </m:r>
              </m:e>
              <m:sup>
                <m:r>
                  <m:t>64</m:t>
                </m:r>
              </m:sup>
            </m:sSup>
          </m:sub>
        </m:sSub>
      </m:oMath>
      <w:r>
        <w:t xml:space="preserve"> with 20 fractional bits, the parties form </w:t>
      </w:r>
      <m:oMath>
        <m:r>
          <m:t>H</m:t>
        </m:r>
        <m:r>
          <m:rPr>
            <m:sty m:val="p"/>
          </m:rPr>
          <m:t>=</m:t>
        </m:r>
        <m:sSubSup>
          <m:e>
            <m:r>
              <m:t>L</m:t>
            </m:r>
          </m:e>
          <m:sub>
            <m:r>
              <m:t>0</m:t>
            </m:r>
          </m:sub>
          <m:sup>
            <m:r>
              <m:rPr>
                <m:sty m:val="p"/>
              </m:rPr>
              <m:t>⊤</m:t>
            </m:r>
          </m:sup>
        </m:sSubSup>
        <m:r>
          <m:t>G</m:t>
        </m:r>
        <m:sSub>
          <m:e>
            <m:r>
              <m:t>L</m:t>
            </m:r>
          </m:e>
          <m:sub>
            <m:r>
              <m:t>0</m:t>
            </m:r>
          </m:sub>
        </m:sSub>
      </m:oMath>
      <w:r>
        <w:t xml:space="preserve"> by Beaver products [B8], invert </w:t>
      </w:r>
      <m:oMath>
        <m:r>
          <m:t>M</m:t>
        </m:r>
        <m:r>
          <m:rPr>
            <m:sty m:val="p"/>
          </m:rPr>
          <m:t>=</m:t>
        </m:r>
        <m:r>
          <m:t>I</m:t>
        </m:r>
        <m:r>
          <m:rPr>
            <m:sty m:val="p"/>
          </m:rPr>
          <m:t>+</m:t>
        </m:r>
        <m:r>
          <m:t>H</m:t>
        </m:r>
      </m:oMath>
      <w:r>
        <w:t xml:space="preserve"> by Newton–Schulz iterations </w:t>
      </w:r>
      <m:oMath>
        <m:r>
          <m:t>X</m:t>
        </m:r>
        <m:r>
          <m:rPr>
            <m:sty m:val="p"/>
          </m:rPr>
          <m:t>←</m:t>
        </m:r>
        <m:r>
          <m:t>X</m:t>
        </m:r>
        <m:d>
          <m:dPr>
            <m:begChr m:val="("/>
            <m:sepChr m:val=""/>
            <m:endChr m:val=")"/>
            <m:grow/>
          </m:dPr>
          <m:e>
            <m:r>
              <m:t>2</m:t>
            </m:r>
            <m:r>
              <m:t>I</m:t>
            </m:r>
            <m:r>
              <m:rPr>
                <m:sty m:val="p"/>
              </m:rPr>
              <m:t>−</m:t>
            </m:r>
            <m:r>
              <m:t>N</m:t>
            </m:r>
            <m:r>
              <m:t>X</m:t>
            </m:r>
          </m:e>
        </m:d>
      </m:oMath>
      <w:r>
        <w:t xml:space="preserve"> on </w:t>
      </w:r>
      <m:oMath>
        <m:r>
          <m:t>N</m:t>
        </m:r>
        <m:r>
          <m:rPr>
            <m:sty m:val="p"/>
          </m:rPr>
          <m:t>=</m:t>
        </m:r>
        <m:r>
          <m:t>M</m:t>
        </m:r>
        <m:r>
          <m:rPr>
            <m:sty m:val="p"/>
          </m:rPr>
          <m:t>/</m:t>
        </m:r>
        <m:r>
          <m:t>c</m:t>
        </m:r>
      </m:oMath>
      <w:r>
        <w:t xml:space="preserve"> with a public bound </w:t>
      </w:r>
      <m:oMath>
        <m:r>
          <m:t>c</m:t>
        </m:r>
        <m:r>
          <m:rPr>
            <m:sty m:val="p"/>
          </m:rPr>
          <m:t>≥</m:t>
        </m:r>
        <m:sSub>
          <m:e>
            <m:r>
              <m:t>λ</m:t>
            </m:r>
          </m:e>
          <m:sub>
            <m:r>
              <m:rPr>
                <m:sty m:val="p"/>
              </m:rPr>
              <m:t>max</m:t>
            </m:r>
          </m:sub>
        </m:sSub>
        <m:d>
          <m:dPr>
            <m:begChr m:val="("/>
            <m:sepChr m:val=""/>
            <m:endChr m:val=")"/>
            <m:grow/>
          </m:dPr>
          <m:e>
            <m:r>
              <m:t>M</m:t>
            </m:r>
          </m:e>
        </m:d>
      </m:oMath>
      <w:r>
        <w:t xml:space="preserve"> from public geometry, read the target variances </w:t>
      </w:r>
      <m:oMath>
        <m:sSubSup>
          <m:e>
            <m:r>
              <m:t>w</m:t>
            </m:r>
          </m:e>
          <m:sub>
            <m:r>
              <m:t>j</m:t>
            </m:r>
          </m:sub>
          <m:sup>
            <m:r>
              <m:rPr>
                <m:sty m:val="p"/>
              </m:rPr>
              <m:t>⊤</m:t>
            </m:r>
          </m:sup>
        </m:sSubSup>
        <m:sSup>
          <m:e>
            <m:r>
              <m:t>M</m:t>
            </m:r>
          </m:e>
          <m:sup>
            <m:r>
              <m:rPr>
                <m:sty m:val="p"/>
              </m:rPr>
              <m:t>−</m:t>
            </m:r>
            <m:r>
              <m:t>1</m:t>
            </m:r>
          </m:sup>
        </m:sSup>
        <m:sSub>
          <m:e>
            <m:r>
              <m:t>w</m:t>
            </m:r>
          </m:e>
          <m:sub>
            <m:r>
              <m:t>j</m:t>
            </m:r>
          </m:sub>
        </m:sSub>
      </m:oMath>
      <w:r>
        <w:t xml:space="preserve">, take square roots by Newton iterations started from host-known bounds, evaluate </w:t>
      </w:r>
      <m:oMath>
        <m:r>
          <m:t>ψ</m:t>
        </m:r>
      </m:oMath>
      <w:r>
        <w:t xml:space="preserve"> by a 43-term Chebyshev series on </w:t>
      </w:r>
      <m:oMath>
        <m:d>
          <m:dPr>
            <m:begChr m:val="["/>
            <m:sepChr m:val=""/>
            <m:endChr m:val="]"/>
            <m:grow/>
          </m:dPr>
          <m:e>
            <m:r>
              <m:rPr>
                <m:sty m:val="p"/>
              </m:rPr>
              <m:t>−</m:t>
            </m:r>
            <m:r>
              <m:t>8</m:t>
            </m:r>
            <m:r>
              <m:rPr>
                <m:sty m:val="p"/>
              </m:rPr>
              <m:t>,</m:t>
            </m:r>
            <m:r>
              <m:t>8</m:t>
            </m:r>
          </m:e>
        </m:d>
      </m:oMath>
      <w:r>
        <w:t xml:space="preserve"> (error below </w:t>
      </w:r>
      <m:oMath>
        <m:sSup>
          <m:e>
            <m:r>
              <m:t>10</m:t>
            </m:r>
          </m:e>
          <m:sup>
            <m:r>
              <m:rPr>
                <m:sty m:val="p"/>
              </m:rPr>
              <m:t>−</m:t>
            </m:r>
            <m:r>
              <m:t>8</m:t>
            </m:r>
          </m:sup>
        </m:sSup>
      </m:oMath>
      <w:r>
        <w:t xml:space="preserve">), and sum over Gauss–Hermite nodes and targets. Truncations and the three comparisons (two clamps and the minimum in </w:t>
      </w:r>
      <m:oMath>
        <m:r>
          <m:t>r</m:t>
        </m:r>
      </m:oMath>
      <w:r>
        <w:t xml:space="preserve">) are dealer-assisted, as in the trusted-third-party mode of CrypTen [B9]; only the final value is opened, to the host, with its privacy noise added inside.</w:t>
      </w:r>
    </w:p>
    <w:p>
      <w:pPr>
        <w:pStyle w:val="Heading3"/>
      </w:pPr>
      <w:r>
        <w:rPr>
          <w:color w:val="1F3864"/>
        </w:rPr>
        <w:t xml:space="preserve">9.6 The test: 200 plausible aquifers</w:t>
      </w:r>
    </w:p>
    <w:p>
      <w:pPr>
        <w:spacing w:after="120"/>
        <w:jc w:val="both"/>
      </w:pPr>
      <w:r>
        <w:t xml:space="preserve">For each of 200 plausible aquifers the utility first updates the shared prior with its own 60 records and decides on the 40 targets (mean true loss 0.502 with the physics-informed model, 0.711 with the polynomial one; with the true effects known it would be 0.379). Each criterion then names one of the four candidates from Gram matrices only. The truth of the comparison is the </w:t>
      </w:r>
      <w:r>
        <w:rPr>
          <w:i/>
          <w:iCs/>
        </w:rPr>
        <w:t xml:space="preserve">expected</w:t>
      </w:r>
      <w:r>
        <w:t xml:space="preserve"> realised gain of each merge: the merge is made for real with 30 independent draws of the candidate's outcomes, the decisions are re-taken, and the loss is scored with the true effects. Table 9.1 describes the holders and Table 9.2 compares the criteria; the predicted decision value is calibrated (slope of realised on predicted gain 0.92 and 0.88 for the two models).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500"/>
        <w:gridCol w:w="750"/>
        <w:gridCol w:w="800"/>
        <w:gridCol w:w="2000"/>
        <w:gridCol w:w="1500"/>
        <w:gridCol w:w="900"/>
        <w:gridCol w:w="1400"/>
        <w:gridCol w:w="788"/>
      </w:tblGrid>
      <w:tr>
        <w:trPr>
          <w:cantSplit/>
          <w:tblHeader/>
        </w:trPr>
        <w:tc>
          <w:tcPr>
            <w:tcW w:type="dxa" w:w="1500"/>
            <w:shd w:fill="1F3864" w:color="auto" w:val="clear"/>
            <w:tcMar>
              <w:top w:type="dxa" w:w="60"/>
              <w:left w:type="dxa" w:w="100"/>
              <w:bottom w:type="dxa" w:w="60"/>
              <w:right w:type="dxa" w:w="100"/>
            </w:tcMar>
            <w:vAlign w:val="top"/>
          </w:tcPr>
          <w:p>
            <w:r>
              <w:rPr>
                <w:b/>
                <w:bCs/>
                <w:color w:val="FFFFFF"/>
                <w:sz w:val="14"/>
                <w:szCs w:val="14"/>
              </w:rPr>
              <w:t xml:space="preserve">Holder</w:t>
            </w:r>
          </w:p>
        </w:tc>
        <w:tc>
          <w:tcPr>
            <w:tcW w:type="dxa" w:w="750"/>
            <w:shd w:fill="1F3864" w:color="auto" w:val="clear"/>
            <w:tcMar>
              <w:top w:type="dxa" w:w="60"/>
              <w:left w:type="dxa" w:w="100"/>
              <w:bottom w:type="dxa" w:w="60"/>
              <w:right w:type="dxa" w:w="100"/>
            </w:tcMar>
            <w:vAlign w:val="top"/>
          </w:tcPr>
          <w:p>
            <w:r>
              <w:rPr>
                <w:b/>
                <w:bCs/>
                <w:color w:val="FFFFFF"/>
                <w:sz w:val="14"/>
                <w:szCs w:val="14"/>
              </w:rPr>
              <w:t xml:space="preserve">Records</w:t>
            </w:r>
          </w:p>
        </w:tc>
        <w:tc>
          <w:tcPr>
            <w:tcW w:type="dxa" w:w="800"/>
            <w:shd w:fill="1F3864" w:color="auto" w:val="clear"/>
            <w:tcMar>
              <w:top w:type="dxa" w:w="60"/>
              <w:left w:type="dxa" w:w="100"/>
              <w:bottom w:type="dxa" w:w="60"/>
              <w:right w:type="dxa" w:w="100"/>
            </w:tcMar>
            <w:vAlign w:val="top"/>
          </w:tcPr>
          <w:p>
            <w:r>
              <w:rPr>
                <w:b/>
                <w:bCs/>
                <w:color w:val="FFFFFF"/>
                <w:sz w:val="14"/>
                <w:szCs w:val="14"/>
              </w:rPr>
              <w:t xml:space="preserve">Pumped high</w:t>
            </w:r>
          </w:p>
        </w:tc>
        <w:tc>
          <w:tcPr>
            <w:tcW w:type="dxa" w:w="2000"/>
            <w:shd w:fill="1F3864" w:color="auto" w:val="clear"/>
            <w:tcMar>
              <w:top w:type="dxa" w:w="60"/>
              <w:left w:type="dxa" w:w="100"/>
              <w:bottom w:type="dxa" w:w="60"/>
              <w:right w:type="dxa" w:w="100"/>
            </w:tcMar>
            <w:vAlign w:val="top"/>
          </w:tcPr>
          <w:p>
            <w:r>
              <w:rPr>
                <w:b/>
                <w:bCs/>
                <w:color w:val="FFFFFF"/>
                <w:sz w:val="14"/>
                <w:szCs w:val="14"/>
              </w:rPr>
              <w:t xml:space="preserve">CATE information: alone / merged with host / synergy (nats)</w:t>
            </w:r>
          </w:p>
        </w:tc>
        <w:tc>
          <w:tcPr>
            <w:tcW w:type="dxa" w:w="1500"/>
            <w:shd w:fill="1F3864" w:color="auto" w:val="clear"/>
            <w:tcMar>
              <w:top w:type="dxa" w:w="60"/>
              <w:left w:type="dxa" w:w="100"/>
              <w:bottom w:type="dxa" w:w="60"/>
              <w:right w:type="dxa" w:w="100"/>
            </w:tcMar>
            <w:vAlign w:val="top"/>
          </w:tcPr>
          <w:p>
            <w:r>
              <w:rPr>
                <w:b/>
                <w:bCs/>
                <w:color w:val="FFFFFF"/>
                <w:sz w:val="14"/>
                <w:szCs w:val="14"/>
              </w:rPr>
              <w:t xml:space="preserve">Physics model: predicted value / realised gain</w:t>
            </w:r>
          </w:p>
        </w:tc>
        <w:tc>
          <w:tcPr>
            <w:tcW w:type="dxa" w:w="900"/>
            <w:shd w:fill="1F3864" w:color="auto" w:val="clear"/>
            <w:tcMar>
              <w:top w:type="dxa" w:w="60"/>
              <w:left w:type="dxa" w:w="100"/>
              <w:bottom w:type="dxa" w:w="60"/>
              <w:right w:type="dxa" w:w="100"/>
            </w:tcMar>
            <w:vAlign w:val="top"/>
          </w:tcPr>
          <w:p>
            <w:r>
              <w:rPr>
                <w:b/>
                <w:bCs/>
                <w:color w:val="FFFFFF"/>
                <w:sz w:val="14"/>
                <w:szCs w:val="14"/>
              </w:rPr>
              <w:t xml:space="preserve">Best merge in</w:t>
            </w:r>
          </w:p>
        </w:tc>
        <w:tc>
          <w:tcPr>
            <w:tcW w:type="dxa" w:w="1400"/>
            <w:shd w:fill="1F3864" w:color="auto" w:val="clear"/>
            <w:tcMar>
              <w:top w:type="dxa" w:w="60"/>
              <w:left w:type="dxa" w:w="100"/>
              <w:bottom w:type="dxa" w:w="60"/>
              <w:right w:type="dxa" w:w="100"/>
            </w:tcMar>
            <w:vAlign w:val="top"/>
          </w:tcPr>
          <w:p>
            <w:r>
              <w:rPr>
                <w:b/>
                <w:bCs/>
                <w:color w:val="FFFFFF"/>
                <w:sz w:val="14"/>
                <w:szCs w:val="14"/>
              </w:rPr>
              <w:t xml:space="preserve">Polynomial: predicted / realised</w:t>
            </w:r>
          </w:p>
        </w:tc>
        <w:tc>
          <w:tcPr>
            <w:tcW w:type="dxa" w:w="788"/>
            <w:shd w:fill="1F3864" w:color="auto" w:val="clear"/>
            <w:tcMar>
              <w:top w:type="dxa" w:w="60"/>
              <w:left w:type="dxa" w:w="100"/>
              <w:bottom w:type="dxa" w:w="60"/>
              <w:right w:type="dxa" w:w="100"/>
            </w:tcMar>
            <w:vAlign w:val="top"/>
          </w:tcPr>
          <w:p>
            <w:r>
              <w:rPr>
                <w:b/>
                <w:bCs/>
                <w:color w:val="FFFFFF"/>
                <w:sz w:val="14"/>
                <w:szCs w:val="14"/>
              </w:rPr>
              <w:t xml:space="preserve">Best in</w:t>
            </w:r>
          </w:p>
        </w:tc>
      </w:tr>
      <w:tr>
        <w:trPr>
          <w:cantSplit/>
        </w:trPr>
        <w:tc>
          <w:tcPr>
            <w:tcW w:type="dxa" w:w="1500"/>
            <w:tcMar>
              <w:top w:type="dxa" w:w="60"/>
              <w:left w:type="dxa" w:w="100"/>
              <w:bottom w:type="dxa" w:w="60"/>
              <w:right w:type="dxa" w:w="100"/>
            </w:tcMar>
            <w:vAlign w:val="top"/>
          </w:tcPr>
          <w:p>
            <w:r>
              <w:rPr>
                <w:sz w:val="14"/>
                <w:szCs w:val="14"/>
              </w:rPr>
              <w:t xml:space="preserve">Monitoring agency</w:t>
            </w:r>
          </w:p>
        </w:tc>
        <w:tc>
          <w:tcPr>
            <w:tcW w:type="dxa" w:w="750"/>
            <w:tcMar>
              <w:top w:type="dxa" w:w="60"/>
              <w:left w:type="dxa" w:w="100"/>
              <w:bottom w:type="dxa" w:w="60"/>
              <w:right w:type="dxa" w:w="100"/>
            </w:tcMar>
            <w:vAlign w:val="top"/>
          </w:tcPr>
          <w:p>
            <w:r>
              <w:rPr>
                <w:sz w:val="14"/>
                <w:szCs w:val="14"/>
              </w:rPr>
              <w:t xml:space="preserve">300</w:t>
            </w:r>
          </w:p>
        </w:tc>
        <w:tc>
          <w:tcPr>
            <w:tcW w:type="dxa" w:w="800"/>
            <w:tcMar>
              <w:top w:type="dxa" w:w="60"/>
              <w:left w:type="dxa" w:w="100"/>
              <w:bottom w:type="dxa" w:w="60"/>
              <w:right w:type="dxa" w:w="100"/>
            </w:tcMar>
            <w:vAlign w:val="top"/>
          </w:tcPr>
          <w:p>
            <w:r>
              <w:rPr>
                <w:sz w:val="14"/>
                <w:szCs w:val="14"/>
              </w:rPr>
              <w:t xml:space="preserve">50%</w:t>
            </w:r>
          </w:p>
        </w:tc>
        <w:tc>
          <w:tcPr>
            <w:tcW w:type="dxa" w:w="2000"/>
            <w:tcMar>
              <w:top w:type="dxa" w:w="60"/>
              <w:left w:type="dxa" w:w="100"/>
              <w:bottom w:type="dxa" w:w="60"/>
              <w:right w:type="dxa" w:w="100"/>
            </w:tcMar>
            <w:vAlign w:val="top"/>
          </w:tcPr>
          <w:p>
            <w:r>
              <w:rPr>
                <w:sz w:val="14"/>
                <w:szCs w:val="14"/>
              </w:rPr>
              <w:t xml:space="preserve">3.77 / 4.29 / 0.18</w:t>
            </w:r>
          </w:p>
        </w:tc>
        <w:tc>
          <w:tcPr>
            <w:tcW w:type="dxa" w:w="1500"/>
            <w:tcMar>
              <w:top w:type="dxa" w:w="60"/>
              <w:left w:type="dxa" w:w="100"/>
              <w:bottom w:type="dxa" w:w="60"/>
              <w:right w:type="dxa" w:w="100"/>
            </w:tcMar>
            <w:vAlign w:val="top"/>
          </w:tcPr>
          <w:p>
            <w:r>
              <w:rPr>
                <w:sz w:val="14"/>
                <w:szCs w:val="14"/>
              </w:rPr>
              <w:t xml:space="preserve">0.041 / 0.030</w:t>
            </w:r>
          </w:p>
        </w:tc>
        <w:tc>
          <w:tcPr>
            <w:tcW w:type="dxa" w:w="900"/>
            <w:tcMar>
              <w:top w:type="dxa" w:w="60"/>
              <w:left w:type="dxa" w:w="100"/>
              <w:bottom w:type="dxa" w:w="60"/>
              <w:right w:type="dxa" w:w="100"/>
            </w:tcMar>
            <w:vAlign w:val="top"/>
          </w:tcPr>
          <w:p>
            <w:r>
              <w:rPr>
                <w:sz w:val="14"/>
                <w:szCs w:val="14"/>
              </w:rPr>
              <w:t xml:space="preserve">25%</w:t>
            </w:r>
          </w:p>
        </w:tc>
        <w:tc>
          <w:tcPr>
            <w:tcW w:type="dxa" w:w="1400"/>
            <w:tcMar>
              <w:top w:type="dxa" w:w="60"/>
              <w:left w:type="dxa" w:w="100"/>
              <w:bottom w:type="dxa" w:w="60"/>
              <w:right w:type="dxa" w:w="100"/>
            </w:tcMar>
            <w:vAlign w:val="top"/>
          </w:tcPr>
          <w:p>
            <w:r>
              <w:rPr>
                <w:sz w:val="14"/>
                <w:szCs w:val="14"/>
              </w:rPr>
              <w:t xml:space="preserve">0.099 / 0.126</w:t>
            </w:r>
          </w:p>
        </w:tc>
        <w:tc>
          <w:tcPr>
            <w:tcW w:type="dxa" w:w="788"/>
            <w:tcMar>
              <w:top w:type="dxa" w:w="60"/>
              <w:left w:type="dxa" w:w="100"/>
              <w:bottom w:type="dxa" w:w="60"/>
              <w:right w:type="dxa" w:w="100"/>
            </w:tcMar>
            <w:vAlign w:val="top"/>
          </w:tcPr>
          <w:p>
            <w:r>
              <w:rPr>
                <w:sz w:val="14"/>
                <w:szCs w:val="14"/>
              </w:rPr>
              <w:t xml:space="preserve">19%</w:t>
            </w:r>
          </w:p>
        </w:tc>
      </w:tr>
      <w:tr>
        <w:trPr>
          <w:cantSplit/>
        </w:trPr>
        <w:tc>
          <w:tcPr>
            <w:tcW w:type="dxa" w:w="1500"/>
            <w:shd w:fill="F7F9FC" w:color="auto" w:val="clear"/>
            <w:tcMar>
              <w:top w:type="dxa" w:w="60"/>
              <w:left w:type="dxa" w:w="100"/>
              <w:bottom w:type="dxa" w:w="60"/>
              <w:right w:type="dxa" w:w="100"/>
            </w:tcMar>
            <w:vAlign w:val="top"/>
          </w:tcPr>
          <w:p>
            <w:r>
              <w:rPr>
                <w:sz w:val="14"/>
                <w:szCs w:val="14"/>
              </w:rPr>
              <w:t xml:space="preserve">Private irrigators</w:t>
            </w:r>
          </w:p>
        </w:tc>
        <w:tc>
          <w:tcPr>
            <w:tcW w:type="dxa" w:w="750"/>
            <w:shd w:fill="F7F9FC" w:color="auto" w:val="clear"/>
            <w:tcMar>
              <w:top w:type="dxa" w:w="60"/>
              <w:left w:type="dxa" w:w="100"/>
              <w:bottom w:type="dxa" w:w="60"/>
              <w:right w:type="dxa" w:w="100"/>
            </w:tcMar>
            <w:vAlign w:val="top"/>
          </w:tcPr>
          <w:p>
            <w:r>
              <w:rPr>
                <w:sz w:val="14"/>
                <w:szCs w:val="14"/>
              </w:rPr>
              <w:t xml:space="preserve">120</w:t>
            </w:r>
          </w:p>
        </w:tc>
        <w:tc>
          <w:tcPr>
            <w:tcW w:type="dxa" w:w="800"/>
            <w:shd w:fill="F7F9FC" w:color="auto" w:val="clear"/>
            <w:tcMar>
              <w:top w:type="dxa" w:w="60"/>
              <w:left w:type="dxa" w:w="100"/>
              <w:bottom w:type="dxa" w:w="60"/>
              <w:right w:type="dxa" w:w="100"/>
            </w:tcMar>
            <w:vAlign w:val="top"/>
          </w:tcPr>
          <w:p>
            <w:r>
              <w:rPr>
                <w:sz w:val="14"/>
                <w:szCs w:val="14"/>
              </w:rPr>
              <w:t xml:space="preserve">85%</w:t>
            </w:r>
          </w:p>
        </w:tc>
        <w:tc>
          <w:tcPr>
            <w:tcW w:type="dxa" w:w="2000"/>
            <w:shd w:fill="F7F9FC" w:color="auto" w:val="clear"/>
            <w:tcMar>
              <w:top w:type="dxa" w:w="60"/>
              <w:left w:type="dxa" w:w="100"/>
              <w:bottom w:type="dxa" w:w="60"/>
              <w:right w:type="dxa" w:w="100"/>
            </w:tcMar>
            <w:vAlign w:val="top"/>
          </w:tcPr>
          <w:p>
            <w:r>
              <w:rPr>
                <w:sz w:val="14"/>
                <w:szCs w:val="14"/>
              </w:rPr>
              <w:t xml:space="preserve">3.48 / 4.20 / 0.25</w:t>
            </w:r>
          </w:p>
        </w:tc>
        <w:tc>
          <w:tcPr>
            <w:tcW w:type="dxa" w:w="1500"/>
            <w:shd w:fill="F7F9FC" w:color="auto" w:val="clear"/>
            <w:tcMar>
              <w:top w:type="dxa" w:w="60"/>
              <w:left w:type="dxa" w:w="100"/>
              <w:bottom w:type="dxa" w:w="60"/>
              <w:right w:type="dxa" w:w="100"/>
            </w:tcMar>
            <w:vAlign w:val="top"/>
          </w:tcPr>
          <w:p>
            <w:r>
              <w:rPr>
                <w:sz w:val="14"/>
                <w:szCs w:val="14"/>
              </w:rPr>
              <w:t xml:space="preserve">0.049 / 0.038</w:t>
            </w:r>
          </w:p>
        </w:tc>
        <w:tc>
          <w:tcPr>
            <w:tcW w:type="dxa" w:w="900"/>
            <w:shd w:fill="F7F9FC" w:color="auto" w:val="clear"/>
            <w:tcMar>
              <w:top w:type="dxa" w:w="60"/>
              <w:left w:type="dxa" w:w="100"/>
              <w:bottom w:type="dxa" w:w="60"/>
              <w:right w:type="dxa" w:w="100"/>
            </w:tcMar>
            <w:vAlign w:val="top"/>
          </w:tcPr>
          <w:p>
            <w:r>
              <w:rPr>
                <w:sz w:val="14"/>
                <w:szCs w:val="14"/>
              </w:rPr>
              <w:t xml:space="preserve">26%</w:t>
            </w:r>
          </w:p>
        </w:tc>
        <w:tc>
          <w:tcPr>
            <w:tcW w:type="dxa" w:w="1400"/>
            <w:shd w:fill="F7F9FC" w:color="auto" w:val="clear"/>
            <w:tcMar>
              <w:top w:type="dxa" w:w="60"/>
              <w:left w:type="dxa" w:w="100"/>
              <w:bottom w:type="dxa" w:w="60"/>
              <w:right w:type="dxa" w:w="100"/>
            </w:tcMar>
            <w:vAlign w:val="top"/>
          </w:tcPr>
          <w:p>
            <w:r>
              <w:rPr>
                <w:sz w:val="14"/>
                <w:szCs w:val="14"/>
              </w:rPr>
              <w:t xml:space="preserve">0.135 / 0.156</w:t>
            </w:r>
          </w:p>
        </w:tc>
        <w:tc>
          <w:tcPr>
            <w:tcW w:type="dxa" w:w="788"/>
            <w:shd w:fill="F7F9FC" w:color="auto" w:val="clear"/>
            <w:tcMar>
              <w:top w:type="dxa" w:w="60"/>
              <w:left w:type="dxa" w:w="100"/>
              <w:bottom w:type="dxa" w:w="60"/>
              <w:right w:type="dxa" w:w="100"/>
            </w:tcMar>
            <w:vAlign w:val="top"/>
          </w:tcPr>
          <w:p>
            <w:r>
              <w:rPr>
                <w:sz w:val="14"/>
                <w:szCs w:val="14"/>
              </w:rPr>
              <w:t xml:space="preserve">55%</w:t>
            </w:r>
          </w:p>
        </w:tc>
      </w:tr>
      <w:tr>
        <w:trPr>
          <w:cantSplit/>
        </w:trPr>
        <w:tc>
          <w:tcPr>
            <w:tcW w:type="dxa" w:w="1500"/>
            <w:tcMar>
              <w:top w:type="dxa" w:w="60"/>
              <w:left w:type="dxa" w:w="100"/>
              <w:bottom w:type="dxa" w:w="60"/>
              <w:right w:type="dxa" w:w="100"/>
            </w:tcMar>
            <w:vAlign w:val="top"/>
          </w:tcPr>
          <w:p>
            <w:r>
              <w:rPr>
                <w:sz w:val="14"/>
                <w:szCs w:val="14"/>
              </w:rPr>
              <w:t xml:space="preserve">Coastal hotels</w:t>
            </w:r>
          </w:p>
        </w:tc>
        <w:tc>
          <w:tcPr>
            <w:tcW w:type="dxa" w:w="750"/>
            <w:tcMar>
              <w:top w:type="dxa" w:w="60"/>
              <w:left w:type="dxa" w:w="100"/>
              <w:bottom w:type="dxa" w:w="60"/>
              <w:right w:type="dxa" w:w="100"/>
            </w:tcMar>
            <w:vAlign w:val="top"/>
          </w:tcPr>
          <w:p>
            <w:r>
              <w:rPr>
                <w:sz w:val="14"/>
                <w:szCs w:val="14"/>
              </w:rPr>
              <w:t xml:space="preserve">32</w:t>
            </w:r>
          </w:p>
        </w:tc>
        <w:tc>
          <w:tcPr>
            <w:tcW w:type="dxa" w:w="800"/>
            <w:tcMar>
              <w:top w:type="dxa" w:w="60"/>
              <w:left w:type="dxa" w:w="100"/>
              <w:bottom w:type="dxa" w:w="60"/>
              <w:right w:type="dxa" w:w="100"/>
            </w:tcMar>
            <w:vAlign w:val="top"/>
          </w:tcPr>
          <w:p>
            <w:r>
              <w:rPr>
                <w:sz w:val="14"/>
                <w:szCs w:val="14"/>
              </w:rPr>
              <w:t xml:space="preserve">50%</w:t>
            </w:r>
          </w:p>
        </w:tc>
        <w:tc>
          <w:tcPr>
            <w:tcW w:type="dxa" w:w="2000"/>
            <w:tcMar>
              <w:top w:type="dxa" w:w="60"/>
              <w:left w:type="dxa" w:w="100"/>
              <w:bottom w:type="dxa" w:w="60"/>
              <w:right w:type="dxa" w:w="100"/>
            </w:tcMar>
            <w:vAlign w:val="top"/>
          </w:tcPr>
          <w:p>
            <w:r>
              <w:rPr>
                <w:sz w:val="14"/>
                <w:szCs w:val="14"/>
              </w:rPr>
              <w:t xml:space="preserve">2.64 / 3.74 / 0.45</w:t>
            </w:r>
          </w:p>
        </w:tc>
        <w:tc>
          <w:tcPr>
            <w:tcW w:type="dxa" w:w="1500"/>
            <w:tcMar>
              <w:top w:type="dxa" w:w="60"/>
              <w:left w:type="dxa" w:w="100"/>
              <w:bottom w:type="dxa" w:w="60"/>
              <w:right w:type="dxa" w:w="100"/>
            </w:tcMar>
            <w:vAlign w:val="top"/>
          </w:tcPr>
          <w:p>
            <w:r>
              <w:rPr>
                <w:sz w:val="14"/>
                <w:szCs w:val="14"/>
              </w:rPr>
              <w:t xml:space="preserve">0.045 / 0.036</w:t>
            </w:r>
          </w:p>
        </w:tc>
        <w:tc>
          <w:tcPr>
            <w:tcW w:type="dxa" w:w="900"/>
            <w:tcMar>
              <w:top w:type="dxa" w:w="60"/>
              <w:left w:type="dxa" w:w="100"/>
              <w:bottom w:type="dxa" w:w="60"/>
              <w:right w:type="dxa" w:w="100"/>
            </w:tcMar>
            <w:vAlign w:val="top"/>
          </w:tcPr>
          <w:p>
            <w:r>
              <w:rPr>
                <w:sz w:val="14"/>
                <w:szCs w:val="14"/>
              </w:rPr>
              <w:t xml:space="preserve">31%</w:t>
            </w:r>
          </w:p>
        </w:tc>
        <w:tc>
          <w:tcPr>
            <w:tcW w:type="dxa" w:w="1400"/>
            <w:tcMar>
              <w:top w:type="dxa" w:w="60"/>
              <w:left w:type="dxa" w:w="100"/>
              <w:bottom w:type="dxa" w:w="60"/>
              <w:right w:type="dxa" w:w="100"/>
            </w:tcMar>
            <w:vAlign w:val="top"/>
          </w:tcPr>
          <w:p>
            <w:r>
              <w:rPr>
                <w:sz w:val="14"/>
                <w:szCs w:val="14"/>
              </w:rPr>
              <w:t xml:space="preserve">0.107 / 0.097</w:t>
            </w:r>
          </w:p>
        </w:tc>
        <w:tc>
          <w:tcPr>
            <w:tcW w:type="dxa" w:w="788"/>
            <w:tcMar>
              <w:top w:type="dxa" w:w="60"/>
              <w:left w:type="dxa" w:w="100"/>
              <w:bottom w:type="dxa" w:w="60"/>
              <w:right w:type="dxa" w:w="100"/>
            </w:tcMar>
            <w:vAlign w:val="top"/>
          </w:tcPr>
          <w:p>
            <w:r>
              <w:rPr>
                <w:sz w:val="14"/>
                <w:szCs w:val="14"/>
              </w:rPr>
              <w:t xml:space="preserve">23%</w:t>
            </w:r>
          </w:p>
        </w:tc>
      </w:tr>
      <w:tr>
        <w:trPr>
          <w:cantSplit/>
        </w:trPr>
        <w:tc>
          <w:tcPr>
            <w:tcW w:type="dxa" w:w="1500"/>
            <w:shd w:fill="F7F9FC" w:color="auto" w:val="clear"/>
            <w:tcMar>
              <w:top w:type="dxa" w:w="60"/>
              <w:left w:type="dxa" w:w="100"/>
              <w:bottom w:type="dxa" w:w="60"/>
              <w:right w:type="dxa" w:w="100"/>
            </w:tcMar>
            <w:vAlign w:val="top"/>
          </w:tcPr>
          <w:p>
            <w:r>
              <w:rPr>
                <w:sz w:val="14"/>
                <w:szCs w:val="14"/>
              </w:rPr>
              <w:t xml:space="preserve">Research campaign</w:t>
            </w:r>
          </w:p>
        </w:tc>
        <w:tc>
          <w:tcPr>
            <w:tcW w:type="dxa" w:w="750"/>
            <w:shd w:fill="F7F9FC" w:color="auto" w:val="clear"/>
            <w:tcMar>
              <w:top w:type="dxa" w:w="60"/>
              <w:left w:type="dxa" w:w="100"/>
              <w:bottom w:type="dxa" w:w="60"/>
              <w:right w:type="dxa" w:w="100"/>
            </w:tcMar>
            <w:vAlign w:val="top"/>
          </w:tcPr>
          <w:p>
            <w:r>
              <w:rPr>
                <w:sz w:val="14"/>
                <w:szCs w:val="14"/>
              </w:rPr>
              <w:t xml:space="preserve">24</w:t>
            </w:r>
          </w:p>
        </w:tc>
        <w:tc>
          <w:tcPr>
            <w:tcW w:type="dxa" w:w="800"/>
            <w:shd w:fill="F7F9FC" w:color="auto" w:val="clear"/>
            <w:tcMar>
              <w:top w:type="dxa" w:w="60"/>
              <w:left w:type="dxa" w:w="100"/>
              <w:bottom w:type="dxa" w:w="60"/>
              <w:right w:type="dxa" w:w="100"/>
            </w:tcMar>
            <w:vAlign w:val="top"/>
          </w:tcPr>
          <w:p>
            <w:r>
              <w:rPr>
                <w:sz w:val="14"/>
                <w:szCs w:val="14"/>
              </w:rPr>
              <w:t xml:space="preserve">50%</w:t>
            </w:r>
          </w:p>
        </w:tc>
        <w:tc>
          <w:tcPr>
            <w:tcW w:type="dxa" w:w="2000"/>
            <w:shd w:fill="F7F9FC" w:color="auto" w:val="clear"/>
            <w:tcMar>
              <w:top w:type="dxa" w:w="60"/>
              <w:left w:type="dxa" w:w="100"/>
              <w:bottom w:type="dxa" w:w="60"/>
              <w:right w:type="dxa" w:w="100"/>
            </w:tcMar>
            <w:vAlign w:val="top"/>
          </w:tcPr>
          <w:p>
            <w:r>
              <w:rPr>
                <w:sz w:val="14"/>
                <w:szCs w:val="14"/>
              </w:rPr>
              <w:t xml:space="preserve">1.24 / 2.30 / 0.35</w:t>
            </w:r>
          </w:p>
        </w:tc>
        <w:tc>
          <w:tcPr>
            <w:tcW w:type="dxa" w:w="1500"/>
            <w:shd w:fill="F7F9FC" w:color="auto" w:val="clear"/>
            <w:tcMar>
              <w:top w:type="dxa" w:w="60"/>
              <w:left w:type="dxa" w:w="100"/>
              <w:bottom w:type="dxa" w:w="60"/>
              <w:right w:type="dxa" w:w="100"/>
            </w:tcMar>
            <w:vAlign w:val="top"/>
          </w:tcPr>
          <w:p>
            <w:r>
              <w:rPr>
                <w:sz w:val="14"/>
                <w:szCs w:val="14"/>
              </w:rPr>
              <w:t xml:space="preserve">0.025 / 0.020</w:t>
            </w:r>
          </w:p>
        </w:tc>
        <w:tc>
          <w:tcPr>
            <w:tcW w:type="dxa" w:w="900"/>
            <w:shd w:fill="F7F9FC" w:color="auto" w:val="clear"/>
            <w:tcMar>
              <w:top w:type="dxa" w:w="60"/>
              <w:left w:type="dxa" w:w="100"/>
              <w:bottom w:type="dxa" w:w="60"/>
              <w:right w:type="dxa" w:w="100"/>
            </w:tcMar>
            <w:vAlign w:val="top"/>
          </w:tcPr>
          <w:p>
            <w:r>
              <w:rPr>
                <w:sz w:val="14"/>
                <w:szCs w:val="14"/>
              </w:rPr>
              <w:t xml:space="preserve">19%</w:t>
            </w:r>
          </w:p>
        </w:tc>
        <w:tc>
          <w:tcPr>
            <w:tcW w:type="dxa" w:w="1400"/>
            <w:shd w:fill="F7F9FC" w:color="auto" w:val="clear"/>
            <w:tcMar>
              <w:top w:type="dxa" w:w="60"/>
              <w:left w:type="dxa" w:w="100"/>
              <w:bottom w:type="dxa" w:w="60"/>
              <w:right w:type="dxa" w:w="100"/>
            </w:tcMar>
            <w:vAlign w:val="top"/>
          </w:tcPr>
          <w:p>
            <w:r>
              <w:rPr>
                <w:sz w:val="14"/>
                <w:szCs w:val="14"/>
              </w:rPr>
              <w:t xml:space="preserve">0.062 / 0.062</w:t>
            </w:r>
          </w:p>
        </w:tc>
        <w:tc>
          <w:tcPr>
            <w:tcW w:type="dxa" w:w="788"/>
            <w:shd w:fill="F7F9FC" w:color="auto" w:val="clear"/>
            <w:tcMar>
              <w:top w:type="dxa" w:w="60"/>
              <w:left w:type="dxa" w:w="100"/>
              <w:bottom w:type="dxa" w:w="60"/>
              <w:right w:type="dxa" w:w="100"/>
            </w:tcMar>
            <w:vAlign w:val="top"/>
          </w:tcPr>
          <w:p>
            <w:r>
              <w:rPr>
                <w:sz w:val="14"/>
                <w:szCs w:val="14"/>
              </w:rPr>
              <w:t xml:space="preserve">4%</w:t>
            </w:r>
          </w:p>
        </w:tc>
      </w:tr>
    </w:tbl>
    <w:p>
      <w:pPr>
        <w:spacing w:after="160"/>
      </w:pPr>
    </w:p>
    <w:p>
      <w:pPr>
        <w:spacing w:after="120"/>
      </w:pPr>
      <w:r>
        <w:rPr>
          <w:i/>
          <w:iCs/>
          <w:color w:val="5B6573"/>
          <w:sz w:val="18"/>
          <w:szCs w:val="18"/>
        </w:rPr>
        <w:t xml:space="preserve">Table 9.1. Means over 200 aquifers. CATE information is </w:t>
      </w:r>
      <m:oMath>
        <m:f>
          <m:fPr>
            <m:type m:val="bar"/>
          </m:fPr>
          <m:num>
            <m:r>
              <m:t>1</m:t>
            </m:r>
          </m:num>
          <m:den>
            <m:r>
              <m:t>2</m:t>
            </m:r>
          </m:den>
        </m:f>
        <m:r>
          <m:rPr>
            <m:sty m:val="p"/>
          </m:rPr>
          <m:t>log</m:t>
        </m:r>
        <m:r>
          <m:rPr>
            <m:sty m:val="p"/>
          </m:rPr>
          <m:t>det</m:t>
        </m:r>
        <m:d>
          <m:dPr>
            <m:begChr m:val="("/>
            <m:sepChr m:val=""/>
            <m:endChr m:val=")"/>
            <m:grow/>
          </m:dPr>
          <m:e>
            <m:r>
              <m:t>I</m:t>
            </m:r>
            <m:r>
              <m:rPr>
                <m:sty m:val="p"/>
              </m:rPr>
              <m:t>+</m:t>
            </m:r>
            <m:sSub>
              <m:e>
                <m:r>
                  <m:t>Σ</m:t>
                </m:r>
              </m:e>
              <m:sub>
                <m:r>
                  <m:t>γ</m:t>
                </m:r>
              </m:sub>
            </m:sSub>
            <m:sSub>
              <m:e>
                <m:r>
                  <m:t>I</m:t>
                </m:r>
              </m:e>
              <m:sub>
                <m:r>
                  <m:t>γ</m:t>
                </m:r>
              </m:sub>
            </m:sSub>
          </m:e>
        </m:d>
      </m:oMath>
      <w:r>
        <w:rPr>
          <w:i/>
          <w:iCs/>
          <w:color w:val="5B6573"/>
          <w:sz w:val="18"/>
          <w:szCs w:val="18"/>
        </w:rPr>
        <w:t xml:space="preserve"> with the flat-baseline information </w:t>
      </w:r>
      <m:oMath>
        <m:sSub>
          <m:e>
            <m:r>
              <m:t>I</m:t>
            </m:r>
          </m:e>
          <m:sub>
            <m:r>
              <m:t>γ</m:t>
            </m:r>
          </m:sub>
        </m:sSub>
      </m:oMath>
      <w:r>
        <w:rPr>
          <w:i/>
          <w:iCs/>
          <w:color w:val="5B6573"/>
          <w:sz w:val="18"/>
          <w:szCs w:val="18"/>
        </w:rPr>
        <w:t xml:space="preserve"> of Proposition B2 under the physics model; synergy is the merged information minus that of the sum of the two separate informations (host 1.07 nats alone). Value and gain are in loss units (one unit = one log-chloride unit above tolerance at one well); "Best merge in" is the share of aquifers in which the holder's merge has the largest expected realised gain.</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300"/>
        <w:gridCol w:w="2300"/>
        <w:gridCol w:w="1700"/>
        <w:gridCol w:w="950"/>
        <w:gridCol w:w="1600"/>
        <w:gridCol w:w="900"/>
        <w:gridCol w:w="888"/>
      </w:tblGrid>
      <w:tr>
        <w:trPr>
          <w:cantSplit/>
          <w:tblHeader/>
        </w:trPr>
        <w:tc>
          <w:tcPr>
            <w:tcW w:type="dxa" w:w="1300"/>
            <w:shd w:fill="1F3864" w:color="auto" w:val="clear"/>
            <w:tcMar>
              <w:top w:type="dxa" w:w="60"/>
              <w:left w:type="dxa" w:w="100"/>
              <w:bottom w:type="dxa" w:w="60"/>
              <w:right w:type="dxa" w:w="100"/>
            </w:tcMar>
            <w:vAlign w:val="top"/>
          </w:tcPr>
          <w:p>
            <w:r>
              <w:rPr>
                <w:b/>
                <w:bCs/>
                <w:color w:val="FFFFFF"/>
                <w:sz w:val="14"/>
                <w:szCs w:val="14"/>
              </w:rPr>
              <w:t xml:space="preserve">CATE model</w:t>
            </w:r>
          </w:p>
        </w:tc>
        <w:tc>
          <w:tcPr>
            <w:tcW w:type="dxa" w:w="2300"/>
            <w:shd w:fill="1F3864" w:color="auto" w:val="clear"/>
            <w:tcMar>
              <w:top w:type="dxa" w:w="60"/>
              <w:left w:type="dxa" w:w="100"/>
              <w:bottom w:type="dxa" w:w="60"/>
              <w:right w:type="dxa" w:w="100"/>
            </w:tcMar>
            <w:vAlign w:val="top"/>
          </w:tcPr>
          <w:p>
            <w:r>
              <w:rPr>
                <w:b/>
                <w:bCs/>
                <w:color w:val="FFFFFF"/>
                <w:sz w:val="14"/>
                <w:szCs w:val="14"/>
              </w:rPr>
              <w:t xml:space="preserve">Criterion</w:t>
            </w:r>
          </w:p>
        </w:tc>
        <w:tc>
          <w:tcPr>
            <w:tcW w:type="dxa" w:w="1700"/>
            <w:shd w:fill="1F3864" w:color="auto" w:val="clear"/>
            <w:tcMar>
              <w:top w:type="dxa" w:w="60"/>
              <w:left w:type="dxa" w:w="100"/>
              <w:bottom w:type="dxa" w:w="60"/>
              <w:right w:type="dxa" w:w="100"/>
            </w:tcMar>
            <w:vAlign w:val="top"/>
          </w:tcPr>
          <w:p>
            <w:r>
              <w:rPr>
                <w:b/>
                <w:bCs/>
                <w:color w:val="FFFFFF"/>
                <w:sz w:val="14"/>
                <w:szCs w:val="14"/>
              </w:rPr>
              <w:t xml:space="preserve">Picks: agency / irrigators / hotels / research</w:t>
            </w:r>
          </w:p>
        </w:tc>
        <w:tc>
          <w:tcPr>
            <w:tcW w:type="dxa" w:w="950"/>
            <w:shd w:fill="1F3864" w:color="auto" w:val="clear"/>
            <w:tcMar>
              <w:top w:type="dxa" w:w="60"/>
              <w:left w:type="dxa" w:w="100"/>
              <w:bottom w:type="dxa" w:w="60"/>
              <w:right w:type="dxa" w:w="100"/>
            </w:tcMar>
            <w:vAlign w:val="top"/>
          </w:tcPr>
          <w:p>
            <w:r>
              <w:rPr>
                <w:b/>
                <w:bCs/>
                <w:color w:val="FFFFFF"/>
                <w:sz w:val="14"/>
                <w:szCs w:val="14"/>
              </w:rPr>
              <w:t xml:space="preserve">Gain of its merge</w:t>
            </w:r>
          </w:p>
        </w:tc>
        <w:tc>
          <w:tcPr>
            <w:tcW w:type="dxa" w:w="1600"/>
            <w:shd w:fill="1F3864" w:color="auto" w:val="clear"/>
            <w:tcMar>
              <w:top w:type="dxa" w:w="60"/>
              <w:left w:type="dxa" w:w="100"/>
              <w:bottom w:type="dxa" w:w="60"/>
              <w:right w:type="dxa" w:w="100"/>
            </w:tcMar>
            <w:vAlign w:val="top"/>
          </w:tcPr>
          <w:p>
            <w:r>
              <w:rPr>
                <w:b/>
                <w:bCs/>
                <w:color w:val="FFFFFF"/>
                <w:sz w:val="14"/>
                <w:szCs w:val="14"/>
              </w:rPr>
              <w:t xml:space="preserve">Minus that of BASHKIMI-GO (95% CI)</w:t>
            </w:r>
          </w:p>
        </w:tc>
        <w:tc>
          <w:tcPr>
            <w:tcW w:type="dxa" w:w="900"/>
            <w:shd w:fill="1F3864" w:color="auto" w:val="clear"/>
            <w:tcMar>
              <w:top w:type="dxa" w:w="60"/>
              <w:left w:type="dxa" w:w="100"/>
              <w:bottom w:type="dxa" w:w="60"/>
              <w:right w:type="dxa" w:w="100"/>
            </w:tcMar>
            <w:vAlign w:val="top"/>
          </w:tcPr>
          <w:p>
            <w:r>
              <w:rPr>
                <w:b/>
                <w:bCs/>
                <w:color w:val="FFFFFF"/>
                <w:sz w:val="14"/>
                <w:szCs w:val="14"/>
              </w:rPr>
              <w:t xml:space="preserve">Picks the best</w:t>
            </w:r>
          </w:p>
        </w:tc>
        <w:tc>
          <w:tcPr>
            <w:tcW w:type="dxa" w:w="888"/>
            <w:shd w:fill="1F3864" w:color="auto" w:val="clear"/>
            <w:tcMar>
              <w:top w:type="dxa" w:w="60"/>
              <w:left w:type="dxa" w:w="100"/>
              <w:bottom w:type="dxa" w:w="60"/>
              <w:right w:type="dxa" w:w="100"/>
            </w:tcMar>
            <w:vAlign w:val="top"/>
          </w:tcPr>
          <w:p>
            <w:r>
              <w:rPr>
                <w:b/>
                <w:bCs/>
                <w:color w:val="FFFFFF"/>
                <w:sz w:val="14"/>
                <w:szCs w:val="14"/>
              </w:rPr>
              <w:t xml:space="preserve">Rank agreement (Kendall)</w:t>
            </w:r>
          </w:p>
        </w:tc>
      </w:tr>
      <w:tr>
        <w:trPr>
          <w:cantSplit/>
        </w:trPr>
        <w:tc>
          <w:tcPr>
            <w:tcW w:type="dxa" w:w="1300"/>
            <w:tcMar>
              <w:top w:type="dxa" w:w="60"/>
              <w:left w:type="dxa" w:w="100"/>
              <w:bottom w:type="dxa" w:w="60"/>
              <w:right w:type="dxa" w:w="100"/>
            </w:tcMar>
            <w:vAlign w:val="top"/>
          </w:tcPr>
          <w:p>
            <w:r>
              <w:rPr>
                <w:sz w:val="14"/>
                <w:szCs w:val="14"/>
              </w:rPr>
              <w:t xml:space="preserve">Physics-informed</w:t>
            </w:r>
          </w:p>
        </w:tc>
        <w:tc>
          <w:tcPr>
            <w:tcW w:type="dxa" w:w="2300"/>
            <w:tcMar>
              <w:top w:type="dxa" w:w="60"/>
              <w:left w:type="dxa" w:w="100"/>
              <w:bottom w:type="dxa" w:w="60"/>
              <w:right w:type="dxa" w:w="100"/>
            </w:tcMar>
            <w:vAlign w:val="top"/>
          </w:tcPr>
          <w:p>
            <w:r>
              <w:rPr>
                <w:sz w:val="14"/>
                <w:szCs w:val="14"/>
              </w:rPr>
              <w:t xml:space="preserve">Largest dataset</w:t>
            </w:r>
          </w:p>
        </w:tc>
        <w:tc>
          <w:tcPr>
            <w:tcW w:type="dxa" w:w="1700"/>
            <w:tcMar>
              <w:top w:type="dxa" w:w="60"/>
              <w:left w:type="dxa" w:w="100"/>
              <w:bottom w:type="dxa" w:w="60"/>
              <w:right w:type="dxa" w:w="100"/>
            </w:tcMar>
            <w:vAlign w:val="top"/>
          </w:tcPr>
          <w:p>
            <w:r>
              <w:rPr>
                <w:sz w:val="14"/>
                <w:szCs w:val="14"/>
              </w:rPr>
              <w:t xml:space="preserve">200 / 0 / 0 / 0</w:t>
            </w:r>
          </w:p>
        </w:tc>
        <w:tc>
          <w:tcPr>
            <w:tcW w:type="dxa" w:w="950"/>
            <w:tcMar>
              <w:top w:type="dxa" w:w="60"/>
              <w:left w:type="dxa" w:w="100"/>
              <w:bottom w:type="dxa" w:w="60"/>
              <w:right w:type="dxa" w:w="100"/>
            </w:tcMar>
            <w:vAlign w:val="top"/>
          </w:tcPr>
          <w:p>
            <w:r>
              <w:rPr>
                <w:sz w:val="14"/>
                <w:szCs w:val="14"/>
              </w:rPr>
              <w:t xml:space="preserve">0.0295</w:t>
            </w:r>
          </w:p>
        </w:tc>
        <w:tc>
          <w:tcPr>
            <w:tcW w:type="dxa" w:w="1600"/>
            <w:tcMar>
              <w:top w:type="dxa" w:w="60"/>
              <w:left w:type="dxa" w:w="100"/>
              <w:bottom w:type="dxa" w:w="60"/>
              <w:right w:type="dxa" w:w="100"/>
            </w:tcMar>
            <w:vAlign w:val="top"/>
          </w:tcPr>
          <w:p>
            <w:r>
              <w:rPr>
                <w:sz w:val="14"/>
                <w:szCs w:val="14"/>
              </w:rPr>
              <w:t xml:space="preserve">−0.0068 ± 0.0042</w:t>
            </w:r>
          </w:p>
        </w:tc>
        <w:tc>
          <w:tcPr>
            <w:tcW w:type="dxa" w:w="900"/>
            <w:tcMar>
              <w:top w:type="dxa" w:w="60"/>
              <w:left w:type="dxa" w:w="100"/>
              <w:bottom w:type="dxa" w:w="60"/>
              <w:right w:type="dxa" w:w="100"/>
            </w:tcMar>
            <w:vAlign w:val="top"/>
          </w:tcPr>
          <w:p>
            <w:r>
              <w:rPr>
                <w:sz w:val="14"/>
                <w:szCs w:val="14"/>
              </w:rPr>
              <w:t xml:space="preserve">25%</w:t>
            </w:r>
          </w:p>
        </w:tc>
        <w:tc>
          <w:tcPr>
            <w:tcW w:type="dxa" w:w="888"/>
            <w:tcMar>
              <w:top w:type="dxa" w:w="60"/>
              <w:left w:type="dxa" w:w="100"/>
              <w:bottom w:type="dxa" w:w="60"/>
              <w:right w:type="dxa" w:w="100"/>
            </w:tcMar>
            <w:vAlign w:val="top"/>
          </w:tcPr>
          <w:p>
            <w:r>
              <w:rPr>
                <w:sz w:val="14"/>
                <w:szCs w:val="14"/>
              </w:rPr>
              <w:t xml:space="preserve">—</w:t>
            </w:r>
          </w:p>
        </w:tc>
      </w:tr>
      <w:tr>
        <w:trPr>
          <w:cantSplit/>
        </w:trPr>
        <w:tc>
          <w:tcPr>
            <w:tcW w:type="dxa" w:w="1300"/>
            <w:shd w:fill="F7F9FC" w:color="auto" w:val="clear"/>
            <w:tcMar>
              <w:top w:type="dxa" w:w="60"/>
              <w:left w:type="dxa" w:w="100"/>
              <w:bottom w:type="dxa" w:w="60"/>
              <w:right w:type="dxa" w:w="100"/>
            </w:tcMar>
            <w:vAlign w:val="top"/>
          </w:tcPr>
          <w:p/>
        </w:tc>
        <w:tc>
          <w:tcPr>
            <w:tcW w:type="dxa" w:w="2300"/>
            <w:shd w:fill="F7F9FC" w:color="auto" w:val="clear"/>
            <w:tcMar>
              <w:top w:type="dxa" w:w="60"/>
              <w:left w:type="dxa" w:w="100"/>
              <w:bottom w:type="dxa" w:w="60"/>
              <w:right w:type="dxa" w:w="100"/>
            </w:tcMar>
            <w:vAlign w:val="top"/>
          </w:tcPr>
          <w:p>
            <w:r>
              <w:rPr>
                <w:sz w:val="14"/>
                <w:szCs w:val="14"/>
              </w:rPr>
              <w:t xml:space="preserve">EIG of all parameters</w:t>
            </w:r>
          </w:p>
        </w:tc>
        <w:tc>
          <w:tcPr>
            <w:tcW w:type="dxa" w:w="1700"/>
            <w:shd w:fill="F7F9FC" w:color="auto" w:val="clear"/>
            <w:tcMar>
              <w:top w:type="dxa" w:w="60"/>
              <w:left w:type="dxa" w:w="100"/>
              <w:bottom w:type="dxa" w:w="60"/>
              <w:right w:type="dxa" w:w="100"/>
            </w:tcMar>
            <w:vAlign w:val="top"/>
          </w:tcPr>
          <w:p>
            <w:r>
              <w:rPr>
                <w:sz w:val="14"/>
                <w:szCs w:val="14"/>
              </w:rPr>
              <w:t xml:space="preserve">90 / 81 / 29 / 0</w:t>
            </w:r>
          </w:p>
        </w:tc>
        <w:tc>
          <w:tcPr>
            <w:tcW w:type="dxa" w:w="950"/>
            <w:shd w:fill="F7F9FC" w:color="auto" w:val="clear"/>
            <w:tcMar>
              <w:top w:type="dxa" w:w="60"/>
              <w:left w:type="dxa" w:w="100"/>
              <w:bottom w:type="dxa" w:w="60"/>
              <w:right w:type="dxa" w:w="100"/>
            </w:tcMar>
            <w:vAlign w:val="top"/>
          </w:tcPr>
          <w:p>
            <w:r>
              <w:rPr>
                <w:sz w:val="14"/>
                <w:szCs w:val="14"/>
              </w:rPr>
              <w:t xml:space="preserve">0.0352</w:t>
            </w:r>
          </w:p>
        </w:tc>
        <w:tc>
          <w:tcPr>
            <w:tcW w:type="dxa" w:w="1600"/>
            <w:shd w:fill="F7F9FC" w:color="auto" w:val="clear"/>
            <w:tcMar>
              <w:top w:type="dxa" w:w="60"/>
              <w:left w:type="dxa" w:w="100"/>
              <w:bottom w:type="dxa" w:w="60"/>
              <w:right w:type="dxa" w:w="100"/>
            </w:tcMar>
            <w:vAlign w:val="top"/>
          </w:tcPr>
          <w:p>
            <w:r>
              <w:rPr>
                <w:sz w:val="14"/>
                <w:szCs w:val="14"/>
              </w:rPr>
              <w:t xml:space="preserve">−0.0012 ± 0.0038</w:t>
            </w:r>
          </w:p>
        </w:tc>
        <w:tc>
          <w:tcPr>
            <w:tcW w:type="dxa" w:w="900"/>
            <w:shd w:fill="F7F9FC" w:color="auto" w:val="clear"/>
            <w:tcMar>
              <w:top w:type="dxa" w:w="60"/>
              <w:left w:type="dxa" w:w="100"/>
              <w:bottom w:type="dxa" w:w="60"/>
              <w:right w:type="dxa" w:w="100"/>
            </w:tcMar>
            <w:vAlign w:val="top"/>
          </w:tcPr>
          <w:p>
            <w:r>
              <w:rPr>
                <w:sz w:val="14"/>
                <w:szCs w:val="14"/>
              </w:rPr>
              <w:t xml:space="preserve">28%</w:t>
            </w:r>
          </w:p>
        </w:tc>
        <w:tc>
          <w:tcPr>
            <w:tcW w:type="dxa" w:w="888"/>
            <w:shd w:fill="F7F9FC" w:color="auto" w:val="clear"/>
            <w:tcMar>
              <w:top w:type="dxa" w:w="60"/>
              <w:left w:type="dxa" w:w="100"/>
              <w:bottom w:type="dxa" w:w="60"/>
              <w:right w:type="dxa" w:w="100"/>
            </w:tcMar>
            <w:vAlign w:val="top"/>
          </w:tcPr>
          <w:p>
            <w:r>
              <w:rPr>
                <w:sz w:val="14"/>
                <w:szCs w:val="14"/>
              </w:rPr>
              <w:t xml:space="preserve">0.10</w:t>
            </w:r>
          </w:p>
        </w:tc>
      </w:tr>
      <w:tr>
        <w:trPr>
          <w:cantSplit/>
        </w:trPr>
        <w:tc>
          <w:tcPr>
            <w:tcW w:type="dxa" w:w="1300"/>
            <w:tcMar>
              <w:top w:type="dxa" w:w="60"/>
              <w:left w:type="dxa" w:w="100"/>
              <w:bottom w:type="dxa" w:w="60"/>
              <w:right w:type="dxa" w:w="100"/>
            </w:tcMar>
            <w:vAlign w:val="top"/>
          </w:tcPr>
          <w:p/>
        </w:tc>
        <w:tc>
          <w:tcPr>
            <w:tcW w:type="dxa" w:w="2300"/>
            <w:tcMar>
              <w:top w:type="dxa" w:w="60"/>
              <w:left w:type="dxa" w:w="100"/>
              <w:bottom w:type="dxa" w:w="60"/>
              <w:right w:type="dxa" w:w="100"/>
            </w:tcMar>
            <w:vAlign w:val="top"/>
          </w:tcPr>
          <w:p>
            <w:r>
              <w:rPr>
                <w:sz w:val="14"/>
                <w:szCs w:val="14"/>
              </w:rPr>
              <w:t xml:space="preserve">EIG of the CATE parameters (anchor [B1])</w:t>
            </w:r>
          </w:p>
        </w:tc>
        <w:tc>
          <w:tcPr>
            <w:tcW w:type="dxa" w:w="1700"/>
            <w:tcMar>
              <w:top w:type="dxa" w:w="60"/>
              <w:left w:type="dxa" w:w="100"/>
              <w:bottom w:type="dxa" w:w="60"/>
              <w:right w:type="dxa" w:w="100"/>
            </w:tcMar>
            <w:vAlign w:val="top"/>
          </w:tcPr>
          <w:p>
            <w:r>
              <w:rPr>
                <w:sz w:val="14"/>
                <w:szCs w:val="14"/>
              </w:rPr>
              <w:t xml:space="preserve">59 / 115 / 26 / 0</w:t>
            </w:r>
          </w:p>
        </w:tc>
        <w:tc>
          <w:tcPr>
            <w:tcW w:type="dxa" w:w="950"/>
            <w:tcMar>
              <w:top w:type="dxa" w:w="60"/>
              <w:left w:type="dxa" w:w="100"/>
              <w:bottom w:type="dxa" w:w="60"/>
              <w:right w:type="dxa" w:w="100"/>
            </w:tcMar>
            <w:vAlign w:val="top"/>
          </w:tcPr>
          <w:p>
            <w:r>
              <w:rPr>
                <w:sz w:val="14"/>
                <w:szCs w:val="14"/>
              </w:rPr>
              <w:t xml:space="preserve">0.0373</w:t>
            </w:r>
          </w:p>
        </w:tc>
        <w:tc>
          <w:tcPr>
            <w:tcW w:type="dxa" w:w="1600"/>
            <w:tcMar>
              <w:top w:type="dxa" w:w="60"/>
              <w:left w:type="dxa" w:w="100"/>
              <w:bottom w:type="dxa" w:w="60"/>
              <w:right w:type="dxa" w:w="100"/>
            </w:tcMar>
            <w:vAlign w:val="top"/>
          </w:tcPr>
          <w:p>
            <w:r>
              <w:rPr>
                <w:sz w:val="14"/>
                <w:szCs w:val="14"/>
              </w:rPr>
              <w:t xml:space="preserve">+0.0010 ± 0.0044</w:t>
            </w:r>
          </w:p>
        </w:tc>
        <w:tc>
          <w:tcPr>
            <w:tcW w:type="dxa" w:w="900"/>
            <w:tcMar>
              <w:top w:type="dxa" w:w="60"/>
              <w:left w:type="dxa" w:w="100"/>
              <w:bottom w:type="dxa" w:w="60"/>
              <w:right w:type="dxa" w:w="100"/>
            </w:tcMar>
            <w:vAlign w:val="top"/>
          </w:tcPr>
          <w:p>
            <w:r>
              <w:rPr>
                <w:sz w:val="14"/>
                <w:szCs w:val="14"/>
              </w:rPr>
              <w:t xml:space="preserve">28%</w:t>
            </w:r>
          </w:p>
        </w:tc>
        <w:tc>
          <w:tcPr>
            <w:tcW w:type="dxa" w:w="888"/>
            <w:tcMar>
              <w:top w:type="dxa" w:w="60"/>
              <w:left w:type="dxa" w:w="100"/>
              <w:bottom w:type="dxa" w:w="60"/>
              <w:right w:type="dxa" w:w="100"/>
            </w:tcMar>
            <w:vAlign w:val="top"/>
          </w:tcPr>
          <w:p>
            <w:r>
              <w:rPr>
                <w:sz w:val="14"/>
                <w:szCs w:val="14"/>
              </w:rPr>
              <w:t xml:space="preserve">0.09</w:t>
            </w:r>
          </w:p>
        </w:tc>
      </w:tr>
      <w:tr>
        <w:trPr>
          <w:cantSplit/>
        </w:trPr>
        <w:tc>
          <w:tcPr>
            <w:tcW w:type="dxa" w:w="1300"/>
            <w:shd w:fill="F7F9FC" w:color="auto" w:val="clear"/>
            <w:tcMar>
              <w:top w:type="dxa" w:w="60"/>
              <w:left w:type="dxa" w:w="100"/>
              <w:bottom w:type="dxa" w:w="60"/>
              <w:right w:type="dxa" w:w="100"/>
            </w:tcMar>
            <w:vAlign w:val="top"/>
          </w:tcPr>
          <w:p/>
        </w:tc>
        <w:tc>
          <w:tcPr>
            <w:tcW w:type="dxa" w:w="2300"/>
            <w:shd w:fill="F7F9FC" w:color="auto" w:val="clear"/>
            <w:tcMar>
              <w:top w:type="dxa" w:w="60"/>
              <w:left w:type="dxa" w:w="100"/>
              <w:bottom w:type="dxa" w:w="60"/>
              <w:right w:type="dxa" w:w="100"/>
            </w:tcMar>
            <w:vAlign w:val="top"/>
          </w:tcPr>
          <w:p>
            <w:r>
              <w:rPr>
                <w:sz w:val="14"/>
                <w:szCs w:val="14"/>
              </w:rPr>
              <w:t xml:space="preserve">Mean EIG of the target CATEs</w:t>
            </w:r>
          </w:p>
        </w:tc>
        <w:tc>
          <w:tcPr>
            <w:tcW w:type="dxa" w:w="1700"/>
            <w:shd w:fill="F7F9FC" w:color="auto" w:val="clear"/>
            <w:tcMar>
              <w:top w:type="dxa" w:w="60"/>
              <w:left w:type="dxa" w:w="100"/>
              <w:bottom w:type="dxa" w:w="60"/>
              <w:right w:type="dxa" w:w="100"/>
            </w:tcMar>
            <w:vAlign w:val="top"/>
          </w:tcPr>
          <w:p>
            <w:r>
              <w:rPr>
                <w:sz w:val="14"/>
                <w:szCs w:val="14"/>
              </w:rPr>
              <w:t xml:space="preserve">168 / 30 / 2 / 0</w:t>
            </w:r>
          </w:p>
        </w:tc>
        <w:tc>
          <w:tcPr>
            <w:tcW w:type="dxa" w:w="950"/>
            <w:shd w:fill="F7F9FC" w:color="auto" w:val="clear"/>
            <w:tcMar>
              <w:top w:type="dxa" w:w="60"/>
              <w:left w:type="dxa" w:w="100"/>
              <w:bottom w:type="dxa" w:w="60"/>
              <w:right w:type="dxa" w:w="100"/>
            </w:tcMar>
            <w:vAlign w:val="top"/>
          </w:tcPr>
          <w:p>
            <w:r>
              <w:rPr>
                <w:sz w:val="14"/>
                <w:szCs w:val="14"/>
              </w:rPr>
              <w:t xml:space="preserve">0.0339</w:t>
            </w:r>
          </w:p>
        </w:tc>
        <w:tc>
          <w:tcPr>
            <w:tcW w:type="dxa" w:w="1600"/>
            <w:shd w:fill="F7F9FC" w:color="auto" w:val="clear"/>
            <w:tcMar>
              <w:top w:type="dxa" w:w="60"/>
              <w:left w:type="dxa" w:w="100"/>
              <w:bottom w:type="dxa" w:w="60"/>
              <w:right w:type="dxa" w:w="100"/>
            </w:tcMar>
            <w:vAlign w:val="top"/>
          </w:tcPr>
          <w:p>
            <w:r>
              <w:rPr>
                <w:sz w:val="14"/>
                <w:szCs w:val="14"/>
              </w:rPr>
              <w:t xml:space="preserve">−0.0025 ± 0.0036</w:t>
            </w:r>
          </w:p>
        </w:tc>
        <w:tc>
          <w:tcPr>
            <w:tcW w:type="dxa" w:w="900"/>
            <w:shd w:fill="F7F9FC" w:color="auto" w:val="clear"/>
            <w:tcMar>
              <w:top w:type="dxa" w:w="60"/>
              <w:left w:type="dxa" w:w="100"/>
              <w:bottom w:type="dxa" w:w="60"/>
              <w:right w:type="dxa" w:w="100"/>
            </w:tcMar>
            <w:vAlign w:val="top"/>
          </w:tcPr>
          <w:p>
            <w:r>
              <w:rPr>
                <w:sz w:val="14"/>
                <w:szCs w:val="14"/>
              </w:rPr>
              <w:t xml:space="preserve">28%</w:t>
            </w:r>
          </w:p>
        </w:tc>
        <w:tc>
          <w:tcPr>
            <w:tcW w:type="dxa" w:w="888"/>
            <w:shd w:fill="F7F9FC" w:color="auto" w:val="clear"/>
            <w:tcMar>
              <w:top w:type="dxa" w:w="60"/>
              <w:left w:type="dxa" w:w="100"/>
              <w:bottom w:type="dxa" w:w="60"/>
              <w:right w:type="dxa" w:w="100"/>
            </w:tcMar>
            <w:vAlign w:val="top"/>
          </w:tcPr>
          <w:p>
            <w:r>
              <w:rPr>
                <w:sz w:val="14"/>
                <w:szCs w:val="14"/>
              </w:rPr>
              <w:t xml:space="preserve">0.09</w:t>
            </w:r>
          </w:p>
        </w:tc>
      </w:tr>
      <w:tr>
        <w:trPr>
          <w:cantSplit/>
        </w:trPr>
        <w:tc>
          <w:tcPr>
            <w:tcW w:type="dxa" w:w="1300"/>
            <w:tcMar>
              <w:top w:type="dxa" w:w="60"/>
              <w:left w:type="dxa" w:w="100"/>
              <w:bottom w:type="dxa" w:w="60"/>
              <w:right w:type="dxa" w:w="100"/>
            </w:tcMar>
            <w:vAlign w:val="top"/>
          </w:tcPr>
          <w:p/>
        </w:tc>
        <w:tc>
          <w:tcPr>
            <w:tcW w:type="dxa" w:w="2300"/>
            <w:tcMar>
              <w:top w:type="dxa" w:w="60"/>
              <w:left w:type="dxa" w:w="100"/>
              <w:bottom w:type="dxa" w:w="60"/>
              <w:right w:type="dxa" w:w="100"/>
            </w:tcMar>
            <w:vAlign w:val="top"/>
          </w:tcPr>
          <w:p>
            <w:r>
              <w:rPr>
                <w:sz w:val="14"/>
                <w:szCs w:val="14"/>
              </w:rPr>
              <w:t xml:space="preserve">BASHKIMI-GO decision value</w:t>
            </w:r>
          </w:p>
        </w:tc>
        <w:tc>
          <w:tcPr>
            <w:tcW w:type="dxa" w:w="1700"/>
            <w:tcMar>
              <w:top w:type="dxa" w:w="60"/>
              <w:left w:type="dxa" w:w="100"/>
              <w:bottom w:type="dxa" w:w="60"/>
              <w:right w:type="dxa" w:w="100"/>
            </w:tcMar>
            <w:vAlign w:val="top"/>
          </w:tcPr>
          <w:p>
            <w:r>
              <w:rPr>
                <w:sz w:val="14"/>
                <w:szCs w:val="14"/>
              </w:rPr>
              <w:t xml:space="preserve">56 / 85 / 59 / 0</w:t>
            </w:r>
          </w:p>
        </w:tc>
        <w:tc>
          <w:tcPr>
            <w:tcW w:type="dxa" w:w="950"/>
            <w:tcMar>
              <w:top w:type="dxa" w:w="60"/>
              <w:left w:type="dxa" w:w="100"/>
              <w:bottom w:type="dxa" w:w="60"/>
              <w:right w:type="dxa" w:w="100"/>
            </w:tcMar>
            <w:vAlign w:val="top"/>
          </w:tcPr>
          <w:p>
            <w:r>
              <w:rPr>
                <w:sz w:val="14"/>
                <w:szCs w:val="14"/>
              </w:rPr>
              <w:t xml:space="preserve">0.0363</w:t>
            </w:r>
          </w:p>
        </w:tc>
        <w:tc>
          <w:tcPr>
            <w:tcW w:type="dxa" w:w="1600"/>
            <w:tcMar>
              <w:top w:type="dxa" w:w="60"/>
              <w:left w:type="dxa" w:w="100"/>
              <w:bottom w:type="dxa" w:w="60"/>
              <w:right w:type="dxa" w:w="100"/>
            </w:tcMar>
            <w:vAlign w:val="top"/>
          </w:tcPr>
          <w:p>
            <w:r>
              <w:rPr>
                <w:sz w:val="14"/>
                <w:szCs w:val="14"/>
              </w:rPr>
              <w:t xml:space="preserve">—</w:t>
            </w:r>
          </w:p>
        </w:tc>
        <w:tc>
          <w:tcPr>
            <w:tcW w:type="dxa" w:w="900"/>
            <w:tcMar>
              <w:top w:type="dxa" w:w="60"/>
              <w:left w:type="dxa" w:w="100"/>
              <w:bottom w:type="dxa" w:w="60"/>
              <w:right w:type="dxa" w:w="100"/>
            </w:tcMar>
            <w:vAlign w:val="top"/>
          </w:tcPr>
          <w:p>
            <w:r>
              <w:rPr>
                <w:sz w:val="14"/>
                <w:szCs w:val="14"/>
              </w:rPr>
              <w:t xml:space="preserve">34%</w:t>
            </w:r>
          </w:p>
        </w:tc>
        <w:tc>
          <w:tcPr>
            <w:tcW w:type="dxa" w:w="888"/>
            <w:tcMar>
              <w:top w:type="dxa" w:w="60"/>
              <w:left w:type="dxa" w:w="100"/>
              <w:bottom w:type="dxa" w:w="60"/>
              <w:right w:type="dxa" w:w="100"/>
            </w:tcMar>
            <w:vAlign w:val="top"/>
          </w:tcPr>
          <w:p>
            <w:r>
              <w:rPr>
                <w:sz w:val="14"/>
                <w:szCs w:val="14"/>
              </w:rPr>
              <w:t xml:space="preserve">0.13</w:t>
            </w:r>
          </w:p>
        </w:tc>
      </w:tr>
      <w:tr>
        <w:trPr>
          <w:cantSplit/>
        </w:trPr>
        <w:tc>
          <w:tcPr>
            <w:tcW w:type="dxa" w:w="1300"/>
            <w:shd w:fill="F7F9FC" w:color="auto" w:val="clear"/>
            <w:tcMar>
              <w:top w:type="dxa" w:w="60"/>
              <w:left w:type="dxa" w:w="100"/>
              <w:bottom w:type="dxa" w:w="60"/>
              <w:right w:type="dxa" w:w="100"/>
            </w:tcMar>
            <w:vAlign w:val="top"/>
          </w:tcPr>
          <w:p>
            <w:r>
              <w:rPr>
                <w:sz w:val="14"/>
                <w:szCs w:val="14"/>
              </w:rPr>
              <w:t xml:space="preserve">Polynomial (anchor)</w:t>
            </w:r>
          </w:p>
        </w:tc>
        <w:tc>
          <w:tcPr>
            <w:tcW w:type="dxa" w:w="2300"/>
            <w:shd w:fill="F7F9FC" w:color="auto" w:val="clear"/>
            <w:tcMar>
              <w:top w:type="dxa" w:w="60"/>
              <w:left w:type="dxa" w:w="100"/>
              <w:bottom w:type="dxa" w:w="60"/>
              <w:right w:type="dxa" w:w="100"/>
            </w:tcMar>
            <w:vAlign w:val="top"/>
          </w:tcPr>
          <w:p>
            <w:r>
              <w:rPr>
                <w:sz w:val="14"/>
                <w:szCs w:val="14"/>
              </w:rPr>
              <w:t xml:space="preserve">Largest dataset</w:t>
            </w:r>
          </w:p>
        </w:tc>
        <w:tc>
          <w:tcPr>
            <w:tcW w:type="dxa" w:w="1700"/>
            <w:shd w:fill="F7F9FC" w:color="auto" w:val="clear"/>
            <w:tcMar>
              <w:top w:type="dxa" w:w="60"/>
              <w:left w:type="dxa" w:w="100"/>
              <w:bottom w:type="dxa" w:w="60"/>
              <w:right w:type="dxa" w:w="100"/>
            </w:tcMar>
            <w:vAlign w:val="top"/>
          </w:tcPr>
          <w:p>
            <w:r>
              <w:rPr>
                <w:sz w:val="14"/>
                <w:szCs w:val="14"/>
              </w:rPr>
              <w:t xml:space="preserve">200 / 0 / 0 / 0</w:t>
            </w:r>
          </w:p>
        </w:tc>
        <w:tc>
          <w:tcPr>
            <w:tcW w:type="dxa" w:w="950"/>
            <w:shd w:fill="F7F9FC" w:color="auto" w:val="clear"/>
            <w:tcMar>
              <w:top w:type="dxa" w:w="60"/>
              <w:left w:type="dxa" w:w="100"/>
              <w:bottom w:type="dxa" w:w="60"/>
              <w:right w:type="dxa" w:w="100"/>
            </w:tcMar>
            <w:vAlign w:val="top"/>
          </w:tcPr>
          <w:p>
            <w:r>
              <w:rPr>
                <w:sz w:val="14"/>
                <w:szCs w:val="14"/>
              </w:rPr>
              <w:t xml:space="preserve">0.1260</w:t>
            </w:r>
          </w:p>
        </w:tc>
        <w:tc>
          <w:tcPr>
            <w:tcW w:type="dxa" w:w="1600"/>
            <w:shd w:fill="F7F9FC" w:color="auto" w:val="clear"/>
            <w:tcMar>
              <w:top w:type="dxa" w:w="60"/>
              <w:left w:type="dxa" w:w="100"/>
              <w:bottom w:type="dxa" w:w="60"/>
              <w:right w:type="dxa" w:w="100"/>
            </w:tcMar>
            <w:vAlign w:val="top"/>
          </w:tcPr>
          <w:p>
            <w:r>
              <w:rPr>
                <w:sz w:val="14"/>
                <w:szCs w:val="14"/>
              </w:rPr>
              <w:t xml:space="preserve">−0.0280 ± 0.0074</w:t>
            </w:r>
          </w:p>
        </w:tc>
        <w:tc>
          <w:tcPr>
            <w:tcW w:type="dxa" w:w="900"/>
            <w:shd w:fill="F7F9FC" w:color="auto" w:val="clear"/>
            <w:tcMar>
              <w:top w:type="dxa" w:w="60"/>
              <w:left w:type="dxa" w:w="100"/>
              <w:bottom w:type="dxa" w:w="60"/>
              <w:right w:type="dxa" w:w="100"/>
            </w:tcMar>
            <w:vAlign w:val="top"/>
          </w:tcPr>
          <w:p>
            <w:r>
              <w:rPr>
                <w:sz w:val="14"/>
                <w:szCs w:val="14"/>
              </w:rPr>
              <w:t xml:space="preserve">19%</w:t>
            </w:r>
          </w:p>
        </w:tc>
        <w:tc>
          <w:tcPr>
            <w:tcW w:type="dxa" w:w="888"/>
            <w:shd w:fill="F7F9FC" w:color="auto" w:val="clear"/>
            <w:tcMar>
              <w:top w:type="dxa" w:w="60"/>
              <w:left w:type="dxa" w:w="100"/>
              <w:bottom w:type="dxa" w:w="60"/>
              <w:right w:type="dxa" w:w="100"/>
            </w:tcMar>
            <w:vAlign w:val="top"/>
          </w:tcPr>
          <w:p>
            <w:r>
              <w:rPr>
                <w:sz w:val="14"/>
                <w:szCs w:val="14"/>
              </w:rPr>
              <w:t xml:space="preserve">—</w:t>
            </w:r>
          </w:p>
        </w:tc>
      </w:tr>
      <w:tr>
        <w:trPr>
          <w:cantSplit/>
        </w:trPr>
        <w:tc>
          <w:tcPr>
            <w:tcW w:type="dxa" w:w="1300"/>
            <w:tcMar>
              <w:top w:type="dxa" w:w="60"/>
              <w:left w:type="dxa" w:w="100"/>
              <w:bottom w:type="dxa" w:w="60"/>
              <w:right w:type="dxa" w:w="100"/>
            </w:tcMar>
            <w:vAlign w:val="top"/>
          </w:tcPr>
          <w:p/>
        </w:tc>
        <w:tc>
          <w:tcPr>
            <w:tcW w:type="dxa" w:w="2300"/>
            <w:tcMar>
              <w:top w:type="dxa" w:w="60"/>
              <w:left w:type="dxa" w:w="100"/>
              <w:bottom w:type="dxa" w:w="60"/>
              <w:right w:type="dxa" w:w="100"/>
            </w:tcMar>
            <w:vAlign w:val="top"/>
          </w:tcPr>
          <w:p>
            <w:r>
              <w:rPr>
                <w:sz w:val="14"/>
                <w:szCs w:val="14"/>
              </w:rPr>
              <w:t xml:space="preserve">EIG of all parameters</w:t>
            </w:r>
          </w:p>
        </w:tc>
        <w:tc>
          <w:tcPr>
            <w:tcW w:type="dxa" w:w="1700"/>
            <w:tcMar>
              <w:top w:type="dxa" w:w="60"/>
              <w:left w:type="dxa" w:w="100"/>
              <w:bottom w:type="dxa" w:w="60"/>
              <w:right w:type="dxa" w:w="100"/>
            </w:tcMar>
            <w:vAlign w:val="top"/>
          </w:tcPr>
          <w:p>
            <w:r>
              <w:rPr>
                <w:sz w:val="14"/>
                <w:szCs w:val="14"/>
              </w:rPr>
              <w:t xml:space="preserve">49 / 150 / 1 / 0</w:t>
            </w:r>
          </w:p>
        </w:tc>
        <w:tc>
          <w:tcPr>
            <w:tcW w:type="dxa" w:w="950"/>
            <w:tcMar>
              <w:top w:type="dxa" w:w="60"/>
              <w:left w:type="dxa" w:w="100"/>
              <w:bottom w:type="dxa" w:w="60"/>
              <w:right w:type="dxa" w:w="100"/>
            </w:tcMar>
            <w:vAlign w:val="top"/>
          </w:tcPr>
          <w:p>
            <w:r>
              <w:rPr>
                <w:sz w:val="14"/>
                <w:szCs w:val="14"/>
              </w:rPr>
              <w:t xml:space="preserve">0.1490</w:t>
            </w:r>
          </w:p>
        </w:tc>
        <w:tc>
          <w:tcPr>
            <w:tcW w:type="dxa" w:w="1600"/>
            <w:tcMar>
              <w:top w:type="dxa" w:w="60"/>
              <w:left w:type="dxa" w:w="100"/>
              <w:bottom w:type="dxa" w:w="60"/>
              <w:right w:type="dxa" w:w="100"/>
            </w:tcMar>
            <w:vAlign w:val="top"/>
          </w:tcPr>
          <w:p>
            <w:r>
              <w:rPr>
                <w:sz w:val="14"/>
                <w:szCs w:val="14"/>
              </w:rPr>
              <w:t xml:space="preserve">−0.0050 ± 0.0034</w:t>
            </w:r>
          </w:p>
        </w:tc>
        <w:tc>
          <w:tcPr>
            <w:tcW w:type="dxa" w:w="900"/>
            <w:tcMar>
              <w:top w:type="dxa" w:w="60"/>
              <w:left w:type="dxa" w:w="100"/>
              <w:bottom w:type="dxa" w:w="60"/>
              <w:right w:type="dxa" w:w="100"/>
            </w:tcMar>
            <w:vAlign w:val="top"/>
          </w:tcPr>
          <w:p>
            <w:r>
              <w:rPr>
                <w:sz w:val="14"/>
                <w:szCs w:val="14"/>
              </w:rPr>
              <w:t xml:space="preserve">45%</w:t>
            </w:r>
          </w:p>
        </w:tc>
        <w:tc>
          <w:tcPr>
            <w:tcW w:type="dxa" w:w="888"/>
            <w:tcMar>
              <w:top w:type="dxa" w:w="60"/>
              <w:left w:type="dxa" w:w="100"/>
              <w:bottom w:type="dxa" w:w="60"/>
              <w:right w:type="dxa" w:w="100"/>
            </w:tcMar>
            <w:vAlign w:val="top"/>
          </w:tcPr>
          <w:p>
            <w:r>
              <w:rPr>
                <w:sz w:val="14"/>
                <w:szCs w:val="14"/>
              </w:rPr>
              <w:t xml:space="preserve">0.42</w:t>
            </w:r>
          </w:p>
        </w:tc>
      </w:tr>
      <w:tr>
        <w:trPr>
          <w:cantSplit/>
        </w:trPr>
        <w:tc>
          <w:tcPr>
            <w:tcW w:type="dxa" w:w="1300"/>
            <w:shd w:fill="F7F9FC" w:color="auto" w:val="clear"/>
            <w:tcMar>
              <w:top w:type="dxa" w:w="60"/>
              <w:left w:type="dxa" w:w="100"/>
              <w:bottom w:type="dxa" w:w="60"/>
              <w:right w:type="dxa" w:w="100"/>
            </w:tcMar>
            <w:vAlign w:val="top"/>
          </w:tcPr>
          <w:p/>
        </w:tc>
        <w:tc>
          <w:tcPr>
            <w:tcW w:type="dxa" w:w="2300"/>
            <w:shd w:fill="F7F9FC" w:color="auto" w:val="clear"/>
            <w:tcMar>
              <w:top w:type="dxa" w:w="60"/>
              <w:left w:type="dxa" w:w="100"/>
              <w:bottom w:type="dxa" w:w="60"/>
              <w:right w:type="dxa" w:w="100"/>
            </w:tcMar>
            <w:vAlign w:val="top"/>
          </w:tcPr>
          <w:p>
            <w:r>
              <w:rPr>
                <w:sz w:val="14"/>
                <w:szCs w:val="14"/>
              </w:rPr>
              <w:t xml:space="preserve">EIG of the CATE parameters (anchor [B1])</w:t>
            </w:r>
          </w:p>
        </w:tc>
        <w:tc>
          <w:tcPr>
            <w:tcW w:type="dxa" w:w="1700"/>
            <w:shd w:fill="F7F9FC" w:color="auto" w:val="clear"/>
            <w:tcMar>
              <w:top w:type="dxa" w:w="60"/>
              <w:left w:type="dxa" w:w="100"/>
              <w:bottom w:type="dxa" w:w="60"/>
              <w:right w:type="dxa" w:w="100"/>
            </w:tcMar>
            <w:vAlign w:val="top"/>
          </w:tcPr>
          <w:p>
            <w:r>
              <w:rPr>
                <w:sz w:val="14"/>
                <w:szCs w:val="14"/>
              </w:rPr>
              <w:t xml:space="preserve">11 / 189 / 0 / 0</w:t>
            </w:r>
          </w:p>
        </w:tc>
        <w:tc>
          <w:tcPr>
            <w:tcW w:type="dxa" w:w="950"/>
            <w:shd w:fill="F7F9FC" w:color="auto" w:val="clear"/>
            <w:tcMar>
              <w:top w:type="dxa" w:w="60"/>
              <w:left w:type="dxa" w:w="100"/>
              <w:bottom w:type="dxa" w:w="60"/>
              <w:right w:type="dxa" w:w="100"/>
            </w:tcMar>
            <w:vAlign w:val="top"/>
          </w:tcPr>
          <w:p>
            <w:r>
              <w:rPr>
                <w:sz w:val="14"/>
                <w:szCs w:val="14"/>
              </w:rPr>
              <w:t xml:space="preserve">0.1551</w:t>
            </w:r>
          </w:p>
        </w:tc>
        <w:tc>
          <w:tcPr>
            <w:tcW w:type="dxa" w:w="1600"/>
            <w:shd w:fill="F7F9FC" w:color="auto" w:val="clear"/>
            <w:tcMar>
              <w:top w:type="dxa" w:w="60"/>
              <w:left w:type="dxa" w:w="100"/>
              <w:bottom w:type="dxa" w:w="60"/>
              <w:right w:type="dxa" w:w="100"/>
            </w:tcMar>
            <w:vAlign w:val="top"/>
          </w:tcPr>
          <w:p>
            <w:r>
              <w:rPr>
                <w:sz w:val="14"/>
                <w:szCs w:val="14"/>
              </w:rPr>
              <w:t xml:space="preserve">+0.0011 ± 0.0047</w:t>
            </w:r>
          </w:p>
        </w:tc>
        <w:tc>
          <w:tcPr>
            <w:tcW w:type="dxa" w:w="900"/>
            <w:shd w:fill="F7F9FC" w:color="auto" w:val="clear"/>
            <w:tcMar>
              <w:top w:type="dxa" w:w="60"/>
              <w:left w:type="dxa" w:w="100"/>
              <w:bottom w:type="dxa" w:w="60"/>
              <w:right w:type="dxa" w:w="100"/>
            </w:tcMar>
            <w:vAlign w:val="top"/>
          </w:tcPr>
          <w:p>
            <w:r>
              <w:rPr>
                <w:sz w:val="14"/>
                <w:szCs w:val="14"/>
              </w:rPr>
              <w:t xml:space="preserve">53%</w:t>
            </w:r>
          </w:p>
        </w:tc>
        <w:tc>
          <w:tcPr>
            <w:tcW w:type="dxa" w:w="888"/>
            <w:shd w:fill="F7F9FC" w:color="auto" w:val="clear"/>
            <w:tcMar>
              <w:top w:type="dxa" w:w="60"/>
              <w:left w:type="dxa" w:w="100"/>
              <w:bottom w:type="dxa" w:w="60"/>
              <w:right w:type="dxa" w:w="100"/>
            </w:tcMar>
            <w:vAlign w:val="top"/>
          </w:tcPr>
          <w:p>
            <w:r>
              <w:rPr>
                <w:sz w:val="14"/>
                <w:szCs w:val="14"/>
              </w:rPr>
              <w:t xml:space="preserve">0.46</w:t>
            </w:r>
          </w:p>
        </w:tc>
      </w:tr>
      <w:tr>
        <w:trPr>
          <w:cantSplit/>
        </w:trPr>
        <w:tc>
          <w:tcPr>
            <w:tcW w:type="dxa" w:w="1300"/>
            <w:tcMar>
              <w:top w:type="dxa" w:w="60"/>
              <w:left w:type="dxa" w:w="100"/>
              <w:bottom w:type="dxa" w:w="60"/>
              <w:right w:type="dxa" w:w="100"/>
            </w:tcMar>
            <w:vAlign w:val="top"/>
          </w:tcPr>
          <w:p/>
        </w:tc>
        <w:tc>
          <w:tcPr>
            <w:tcW w:type="dxa" w:w="2300"/>
            <w:tcMar>
              <w:top w:type="dxa" w:w="60"/>
              <w:left w:type="dxa" w:w="100"/>
              <w:bottom w:type="dxa" w:w="60"/>
              <w:right w:type="dxa" w:w="100"/>
            </w:tcMar>
            <w:vAlign w:val="top"/>
          </w:tcPr>
          <w:p>
            <w:r>
              <w:rPr>
                <w:sz w:val="14"/>
                <w:szCs w:val="14"/>
              </w:rPr>
              <w:t xml:space="preserve">Mean EIG of the target CATEs</w:t>
            </w:r>
          </w:p>
        </w:tc>
        <w:tc>
          <w:tcPr>
            <w:tcW w:type="dxa" w:w="1700"/>
            <w:tcMar>
              <w:top w:type="dxa" w:w="60"/>
              <w:left w:type="dxa" w:w="100"/>
              <w:bottom w:type="dxa" w:w="60"/>
              <w:right w:type="dxa" w:w="100"/>
            </w:tcMar>
            <w:vAlign w:val="top"/>
          </w:tcPr>
          <w:p>
            <w:r>
              <w:rPr>
                <w:sz w:val="14"/>
                <w:szCs w:val="14"/>
              </w:rPr>
              <w:t xml:space="preserve">6 / 193 / 1 / 0</w:t>
            </w:r>
          </w:p>
        </w:tc>
        <w:tc>
          <w:tcPr>
            <w:tcW w:type="dxa" w:w="950"/>
            <w:tcMar>
              <w:top w:type="dxa" w:w="60"/>
              <w:left w:type="dxa" w:w="100"/>
              <w:bottom w:type="dxa" w:w="60"/>
              <w:right w:type="dxa" w:w="100"/>
            </w:tcMar>
            <w:vAlign w:val="top"/>
          </w:tcPr>
          <w:p>
            <w:r>
              <w:rPr>
                <w:sz w:val="14"/>
                <w:szCs w:val="14"/>
              </w:rPr>
              <w:t xml:space="preserve">0.1563</w:t>
            </w:r>
          </w:p>
        </w:tc>
        <w:tc>
          <w:tcPr>
            <w:tcW w:type="dxa" w:w="1600"/>
            <w:tcMar>
              <w:top w:type="dxa" w:w="60"/>
              <w:left w:type="dxa" w:w="100"/>
              <w:bottom w:type="dxa" w:w="60"/>
              <w:right w:type="dxa" w:w="100"/>
            </w:tcMar>
            <w:vAlign w:val="top"/>
          </w:tcPr>
          <w:p>
            <w:r>
              <w:rPr>
                <w:sz w:val="14"/>
                <w:szCs w:val="14"/>
              </w:rPr>
              <w:t xml:space="preserve">+0.0023 ± 0.0045</w:t>
            </w:r>
          </w:p>
        </w:tc>
        <w:tc>
          <w:tcPr>
            <w:tcW w:type="dxa" w:w="900"/>
            <w:tcMar>
              <w:top w:type="dxa" w:w="60"/>
              <w:left w:type="dxa" w:w="100"/>
              <w:bottom w:type="dxa" w:w="60"/>
              <w:right w:type="dxa" w:w="100"/>
            </w:tcMar>
            <w:vAlign w:val="top"/>
          </w:tcPr>
          <w:p>
            <w:r>
              <w:rPr>
                <w:sz w:val="14"/>
                <w:szCs w:val="14"/>
              </w:rPr>
              <w:t xml:space="preserve">54%</w:t>
            </w:r>
          </w:p>
        </w:tc>
        <w:tc>
          <w:tcPr>
            <w:tcW w:type="dxa" w:w="888"/>
            <w:tcMar>
              <w:top w:type="dxa" w:w="60"/>
              <w:left w:type="dxa" w:w="100"/>
              <w:bottom w:type="dxa" w:w="60"/>
              <w:right w:type="dxa" w:w="100"/>
            </w:tcMar>
            <w:vAlign w:val="top"/>
          </w:tcPr>
          <w:p>
            <w:r>
              <w:rPr>
                <w:sz w:val="14"/>
                <w:szCs w:val="14"/>
              </w:rPr>
              <w:t xml:space="preserve">0.47</w:t>
            </w:r>
          </w:p>
        </w:tc>
      </w:tr>
      <w:tr>
        <w:trPr>
          <w:cantSplit/>
        </w:trPr>
        <w:tc>
          <w:tcPr>
            <w:tcW w:type="dxa" w:w="1300"/>
            <w:shd w:fill="F7F9FC" w:color="auto" w:val="clear"/>
            <w:tcMar>
              <w:top w:type="dxa" w:w="60"/>
              <w:left w:type="dxa" w:w="100"/>
              <w:bottom w:type="dxa" w:w="60"/>
              <w:right w:type="dxa" w:w="100"/>
            </w:tcMar>
            <w:vAlign w:val="top"/>
          </w:tcPr>
          <w:p/>
        </w:tc>
        <w:tc>
          <w:tcPr>
            <w:tcW w:type="dxa" w:w="2300"/>
            <w:shd w:fill="F7F9FC" w:color="auto" w:val="clear"/>
            <w:tcMar>
              <w:top w:type="dxa" w:w="60"/>
              <w:left w:type="dxa" w:w="100"/>
              <w:bottom w:type="dxa" w:w="60"/>
              <w:right w:type="dxa" w:w="100"/>
            </w:tcMar>
            <w:vAlign w:val="top"/>
          </w:tcPr>
          <w:p>
            <w:r>
              <w:rPr>
                <w:sz w:val="14"/>
                <w:szCs w:val="14"/>
              </w:rPr>
              <w:t xml:space="preserve">BASHKIMI-GO decision value</w:t>
            </w:r>
          </w:p>
        </w:tc>
        <w:tc>
          <w:tcPr>
            <w:tcW w:type="dxa" w:w="1700"/>
            <w:shd w:fill="F7F9FC" w:color="auto" w:val="clear"/>
            <w:tcMar>
              <w:top w:type="dxa" w:w="60"/>
              <w:left w:type="dxa" w:w="100"/>
              <w:bottom w:type="dxa" w:w="60"/>
              <w:right w:type="dxa" w:w="100"/>
            </w:tcMar>
            <w:vAlign w:val="top"/>
          </w:tcPr>
          <w:p>
            <w:r>
              <w:rPr>
                <w:sz w:val="14"/>
                <w:szCs w:val="14"/>
              </w:rPr>
              <w:t xml:space="preserve">13 / 166 / 21 / 0</w:t>
            </w:r>
          </w:p>
        </w:tc>
        <w:tc>
          <w:tcPr>
            <w:tcW w:type="dxa" w:w="950"/>
            <w:shd w:fill="F7F9FC" w:color="auto" w:val="clear"/>
            <w:tcMar>
              <w:top w:type="dxa" w:w="60"/>
              <w:left w:type="dxa" w:w="100"/>
              <w:bottom w:type="dxa" w:w="60"/>
              <w:right w:type="dxa" w:w="100"/>
            </w:tcMar>
            <w:vAlign w:val="top"/>
          </w:tcPr>
          <w:p>
            <w:r>
              <w:rPr>
                <w:sz w:val="14"/>
                <w:szCs w:val="14"/>
              </w:rPr>
              <w:t xml:space="preserve">0.1540</w:t>
            </w:r>
          </w:p>
        </w:tc>
        <w:tc>
          <w:tcPr>
            <w:tcW w:type="dxa" w:w="1600"/>
            <w:shd w:fill="F7F9FC" w:color="auto" w:val="clear"/>
            <w:tcMar>
              <w:top w:type="dxa" w:w="60"/>
              <w:left w:type="dxa" w:w="100"/>
              <w:bottom w:type="dxa" w:w="60"/>
              <w:right w:type="dxa" w:w="100"/>
            </w:tcMar>
            <w:vAlign w:val="top"/>
          </w:tcPr>
          <w:p>
            <w:r>
              <w:rPr>
                <w:sz w:val="14"/>
                <w:szCs w:val="14"/>
              </w:rPr>
              <w:t xml:space="preserve">—</w:t>
            </w:r>
          </w:p>
        </w:tc>
        <w:tc>
          <w:tcPr>
            <w:tcW w:type="dxa" w:w="900"/>
            <w:shd w:fill="F7F9FC" w:color="auto" w:val="clear"/>
            <w:tcMar>
              <w:top w:type="dxa" w:w="60"/>
              <w:left w:type="dxa" w:w="100"/>
              <w:bottom w:type="dxa" w:w="60"/>
              <w:right w:type="dxa" w:w="100"/>
            </w:tcMar>
            <w:vAlign w:val="top"/>
          </w:tcPr>
          <w:p>
            <w:r>
              <w:rPr>
                <w:sz w:val="14"/>
                <w:szCs w:val="14"/>
              </w:rPr>
              <w:t xml:space="preserve">56%</w:t>
            </w:r>
          </w:p>
        </w:tc>
        <w:tc>
          <w:tcPr>
            <w:tcW w:type="dxa" w:w="888"/>
            <w:shd w:fill="F7F9FC" w:color="auto" w:val="clear"/>
            <w:tcMar>
              <w:top w:type="dxa" w:w="60"/>
              <w:left w:type="dxa" w:w="100"/>
              <w:bottom w:type="dxa" w:w="60"/>
              <w:right w:type="dxa" w:w="100"/>
            </w:tcMar>
            <w:vAlign w:val="top"/>
          </w:tcPr>
          <w:p>
            <w:r>
              <w:rPr>
                <w:sz w:val="14"/>
                <w:szCs w:val="14"/>
              </w:rPr>
              <w:t xml:space="preserve">0.51</w:t>
            </w:r>
          </w:p>
        </w:tc>
      </w:tr>
    </w:tbl>
    <w:p>
      <w:pPr>
        <w:spacing w:after="160"/>
      </w:pPr>
    </w:p>
    <w:p>
      <w:pPr>
        <w:spacing w:after="120"/>
      </w:pPr>
      <w:r>
        <w:rPr>
          <w:i/>
          <w:iCs/>
          <w:color w:val="5B6573"/>
          <w:sz w:val="18"/>
          <w:szCs w:val="18"/>
        </w:rPr>
        <w:t xml:space="preserve">Table 9.2. 200 aquifers; gains are expected realised gains (30 draws of outcomes per merge); the confidence interval is for the paired difference. Picking at random would gain 0.0310 (physics) and 0.1104 (polynomial); always picking the best merge, 0.0561 and 0.1692.</w:t>
      </w:r>
    </w:p>
    <w:p>
      <w:pPr>
        <w:keepNext/>
        <w:spacing w:after="60" w:before="120"/>
        <w:jc w:val="center"/>
      </w:pPr>
      <w:r>
        <w:drawing>
          <wp:inline distT="0" distB="0" distL="0" distR="0">
            <wp:extent cx="5943600" cy="4743450"/>
            <wp:effectExtent t="0" r="0" b="0" l="0"/>
            <wp:docPr id="1" name="Map of the wells of the five holders over the true effect of pumping on chloride, comparison of the merge criteria, net benefit against merge cost, and agreement of private and non-private choices against the privacy budget" descr="Map of the wells of the five holders over the true effect of pumping on chloride, comparison of the merge criteria, net benefit against merge cost, and agreement of private and non-private choices against the privacy budget" title="Map of the wells of the five holders over the true effect of pumping on chloride, comparison of the merge criteria, net benefit against merge cost, and agreement of private and non-private choices against the privacy bu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743450"/>
                    </a:xfrm>
                    <a:prstGeom prst="rect">
                      <a:avLst/>
                    </a:prstGeom>
                  </pic:spPr>
                </pic:pic>
              </a:graphicData>
            </a:graphic>
          </wp:inline>
        </w:drawing>
      </w:r>
    </w:p>
    <w:p>
      <w:pPr>
        <w:spacing w:after="200"/>
        <w:jc w:val="both"/>
      </w:pPr>
      <w:r>
        <w:rPr>
          <w:b/>
          <w:bCs/>
          <w:color w:val="3A4350"/>
          <w:sz w:val="18"/>
          <w:szCs w:val="18"/>
        </w:rPr>
        <w:t xml:space="preserve">Figure B1.</w:t>
      </w:r>
      <w:r>
        <w:rPr>
          <w:color w:val="3A4350"/>
          <w:sz w:val="18"/>
          <w:szCs w:val="18"/>
        </w:rPr>
        <w:t xml:space="preserve"> (a) One plausible aquifer: the true effect of high pumping on the seasonal log-chloride change (grey), the wells of the five holders and the 40 target wells. (b) Expected gain of the merge each criterion picks minus that of the BASHKIMI-GO pick, with 95% intervals, for the physics-informed and the polynomial CATE model. (c) Net benefit of three merge policies against the cost of one merge (physics model; band: 95% interval of the BASHKIMI-GO rule). (d) Share of aquifers in which the private choice equals the non-private one, against the privacy budget, information clipped at 0.3; picking at random agrees in 25%.</w:t>
      </w:r>
    </w:p>
    <w:p>
      <w:pPr>
        <w:pStyle w:val="Heading3"/>
      </w:pPr>
      <w:r>
        <w:rPr>
          <w:color w:val="1F3864"/>
        </w:rPr>
        <w:t xml:space="preserve">9.7 What the test shows</w:t>
      </w:r>
    </w:p>
    <w:p>
      <w:pPr>
        <w:pStyle w:val="ListParagraph"/>
        <w:numPr>
          <w:ilvl w:val="0"/>
          <w:numId w:val="2"/>
        </w:numPr>
        <w:spacing w:after="60"/>
        <w:jc w:val="both"/>
      </w:pPr>
      <w:r>
        <w:rPr>
          <w:b/>
          <w:bCs/>
        </w:rPr>
        <w:t xml:space="preserve">Physics is worth more than any merge.</w:t>
      </w:r>
      <w:r>
        <w:t xml:space="preserve"> With the physics-informed CATE basis the utility's own 60 records give a mean loss of 0.502; with the generic polynomial basis of the anchor paper they give 0.711, and even the best of the four merges, chosen with hindsight, only brings it to 0.542 (the BASHKIMI-GO pick to 0.557). The physics transfers what inland records say about the scale of the chloride response to the coast, where the decisions are; that is why merges are worth less under it (best-merge gain 0.056 against 0.169).</w:t>
      </w:r>
    </w:p>
    <w:p>
      <w:pPr>
        <w:pStyle w:val="ListParagraph"/>
        <w:numPr>
          <w:ilvl w:val="0"/>
          <w:numId w:val="2"/>
        </w:numPr>
        <w:spacing w:after="60"/>
        <w:jc w:val="both"/>
      </w:pPr>
      <w:r>
        <w:rPr>
          <w:b/>
          <w:bCs/>
        </w:rPr>
        <w:t xml:space="preserve">Which merge: as good as the anchor's EIG, better than size.</w:t>
      </w:r>
      <w:r>
        <w:t xml:space="preserve"> In both models the decision value picks merges whose expected gain is not significantly different from those of the anchor's EIG of the CATE parameters (+0.0010 ± 0.0044 and +0.0011 ± 0.0047 for the EIG relative to the decision value), and significantly better than taking the largest dataset (by 0.0068 and 0.0280) and, with the polynomial model, than the EIG of all parameters (by 0.0050). It has the best rank agreement with the realised gains (Kendall 0.13 and 0.51) and the highest share of correct picks (34% and 56%). Where it disagrees with the anchor (45% of aquifers, physics model) it prefers the coastal hotels (43 against 10 picks), the holder that informs the targets in play, but in those aquifers its gain minus the anchor's is −0.0022 ± 0.0098, not significant. The honest summary is that ranking four merges is hard: the best one is picked in at most 56% of aquifers by any criterion.</w:t>
      </w:r>
    </w:p>
    <w:p>
      <w:pPr>
        <w:pStyle w:val="ListParagraph"/>
        <w:numPr>
          <w:ilvl w:val="0"/>
          <w:numId w:val="2"/>
        </w:numPr>
        <w:spacing w:after="60"/>
        <w:jc w:val="both"/>
      </w:pPr>
      <w:r>
        <w:rPr>
          <w:b/>
          <w:bCs/>
        </w:rPr>
        <w:t xml:space="preserve">Is merging worth it? Only the decision value can answer.</w:t>
      </w:r>
      <w:r>
        <w:t xml:space="preserve"> Information has no price; the decision value is in loss units and can be compared with the cost of a merge (agreements, cleaning, legal review). Merging only when the predicted value exceeds the cost gives a net benefit of +0.0144 ± 0.0112 at a cost of 0.03 against 0.0063 for always merging (Table 9.3, Figure B1c); at a cost of 0.06 always merging loses 0.0237 per decision round while the rule, which merges in 31% of aquifers, gains 0.0058.</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300"/>
        <w:gridCol w:w="1300"/>
        <w:gridCol w:w="2300"/>
        <w:gridCol w:w="1700"/>
        <w:gridCol w:w="1800"/>
        <w:gridCol w:w="1238"/>
      </w:tblGrid>
      <w:tr>
        <w:trPr>
          <w:cantSplit/>
          <w:tblHeader/>
        </w:trPr>
        <w:tc>
          <w:tcPr>
            <w:tcW w:type="dxa" w:w="1300"/>
            <w:shd w:fill="1F3864" w:color="auto" w:val="clear"/>
            <w:tcMar>
              <w:top w:type="dxa" w:w="60"/>
              <w:left w:type="dxa" w:w="100"/>
              <w:bottom w:type="dxa" w:w="60"/>
              <w:right w:type="dxa" w:w="100"/>
            </w:tcMar>
            <w:vAlign w:val="top"/>
          </w:tcPr>
          <w:p>
            <w:r>
              <w:rPr>
                <w:b/>
                <w:bCs/>
                <w:color w:val="FFFFFF"/>
                <w:sz w:val="15"/>
                <w:szCs w:val="15"/>
              </w:rPr>
              <w:t xml:space="preserve">Cost of a merge</w:t>
            </w:r>
          </w:p>
        </w:tc>
        <w:tc>
          <w:tcPr>
            <w:tcW w:type="dxa" w:w="1300"/>
            <w:shd w:fill="1F3864" w:color="auto" w:val="clear"/>
            <w:tcMar>
              <w:top w:type="dxa" w:w="60"/>
              <w:left w:type="dxa" w:w="100"/>
              <w:bottom w:type="dxa" w:w="60"/>
              <w:right w:type="dxa" w:w="100"/>
            </w:tcMar>
            <w:vAlign w:val="top"/>
          </w:tcPr>
          <w:p>
            <w:r>
              <w:rPr>
                <w:b/>
                <w:bCs/>
                <w:color w:val="FFFFFF"/>
                <w:sz w:val="15"/>
                <w:szCs w:val="15"/>
              </w:rPr>
              <w:t xml:space="preserve">Rule merges in</w:t>
            </w:r>
          </w:p>
        </w:tc>
        <w:tc>
          <w:tcPr>
            <w:tcW w:type="dxa" w:w="2300"/>
            <w:shd w:fill="1F3864" w:color="auto" w:val="clear"/>
            <w:tcMar>
              <w:top w:type="dxa" w:w="60"/>
              <w:left w:type="dxa" w:w="100"/>
              <w:bottom w:type="dxa" w:w="60"/>
              <w:right w:type="dxa" w:w="100"/>
            </w:tcMar>
            <w:vAlign w:val="top"/>
          </w:tcPr>
          <w:p>
            <w:r>
              <w:rPr>
                <w:b/>
                <w:bCs/>
                <w:color w:val="FFFFFF"/>
                <w:sz w:val="15"/>
                <w:szCs w:val="15"/>
              </w:rPr>
              <w:t xml:space="preserve">BASHKIMI-GO rule: net benefit</w:t>
            </w:r>
          </w:p>
        </w:tc>
        <w:tc>
          <w:tcPr>
            <w:tcW w:type="dxa" w:w="1700"/>
            <w:shd w:fill="1F3864" w:color="auto" w:val="clear"/>
            <w:tcMar>
              <w:top w:type="dxa" w:w="60"/>
              <w:left w:type="dxa" w:w="100"/>
              <w:bottom w:type="dxa" w:w="60"/>
              <w:right w:type="dxa" w:w="100"/>
            </w:tcMar>
            <w:vAlign w:val="top"/>
          </w:tcPr>
          <w:p>
            <w:r>
              <w:rPr>
                <w:b/>
                <w:bCs/>
                <w:color w:val="FFFFFF"/>
                <w:sz w:val="15"/>
                <w:szCs w:val="15"/>
              </w:rPr>
              <w:t xml:space="preserve">Always merge (its pick)</w:t>
            </w:r>
          </w:p>
        </w:tc>
        <w:tc>
          <w:tcPr>
            <w:tcW w:type="dxa" w:w="1800"/>
            <w:shd w:fill="1F3864" w:color="auto" w:val="clear"/>
            <w:tcMar>
              <w:top w:type="dxa" w:w="60"/>
              <w:left w:type="dxa" w:w="100"/>
              <w:bottom w:type="dxa" w:w="60"/>
              <w:right w:type="dxa" w:w="100"/>
            </w:tcMar>
            <w:vAlign w:val="top"/>
          </w:tcPr>
          <w:p>
            <w:r>
              <w:rPr>
                <w:b/>
                <w:bCs/>
                <w:color w:val="FFFFFF"/>
                <w:sz w:val="15"/>
                <w:szCs w:val="15"/>
              </w:rPr>
              <w:t xml:space="preserve">Always merge (anchor pick)</w:t>
            </w:r>
          </w:p>
        </w:tc>
        <w:tc>
          <w:tcPr>
            <w:tcW w:type="dxa" w:w="1238"/>
            <w:shd w:fill="1F3864" w:color="auto" w:val="clear"/>
            <w:tcMar>
              <w:top w:type="dxa" w:w="60"/>
              <w:left w:type="dxa" w:w="100"/>
              <w:bottom w:type="dxa" w:w="60"/>
              <w:right w:type="dxa" w:w="100"/>
            </w:tcMar>
            <w:vAlign w:val="top"/>
          </w:tcPr>
          <w:p>
            <w:r>
              <w:rPr>
                <w:b/>
                <w:bCs/>
                <w:color w:val="FFFFFF"/>
                <w:sz w:val="15"/>
                <w:szCs w:val="15"/>
              </w:rPr>
              <w:t xml:space="preserve">Oracle</w:t>
            </w:r>
          </w:p>
        </w:tc>
      </w:tr>
      <w:tr>
        <w:trPr>
          <w:cantSplit/>
        </w:trPr>
        <w:tc>
          <w:tcPr>
            <w:tcW w:type="dxa" w:w="1300"/>
            <w:tcMar>
              <w:top w:type="dxa" w:w="60"/>
              <w:left w:type="dxa" w:w="100"/>
              <w:bottom w:type="dxa" w:w="60"/>
              <w:right w:type="dxa" w:w="100"/>
            </w:tcMar>
            <w:vAlign w:val="top"/>
          </w:tcPr>
          <w:p>
            <w:r>
              <w:rPr>
                <w:sz w:val="15"/>
                <w:szCs w:val="15"/>
              </w:rPr>
              <w:t xml:space="preserve">0.01</w:t>
            </w:r>
          </w:p>
        </w:tc>
        <w:tc>
          <w:tcPr>
            <w:tcW w:type="dxa" w:w="1300"/>
            <w:tcMar>
              <w:top w:type="dxa" w:w="60"/>
              <w:left w:type="dxa" w:w="100"/>
              <w:bottom w:type="dxa" w:w="60"/>
              <w:right w:type="dxa" w:w="100"/>
            </w:tcMar>
            <w:vAlign w:val="top"/>
          </w:tcPr>
          <w:p>
            <w:r>
              <w:rPr>
                <w:sz w:val="15"/>
                <w:szCs w:val="15"/>
              </w:rPr>
              <w:t xml:space="preserve">98%</w:t>
            </w:r>
          </w:p>
        </w:tc>
        <w:tc>
          <w:tcPr>
            <w:tcW w:type="dxa" w:w="2300"/>
            <w:tcMar>
              <w:top w:type="dxa" w:w="60"/>
              <w:left w:type="dxa" w:w="100"/>
              <w:bottom w:type="dxa" w:w="60"/>
              <w:right w:type="dxa" w:w="100"/>
            </w:tcMar>
            <w:vAlign w:val="top"/>
          </w:tcPr>
          <w:p>
            <w:r>
              <w:rPr>
                <w:sz w:val="15"/>
                <w:szCs w:val="15"/>
              </w:rPr>
              <w:t xml:space="preserve">+0.0266 ± 0.0117</w:t>
            </w:r>
          </w:p>
        </w:tc>
        <w:tc>
          <w:tcPr>
            <w:tcW w:type="dxa" w:w="1700"/>
            <w:tcMar>
              <w:top w:type="dxa" w:w="60"/>
              <w:left w:type="dxa" w:w="100"/>
              <w:bottom w:type="dxa" w:w="60"/>
              <w:right w:type="dxa" w:w="100"/>
            </w:tcMar>
            <w:vAlign w:val="top"/>
          </w:tcPr>
          <w:p>
            <w:r>
              <w:rPr>
                <w:sz w:val="15"/>
                <w:szCs w:val="15"/>
              </w:rPr>
              <w:t xml:space="preserve">+0.0263</w:t>
            </w:r>
          </w:p>
        </w:tc>
        <w:tc>
          <w:tcPr>
            <w:tcW w:type="dxa" w:w="1800"/>
            <w:tcMar>
              <w:top w:type="dxa" w:w="60"/>
              <w:left w:type="dxa" w:w="100"/>
              <w:bottom w:type="dxa" w:w="60"/>
              <w:right w:type="dxa" w:w="100"/>
            </w:tcMar>
            <w:vAlign w:val="top"/>
          </w:tcPr>
          <w:p>
            <w:r>
              <w:rPr>
                <w:sz w:val="15"/>
                <w:szCs w:val="15"/>
              </w:rPr>
              <w:t xml:space="preserve">+0.0273</w:t>
            </w:r>
          </w:p>
        </w:tc>
        <w:tc>
          <w:tcPr>
            <w:tcW w:type="dxa" w:w="1238"/>
            <w:tcMar>
              <w:top w:type="dxa" w:w="60"/>
              <w:left w:type="dxa" w:w="100"/>
              <w:bottom w:type="dxa" w:w="60"/>
              <w:right w:type="dxa" w:w="100"/>
            </w:tcMar>
            <w:vAlign w:val="top"/>
          </w:tcPr>
          <w:p>
            <w:r>
              <w:rPr>
                <w:sz w:val="15"/>
                <w:szCs w:val="15"/>
              </w:rPr>
              <w:t xml:space="preserve">+0.0527</w:t>
            </w:r>
          </w:p>
        </w:tc>
      </w:tr>
      <w:tr>
        <w:trPr>
          <w:cantSplit/>
        </w:trPr>
        <w:tc>
          <w:tcPr>
            <w:tcW w:type="dxa" w:w="1300"/>
            <w:shd w:fill="F7F9FC" w:color="auto" w:val="clear"/>
            <w:tcMar>
              <w:top w:type="dxa" w:w="60"/>
              <w:left w:type="dxa" w:w="100"/>
              <w:bottom w:type="dxa" w:w="60"/>
              <w:right w:type="dxa" w:w="100"/>
            </w:tcMar>
            <w:vAlign w:val="top"/>
          </w:tcPr>
          <w:p>
            <w:r>
              <w:rPr>
                <w:sz w:val="15"/>
                <w:szCs w:val="15"/>
              </w:rPr>
              <w:t xml:space="preserve">0.02</w:t>
            </w:r>
          </w:p>
        </w:tc>
        <w:tc>
          <w:tcPr>
            <w:tcW w:type="dxa" w:w="1300"/>
            <w:shd w:fill="F7F9FC" w:color="auto" w:val="clear"/>
            <w:tcMar>
              <w:top w:type="dxa" w:w="60"/>
              <w:left w:type="dxa" w:w="100"/>
              <w:bottom w:type="dxa" w:w="60"/>
              <w:right w:type="dxa" w:w="100"/>
            </w:tcMar>
            <w:vAlign w:val="top"/>
          </w:tcPr>
          <w:p>
            <w:r>
              <w:rPr>
                <w:sz w:val="15"/>
                <w:szCs w:val="15"/>
              </w:rPr>
              <w:t xml:space="preserve">92%</w:t>
            </w:r>
          </w:p>
        </w:tc>
        <w:tc>
          <w:tcPr>
            <w:tcW w:type="dxa" w:w="2300"/>
            <w:shd w:fill="F7F9FC" w:color="auto" w:val="clear"/>
            <w:tcMar>
              <w:top w:type="dxa" w:w="60"/>
              <w:left w:type="dxa" w:w="100"/>
              <w:bottom w:type="dxa" w:w="60"/>
              <w:right w:type="dxa" w:w="100"/>
            </w:tcMar>
            <w:vAlign w:val="top"/>
          </w:tcPr>
          <w:p>
            <w:r>
              <w:rPr>
                <w:sz w:val="15"/>
                <w:szCs w:val="15"/>
              </w:rPr>
              <w:t xml:space="preserve">+0.0189 ± 0.0116</w:t>
            </w:r>
          </w:p>
        </w:tc>
        <w:tc>
          <w:tcPr>
            <w:tcW w:type="dxa" w:w="1700"/>
            <w:shd w:fill="F7F9FC" w:color="auto" w:val="clear"/>
            <w:tcMar>
              <w:top w:type="dxa" w:w="60"/>
              <w:left w:type="dxa" w:w="100"/>
              <w:bottom w:type="dxa" w:w="60"/>
              <w:right w:type="dxa" w:w="100"/>
            </w:tcMar>
            <w:vAlign w:val="top"/>
          </w:tcPr>
          <w:p>
            <w:r>
              <w:rPr>
                <w:sz w:val="15"/>
                <w:szCs w:val="15"/>
              </w:rPr>
              <w:t xml:space="preserve">+0.0163</w:t>
            </w:r>
          </w:p>
        </w:tc>
        <w:tc>
          <w:tcPr>
            <w:tcW w:type="dxa" w:w="1800"/>
            <w:shd w:fill="F7F9FC" w:color="auto" w:val="clear"/>
            <w:tcMar>
              <w:top w:type="dxa" w:w="60"/>
              <w:left w:type="dxa" w:w="100"/>
              <w:bottom w:type="dxa" w:w="60"/>
              <w:right w:type="dxa" w:w="100"/>
            </w:tcMar>
            <w:vAlign w:val="top"/>
          </w:tcPr>
          <w:p>
            <w:r>
              <w:rPr>
                <w:sz w:val="15"/>
                <w:szCs w:val="15"/>
              </w:rPr>
              <w:t xml:space="preserve">+0.0173</w:t>
            </w:r>
          </w:p>
        </w:tc>
        <w:tc>
          <w:tcPr>
            <w:tcW w:type="dxa" w:w="1238"/>
            <w:shd w:fill="F7F9FC" w:color="auto" w:val="clear"/>
            <w:tcMar>
              <w:top w:type="dxa" w:w="60"/>
              <w:left w:type="dxa" w:w="100"/>
              <w:bottom w:type="dxa" w:w="60"/>
              <w:right w:type="dxa" w:w="100"/>
            </w:tcMar>
            <w:vAlign w:val="top"/>
          </w:tcPr>
          <w:p>
            <w:r>
              <w:rPr>
                <w:sz w:val="15"/>
                <w:szCs w:val="15"/>
              </w:rPr>
              <w:t xml:space="preserve">+0.0471</w:t>
            </w:r>
          </w:p>
        </w:tc>
      </w:tr>
      <w:tr>
        <w:trPr>
          <w:cantSplit/>
        </w:trPr>
        <w:tc>
          <w:tcPr>
            <w:tcW w:type="dxa" w:w="1300"/>
            <w:tcMar>
              <w:top w:type="dxa" w:w="60"/>
              <w:left w:type="dxa" w:w="100"/>
              <w:bottom w:type="dxa" w:w="60"/>
              <w:right w:type="dxa" w:w="100"/>
            </w:tcMar>
            <w:vAlign w:val="top"/>
          </w:tcPr>
          <w:p>
            <w:r>
              <w:rPr>
                <w:sz w:val="15"/>
                <w:szCs w:val="15"/>
              </w:rPr>
              <w:t xml:space="preserve">0.03</w:t>
            </w:r>
          </w:p>
        </w:tc>
        <w:tc>
          <w:tcPr>
            <w:tcW w:type="dxa" w:w="1300"/>
            <w:tcMar>
              <w:top w:type="dxa" w:w="60"/>
              <w:left w:type="dxa" w:w="100"/>
              <w:bottom w:type="dxa" w:w="60"/>
              <w:right w:type="dxa" w:w="100"/>
            </w:tcMar>
            <w:vAlign w:val="top"/>
          </w:tcPr>
          <w:p>
            <w:r>
              <w:rPr>
                <w:sz w:val="15"/>
                <w:szCs w:val="15"/>
              </w:rPr>
              <w:t xml:space="preserve">80%</w:t>
            </w:r>
          </w:p>
        </w:tc>
        <w:tc>
          <w:tcPr>
            <w:tcW w:type="dxa" w:w="2300"/>
            <w:tcMar>
              <w:top w:type="dxa" w:w="60"/>
              <w:left w:type="dxa" w:w="100"/>
              <w:bottom w:type="dxa" w:w="60"/>
              <w:right w:type="dxa" w:w="100"/>
            </w:tcMar>
            <w:vAlign w:val="top"/>
          </w:tcPr>
          <w:p>
            <w:r>
              <w:rPr>
                <w:sz w:val="15"/>
                <w:szCs w:val="15"/>
              </w:rPr>
              <w:t xml:space="preserve">+0.0144 ± 0.0112</w:t>
            </w:r>
          </w:p>
        </w:tc>
        <w:tc>
          <w:tcPr>
            <w:tcW w:type="dxa" w:w="1700"/>
            <w:tcMar>
              <w:top w:type="dxa" w:w="60"/>
              <w:left w:type="dxa" w:w="100"/>
              <w:bottom w:type="dxa" w:w="60"/>
              <w:right w:type="dxa" w:w="100"/>
            </w:tcMar>
            <w:vAlign w:val="top"/>
          </w:tcPr>
          <w:p>
            <w:r>
              <w:rPr>
                <w:sz w:val="15"/>
                <w:szCs w:val="15"/>
              </w:rPr>
              <w:t xml:space="preserve">+0.0063</w:t>
            </w:r>
          </w:p>
        </w:tc>
        <w:tc>
          <w:tcPr>
            <w:tcW w:type="dxa" w:w="1800"/>
            <w:tcMar>
              <w:top w:type="dxa" w:w="60"/>
              <w:left w:type="dxa" w:w="100"/>
              <w:bottom w:type="dxa" w:w="60"/>
              <w:right w:type="dxa" w:w="100"/>
            </w:tcMar>
            <w:vAlign w:val="top"/>
          </w:tcPr>
          <w:p>
            <w:r>
              <w:rPr>
                <w:sz w:val="15"/>
                <w:szCs w:val="15"/>
              </w:rPr>
              <w:t xml:space="preserve">+0.0073</w:t>
            </w:r>
          </w:p>
        </w:tc>
        <w:tc>
          <w:tcPr>
            <w:tcW w:type="dxa" w:w="1238"/>
            <w:tcMar>
              <w:top w:type="dxa" w:w="60"/>
              <w:left w:type="dxa" w:w="100"/>
              <w:bottom w:type="dxa" w:w="60"/>
              <w:right w:type="dxa" w:w="100"/>
            </w:tcMar>
            <w:vAlign w:val="top"/>
          </w:tcPr>
          <w:p>
            <w:r>
              <w:rPr>
                <w:sz w:val="15"/>
                <w:szCs w:val="15"/>
              </w:rPr>
              <w:t xml:space="preserve">+0.0424</w:t>
            </w:r>
          </w:p>
        </w:tc>
      </w:tr>
      <w:tr>
        <w:trPr>
          <w:cantSplit/>
        </w:trPr>
        <w:tc>
          <w:tcPr>
            <w:tcW w:type="dxa" w:w="1300"/>
            <w:shd w:fill="F7F9FC" w:color="auto" w:val="clear"/>
            <w:tcMar>
              <w:top w:type="dxa" w:w="60"/>
              <w:left w:type="dxa" w:w="100"/>
              <w:bottom w:type="dxa" w:w="60"/>
              <w:right w:type="dxa" w:w="100"/>
            </w:tcMar>
            <w:vAlign w:val="top"/>
          </w:tcPr>
          <w:p>
            <w:r>
              <w:rPr>
                <w:sz w:val="15"/>
                <w:szCs w:val="15"/>
              </w:rPr>
              <w:t xml:space="preserve">0.04</w:t>
            </w:r>
          </w:p>
        </w:tc>
        <w:tc>
          <w:tcPr>
            <w:tcW w:type="dxa" w:w="1300"/>
            <w:shd w:fill="F7F9FC" w:color="auto" w:val="clear"/>
            <w:tcMar>
              <w:top w:type="dxa" w:w="60"/>
              <w:left w:type="dxa" w:w="100"/>
              <w:bottom w:type="dxa" w:w="60"/>
              <w:right w:type="dxa" w:w="100"/>
            </w:tcMar>
            <w:vAlign w:val="top"/>
          </w:tcPr>
          <w:p>
            <w:r>
              <w:rPr>
                <w:sz w:val="15"/>
                <w:szCs w:val="15"/>
              </w:rPr>
              <w:t xml:space="preserve">65%</w:t>
            </w:r>
          </w:p>
        </w:tc>
        <w:tc>
          <w:tcPr>
            <w:tcW w:type="dxa" w:w="2300"/>
            <w:shd w:fill="F7F9FC" w:color="auto" w:val="clear"/>
            <w:tcMar>
              <w:top w:type="dxa" w:w="60"/>
              <w:left w:type="dxa" w:w="100"/>
              <w:bottom w:type="dxa" w:w="60"/>
              <w:right w:type="dxa" w:w="100"/>
            </w:tcMar>
            <w:vAlign w:val="top"/>
          </w:tcPr>
          <w:p>
            <w:r>
              <w:rPr>
                <w:sz w:val="15"/>
                <w:szCs w:val="15"/>
              </w:rPr>
              <w:t xml:space="preserve">+0.0104 ± 0.0108</w:t>
            </w:r>
          </w:p>
        </w:tc>
        <w:tc>
          <w:tcPr>
            <w:tcW w:type="dxa" w:w="1700"/>
            <w:shd w:fill="F7F9FC" w:color="auto" w:val="clear"/>
            <w:tcMar>
              <w:top w:type="dxa" w:w="60"/>
              <w:left w:type="dxa" w:w="100"/>
              <w:bottom w:type="dxa" w:w="60"/>
              <w:right w:type="dxa" w:w="100"/>
            </w:tcMar>
            <w:vAlign w:val="top"/>
          </w:tcPr>
          <w:p>
            <w:r>
              <w:rPr>
                <w:sz w:val="15"/>
                <w:szCs w:val="15"/>
              </w:rPr>
              <w:t xml:space="preserve">−0.0037</w:t>
            </w:r>
          </w:p>
        </w:tc>
        <w:tc>
          <w:tcPr>
            <w:tcW w:type="dxa" w:w="1800"/>
            <w:shd w:fill="F7F9FC" w:color="auto" w:val="clear"/>
            <w:tcMar>
              <w:top w:type="dxa" w:w="60"/>
              <w:left w:type="dxa" w:w="100"/>
              <w:bottom w:type="dxa" w:w="60"/>
              <w:right w:type="dxa" w:w="100"/>
            </w:tcMar>
            <w:vAlign w:val="top"/>
          </w:tcPr>
          <w:p>
            <w:r>
              <w:rPr>
                <w:sz w:val="15"/>
                <w:szCs w:val="15"/>
              </w:rPr>
              <w:t xml:space="preserve">−0.0027</w:t>
            </w:r>
          </w:p>
        </w:tc>
        <w:tc>
          <w:tcPr>
            <w:tcW w:type="dxa" w:w="1238"/>
            <w:shd w:fill="F7F9FC" w:color="auto" w:val="clear"/>
            <w:tcMar>
              <w:top w:type="dxa" w:w="60"/>
              <w:left w:type="dxa" w:w="100"/>
              <w:bottom w:type="dxa" w:w="60"/>
              <w:right w:type="dxa" w:w="100"/>
            </w:tcMar>
            <w:vAlign w:val="top"/>
          </w:tcPr>
          <w:p>
            <w:r>
              <w:rPr>
                <w:sz w:val="15"/>
                <w:szCs w:val="15"/>
              </w:rPr>
              <w:t xml:space="preserve">+0.0381</w:t>
            </w:r>
          </w:p>
        </w:tc>
      </w:tr>
      <w:tr>
        <w:trPr>
          <w:cantSplit/>
        </w:trPr>
        <w:tc>
          <w:tcPr>
            <w:tcW w:type="dxa" w:w="1300"/>
            <w:tcMar>
              <w:top w:type="dxa" w:w="60"/>
              <w:left w:type="dxa" w:w="100"/>
              <w:bottom w:type="dxa" w:w="60"/>
              <w:right w:type="dxa" w:w="100"/>
            </w:tcMar>
            <w:vAlign w:val="top"/>
          </w:tcPr>
          <w:p>
            <w:r>
              <w:rPr>
                <w:sz w:val="15"/>
                <w:szCs w:val="15"/>
              </w:rPr>
              <w:t xml:space="preserve">0.06</w:t>
            </w:r>
          </w:p>
        </w:tc>
        <w:tc>
          <w:tcPr>
            <w:tcW w:type="dxa" w:w="1300"/>
            <w:tcMar>
              <w:top w:type="dxa" w:w="60"/>
              <w:left w:type="dxa" w:w="100"/>
              <w:bottom w:type="dxa" w:w="60"/>
              <w:right w:type="dxa" w:w="100"/>
            </w:tcMar>
            <w:vAlign w:val="top"/>
          </w:tcPr>
          <w:p>
            <w:r>
              <w:rPr>
                <w:sz w:val="15"/>
                <w:szCs w:val="15"/>
              </w:rPr>
              <w:t xml:space="preserve">31%</w:t>
            </w:r>
          </w:p>
        </w:tc>
        <w:tc>
          <w:tcPr>
            <w:tcW w:type="dxa" w:w="2300"/>
            <w:tcMar>
              <w:top w:type="dxa" w:w="60"/>
              <w:left w:type="dxa" w:w="100"/>
              <w:bottom w:type="dxa" w:w="60"/>
              <w:right w:type="dxa" w:w="100"/>
            </w:tcMar>
            <w:vAlign w:val="top"/>
          </w:tcPr>
          <w:p>
            <w:r>
              <w:rPr>
                <w:sz w:val="15"/>
                <w:szCs w:val="15"/>
              </w:rPr>
              <w:t xml:space="preserve">+0.0058 ± 0.0082</w:t>
            </w:r>
          </w:p>
        </w:tc>
        <w:tc>
          <w:tcPr>
            <w:tcW w:type="dxa" w:w="1700"/>
            <w:tcMar>
              <w:top w:type="dxa" w:w="60"/>
              <w:left w:type="dxa" w:w="100"/>
              <w:bottom w:type="dxa" w:w="60"/>
              <w:right w:type="dxa" w:w="100"/>
            </w:tcMar>
            <w:vAlign w:val="top"/>
          </w:tcPr>
          <w:p>
            <w:r>
              <w:rPr>
                <w:sz w:val="15"/>
                <w:szCs w:val="15"/>
              </w:rPr>
              <w:t xml:space="preserve">−0.0237</w:t>
            </w:r>
          </w:p>
        </w:tc>
        <w:tc>
          <w:tcPr>
            <w:tcW w:type="dxa" w:w="1800"/>
            <w:tcMar>
              <w:top w:type="dxa" w:w="60"/>
              <w:left w:type="dxa" w:w="100"/>
              <w:bottom w:type="dxa" w:w="60"/>
              <w:right w:type="dxa" w:w="100"/>
            </w:tcMar>
            <w:vAlign w:val="top"/>
          </w:tcPr>
          <w:p>
            <w:r>
              <w:rPr>
                <w:sz w:val="15"/>
                <w:szCs w:val="15"/>
              </w:rPr>
              <w:t xml:space="preserve">−0.0227</w:t>
            </w:r>
          </w:p>
        </w:tc>
        <w:tc>
          <w:tcPr>
            <w:tcW w:type="dxa" w:w="1238"/>
            <w:tcMar>
              <w:top w:type="dxa" w:w="60"/>
              <w:left w:type="dxa" w:w="100"/>
              <w:bottom w:type="dxa" w:w="60"/>
              <w:right w:type="dxa" w:w="100"/>
            </w:tcMar>
            <w:vAlign w:val="top"/>
          </w:tcPr>
          <w:p>
            <w:r>
              <w:rPr>
                <w:sz w:val="15"/>
                <w:szCs w:val="15"/>
              </w:rPr>
              <w:t xml:space="preserve">+0.0310</w:t>
            </w:r>
          </w:p>
        </w:tc>
      </w:tr>
    </w:tbl>
    <w:p>
      <w:pPr>
        <w:spacing w:after="160"/>
      </w:pPr>
    </w:p>
    <w:p>
      <w:pPr>
        <w:spacing w:after="120"/>
      </w:pPr>
      <w:r>
        <w:rPr>
          <w:i/>
          <w:iCs/>
          <w:color w:val="5B6573"/>
          <w:sz w:val="18"/>
          <w:szCs w:val="18"/>
        </w:rPr>
        <w:t xml:space="preserve">Table 9.3. Physics-informed model, 200 aquifers; net benefit = expected realised gain minus cost, zero when no merge is made.</w:t>
      </w:r>
    </w:p>
    <w:p>
      <w:pPr>
        <w:pStyle w:val="ListParagraph"/>
        <w:numPr>
          <w:ilvl w:val="0"/>
          <w:numId w:val="2"/>
        </w:numPr>
        <w:spacing w:after="60"/>
        <w:jc w:val="both"/>
      </w:pPr>
      <w:r>
        <w:rPr>
          <w:b/>
          <w:bCs/>
        </w:rPr>
        <w:t xml:space="preserve">Overlap creates information (Proposition B2).</w:t>
      </w:r>
      <w:r>
        <w:t xml:space="preserve"> In every aquifer and for every holder the CATE information of the merge exceeds the sum of the two separate informations. The coastal hotels, half of whose summers are pumped high, create the most (synergy 0.45 nats against 0.18 for the agency's 300 records): the utility has the treated records, the hotels add both groups where the utility has none.</w:t>
      </w:r>
    </w:p>
    <w:p>
      <w:pPr>
        <w:pStyle w:val="ListParagraph"/>
        <w:numPr>
          <w:ilvl w:val="0"/>
          <w:numId w:val="2"/>
        </w:numPr>
        <w:spacing w:after="60"/>
        <w:jc w:val="both"/>
      </w:pPr>
      <w:r>
        <w:rPr>
          <w:b/>
          <w:bCs/>
        </w:rPr>
        <w:t xml:space="preserve">Privacy has a real cost here, and secure computation pays most of it.</w:t>
      </w:r>
      <w:r>
        <w:t xml:space="preserve"> One hotel well-season can carry much information: at a clip of 0.3, 59% of hotel records are clipped against 2% of the agency's, so clipping, which never overstates a value (Proposition B4 (i), checked in every aquifer), penalises small informative datasets. Releasing a noisy Gram matrix (differential privacy without MPC) is no better than chance up to </w:t>
      </w:r>
      <m:oMath>
        <m:r>
          <m:t>ε</m:t>
        </m:r>
        <m:r>
          <m:rPr>
            <m:sty m:val="p"/>
          </m:rPr>
          <m:t>=</m:t>
        </m:r>
        <m:r>
          <m:t>3</m:t>
        </m:r>
      </m:oMath>
      <w:r>
        <w:t xml:space="preserve"> (agreement at most 33%). Adding the noise inside MPC to the clipped whitened information keeps the non-private choice in 77% of aquifers at </w:t>
      </w:r>
      <m:oMath>
        <m:r>
          <m:t>ε</m:t>
        </m:r>
        <m:r>
          <m:rPr>
            <m:sty m:val="p"/>
          </m:rPr>
          <m:t>=</m:t>
        </m:r>
        <m:r>
          <m:t>1</m:t>
        </m:r>
      </m:oMath>
      <w:r>
        <w:t xml:space="preserve"> with the polynomial model (83% at </w:t>
      </w:r>
      <m:oMath>
        <m:r>
          <m:t>ε</m:t>
        </m:r>
        <m:r>
          <m:rPr>
            <m:sty m:val="p"/>
          </m:rPr>
          <m:t>=</m:t>
        </m:r>
        <m:r>
          <m:t>3</m:t>
        </m:r>
      </m:oMath>
      <w:r>
        <w:t xml:space="preserve">) and keeps 100% of its gain; with the physics model, whose four candidates are close in value, it keeps 97% of the gain at </w:t>
      </w:r>
      <m:oMath>
        <m:r>
          <m:t>ε</m:t>
        </m:r>
        <m:r>
          <m:rPr>
            <m:sty m:val="p"/>
          </m:rPr>
          <m:t>=</m:t>
        </m:r>
        <m:r>
          <m:t>3</m:t>
        </m:r>
      </m:oMath>
      <w:r>
        <w:t xml:space="preserve"> while the choice itself agrees in 55% (63% at </w:t>
      </w:r>
      <m:oMath>
        <m:r>
          <m:t>ε</m:t>
        </m:r>
        <m:r>
          <m:rPr>
            <m:sty m:val="p"/>
          </m:rPr>
          <m:t>=</m:t>
        </m:r>
        <m:r>
          <m:t>10</m:t>
        </m:r>
      </m:oMath>
      <w:r>
        <w:t xml:space="preserve">); a random choice keeps 85% and 72%. Noise on the final value with the worst-case bound of Proposition B4 is weaker (Table 9.4): its sensitivity is 0.026 loss units for a clip of 0.3.</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100"/>
        <w:gridCol w:w="2900"/>
        <w:gridCol w:w="1128"/>
        <w:gridCol w:w="1128"/>
        <w:gridCol w:w="1128"/>
        <w:gridCol w:w="1128"/>
        <w:gridCol w:w="1126"/>
      </w:tblGrid>
      <w:tr>
        <w:trPr>
          <w:cantSplit/>
          <w:tblHeader/>
        </w:trPr>
        <w:tc>
          <w:tcPr>
            <w:tcW w:type="dxa" w:w="1100"/>
            <w:shd w:fill="1F3864" w:color="auto" w:val="clear"/>
            <w:tcMar>
              <w:top w:type="dxa" w:w="60"/>
              <w:left w:type="dxa" w:w="100"/>
              <w:bottom w:type="dxa" w:w="60"/>
              <w:right w:type="dxa" w:w="100"/>
            </w:tcMar>
            <w:vAlign w:val="top"/>
          </w:tcPr>
          <w:p>
            <w:r>
              <w:rPr>
                <w:b/>
                <w:bCs/>
                <w:color w:val="FFFFFF"/>
                <w:sz w:val="14"/>
                <w:szCs w:val="14"/>
              </w:rPr>
              <w:t xml:space="preserve">Model</w:t>
            </w:r>
          </w:p>
        </w:tc>
        <w:tc>
          <w:tcPr>
            <w:tcW w:type="dxa" w:w="2900"/>
            <w:shd w:fill="1F3864" w:color="auto" w:val="clear"/>
            <w:tcMar>
              <w:top w:type="dxa" w:w="60"/>
              <w:left w:type="dxa" w:w="100"/>
              <w:bottom w:type="dxa" w:w="60"/>
              <w:right w:type="dxa" w:w="100"/>
            </w:tcMar>
            <w:vAlign w:val="top"/>
          </w:tcPr>
          <w:p>
            <w:r>
              <w:rPr>
                <w:b/>
                <w:bCs/>
                <w:color w:val="FFFFFF"/>
                <w:sz w:val="14"/>
                <w:szCs w:val="14"/>
              </w:rPr>
              <w:t xml:space="preserve">Mechanism (clip 0.3)</w:t>
            </w:r>
          </w:p>
        </w:tc>
        <w:tc>
          <w:tcPr>
            <w:tcW w:type="dxa" w:w="1128"/>
            <w:shd w:fill="1F3864" w:color="auto" w:val="clear"/>
            <w:tcMar>
              <w:top w:type="dxa" w:w="60"/>
              <w:left w:type="dxa" w:w="100"/>
              <w:bottom w:type="dxa" w:w="60"/>
              <w:right w:type="dxa" w:w="100"/>
            </w:tcMar>
            <w:vAlign w:val="top"/>
          </w:tcPr>
          <w:p>
            <w:r>
              <w:rPr>
                <w:b/>
                <w:bCs/>
                <w:color w:val="FFFFFF"/>
                <w:sz w:val="14"/>
                <w:szCs w:val="14"/>
              </w:rPr>
              <w:t xml:space="preserve">ε = 0.3</w:t>
            </w:r>
          </w:p>
        </w:tc>
        <w:tc>
          <w:tcPr>
            <w:tcW w:type="dxa" w:w="1128"/>
            <w:shd w:fill="1F3864" w:color="auto" w:val="clear"/>
            <w:tcMar>
              <w:top w:type="dxa" w:w="60"/>
              <w:left w:type="dxa" w:w="100"/>
              <w:bottom w:type="dxa" w:w="60"/>
              <w:right w:type="dxa" w:w="100"/>
            </w:tcMar>
            <w:vAlign w:val="top"/>
          </w:tcPr>
          <w:p>
            <w:r>
              <w:rPr>
                <w:b/>
                <w:bCs/>
                <w:color w:val="FFFFFF"/>
                <w:sz w:val="14"/>
                <w:szCs w:val="14"/>
              </w:rPr>
              <w:t xml:space="preserve">ε = 1</w:t>
            </w:r>
          </w:p>
        </w:tc>
        <w:tc>
          <w:tcPr>
            <w:tcW w:type="dxa" w:w="1128"/>
            <w:shd w:fill="1F3864" w:color="auto" w:val="clear"/>
            <w:tcMar>
              <w:top w:type="dxa" w:w="60"/>
              <w:left w:type="dxa" w:w="100"/>
              <w:bottom w:type="dxa" w:w="60"/>
              <w:right w:type="dxa" w:w="100"/>
            </w:tcMar>
            <w:vAlign w:val="top"/>
          </w:tcPr>
          <w:p>
            <w:r>
              <w:rPr>
                <w:b/>
                <w:bCs/>
                <w:color w:val="FFFFFF"/>
                <w:sz w:val="14"/>
                <w:szCs w:val="14"/>
              </w:rPr>
              <w:t xml:space="preserve">ε = 3</w:t>
            </w:r>
          </w:p>
        </w:tc>
        <w:tc>
          <w:tcPr>
            <w:tcW w:type="dxa" w:w="1128"/>
            <w:shd w:fill="1F3864" w:color="auto" w:val="clear"/>
            <w:tcMar>
              <w:top w:type="dxa" w:w="60"/>
              <w:left w:type="dxa" w:w="100"/>
              <w:bottom w:type="dxa" w:w="60"/>
              <w:right w:type="dxa" w:w="100"/>
            </w:tcMar>
            <w:vAlign w:val="top"/>
          </w:tcPr>
          <w:p>
            <w:r>
              <w:rPr>
                <w:b/>
                <w:bCs/>
                <w:color w:val="FFFFFF"/>
                <w:sz w:val="14"/>
                <w:szCs w:val="14"/>
              </w:rPr>
              <w:t xml:space="preserve">ε = 10</w:t>
            </w:r>
          </w:p>
        </w:tc>
        <w:tc>
          <w:tcPr>
            <w:tcW w:type="dxa" w:w="1126"/>
            <w:shd w:fill="1F3864" w:color="auto" w:val="clear"/>
            <w:tcMar>
              <w:top w:type="dxa" w:w="60"/>
              <w:left w:type="dxa" w:w="100"/>
              <w:bottom w:type="dxa" w:w="60"/>
              <w:right w:type="dxa" w:w="100"/>
            </w:tcMar>
            <w:vAlign w:val="top"/>
          </w:tcPr>
          <w:p>
            <w:r>
              <w:rPr>
                <w:b/>
                <w:bCs/>
                <w:color w:val="FFFFFF"/>
                <w:sz w:val="14"/>
                <w:szCs w:val="14"/>
              </w:rPr>
              <w:t xml:space="preserve">ε = 30</w:t>
            </w:r>
          </w:p>
        </w:tc>
      </w:tr>
      <w:tr>
        <w:trPr>
          <w:cantSplit/>
        </w:trPr>
        <w:tc>
          <w:tcPr>
            <w:tcW w:type="dxa" w:w="1100"/>
            <w:tcMar>
              <w:top w:type="dxa" w:w="60"/>
              <w:left w:type="dxa" w:w="100"/>
              <w:bottom w:type="dxa" w:w="60"/>
              <w:right w:type="dxa" w:w="100"/>
            </w:tcMar>
            <w:vAlign w:val="top"/>
          </w:tcPr>
          <w:p>
            <w:r>
              <w:rPr>
                <w:sz w:val="14"/>
                <w:szCs w:val="14"/>
              </w:rPr>
              <w:t xml:space="preserve">physics</w:t>
            </w:r>
          </w:p>
        </w:tc>
        <w:tc>
          <w:tcPr>
            <w:tcW w:type="dxa" w:w="2900"/>
            <w:tcMar>
              <w:top w:type="dxa" w:w="60"/>
              <w:left w:type="dxa" w:w="100"/>
              <w:bottom w:type="dxa" w:w="60"/>
              <w:right w:type="dxa" w:w="100"/>
            </w:tcMar>
            <w:vAlign w:val="top"/>
          </w:tcPr>
          <w:p>
            <w:r>
              <w:rPr>
                <w:sz w:val="14"/>
                <w:szCs w:val="14"/>
              </w:rPr>
              <w:t xml:space="preserve">DP alone: noisy Gram matrix</w:t>
            </w:r>
          </w:p>
        </w:tc>
        <w:tc>
          <w:tcPr>
            <w:tcW w:type="dxa" w:w="1128"/>
            <w:tcMar>
              <w:top w:type="dxa" w:w="60"/>
              <w:left w:type="dxa" w:w="100"/>
              <w:bottom w:type="dxa" w:w="60"/>
              <w:right w:type="dxa" w:w="100"/>
            </w:tcMar>
            <w:vAlign w:val="top"/>
          </w:tcPr>
          <w:p>
            <w:r>
              <w:rPr>
                <w:sz w:val="14"/>
                <w:szCs w:val="14"/>
              </w:rPr>
              <w:t xml:space="preserve">28% / 78%</w:t>
            </w:r>
          </w:p>
        </w:tc>
        <w:tc>
          <w:tcPr>
            <w:tcW w:type="dxa" w:w="1128"/>
            <w:tcMar>
              <w:top w:type="dxa" w:w="60"/>
              <w:left w:type="dxa" w:w="100"/>
              <w:bottom w:type="dxa" w:w="60"/>
              <w:right w:type="dxa" w:w="100"/>
            </w:tcMar>
            <w:vAlign w:val="top"/>
          </w:tcPr>
          <w:p>
            <w:r>
              <w:rPr>
                <w:sz w:val="14"/>
                <w:szCs w:val="14"/>
              </w:rPr>
              <w:t xml:space="preserve">31% / 79%</w:t>
            </w:r>
          </w:p>
        </w:tc>
        <w:tc>
          <w:tcPr>
            <w:tcW w:type="dxa" w:w="1128"/>
            <w:tcMar>
              <w:top w:type="dxa" w:w="60"/>
              <w:left w:type="dxa" w:w="100"/>
              <w:bottom w:type="dxa" w:w="60"/>
              <w:right w:type="dxa" w:w="100"/>
            </w:tcMar>
            <w:vAlign w:val="top"/>
          </w:tcPr>
          <w:p>
            <w:r>
              <w:rPr>
                <w:sz w:val="14"/>
                <w:szCs w:val="14"/>
              </w:rPr>
              <w:t xml:space="preserve">33% / 88%</w:t>
            </w:r>
          </w:p>
        </w:tc>
        <w:tc>
          <w:tcPr>
            <w:tcW w:type="dxa" w:w="1128"/>
            <w:tcMar>
              <w:top w:type="dxa" w:w="60"/>
              <w:left w:type="dxa" w:w="100"/>
              <w:bottom w:type="dxa" w:w="60"/>
              <w:right w:type="dxa" w:w="100"/>
            </w:tcMar>
            <w:vAlign w:val="top"/>
          </w:tcPr>
          <w:p>
            <w:r>
              <w:rPr>
                <w:sz w:val="14"/>
                <w:szCs w:val="14"/>
              </w:rPr>
              <w:t xml:space="preserve">43% / 97%</w:t>
            </w:r>
          </w:p>
        </w:tc>
        <w:tc>
          <w:tcPr>
            <w:tcW w:type="dxa" w:w="1126"/>
            <w:tcMar>
              <w:top w:type="dxa" w:w="60"/>
              <w:left w:type="dxa" w:w="100"/>
              <w:bottom w:type="dxa" w:w="60"/>
              <w:right w:type="dxa" w:w="100"/>
            </w:tcMar>
            <w:vAlign w:val="top"/>
          </w:tcPr>
          <w:p>
            <w:r>
              <w:rPr>
                <w:sz w:val="14"/>
                <w:szCs w:val="14"/>
              </w:rPr>
              <w:t xml:space="preserve">57% / 95%</w:t>
            </w:r>
          </w:p>
        </w:tc>
      </w:tr>
      <w:tr>
        <w:trPr>
          <w:cantSplit/>
        </w:trPr>
        <w:tc>
          <w:tcPr>
            <w:tcW w:type="dxa" w:w="1100"/>
            <w:shd w:fill="F7F9FC" w:color="auto" w:val="clear"/>
            <w:tcMar>
              <w:top w:type="dxa" w:w="60"/>
              <w:left w:type="dxa" w:w="100"/>
              <w:bottom w:type="dxa" w:w="60"/>
              <w:right w:type="dxa" w:w="100"/>
            </w:tcMar>
            <w:vAlign w:val="top"/>
          </w:tcPr>
          <w:p/>
        </w:tc>
        <w:tc>
          <w:tcPr>
            <w:tcW w:type="dxa" w:w="2900"/>
            <w:shd w:fill="F7F9FC" w:color="auto" w:val="clear"/>
            <w:tcMar>
              <w:top w:type="dxa" w:w="60"/>
              <w:left w:type="dxa" w:w="100"/>
              <w:bottom w:type="dxa" w:w="60"/>
              <w:right w:type="dxa" w:w="100"/>
            </w:tcMar>
            <w:vAlign w:val="top"/>
          </w:tcPr>
          <w:p>
            <w:r>
              <w:rPr>
                <w:sz w:val="14"/>
                <w:szCs w:val="14"/>
              </w:rPr>
              <w:t xml:space="preserve">MPC: clipped value + noise</w:t>
            </w:r>
          </w:p>
        </w:tc>
        <w:tc>
          <w:tcPr>
            <w:tcW w:type="dxa" w:w="1128"/>
            <w:shd w:fill="F7F9FC" w:color="auto" w:val="clear"/>
            <w:tcMar>
              <w:top w:type="dxa" w:w="60"/>
              <w:left w:type="dxa" w:w="100"/>
              <w:bottom w:type="dxa" w:w="60"/>
              <w:right w:type="dxa" w:w="100"/>
            </w:tcMar>
            <w:vAlign w:val="top"/>
          </w:tcPr>
          <w:p>
            <w:r>
              <w:rPr>
                <w:sz w:val="14"/>
                <w:szCs w:val="14"/>
              </w:rPr>
              <w:t xml:space="preserve">31% / 95%</w:t>
            </w:r>
          </w:p>
        </w:tc>
        <w:tc>
          <w:tcPr>
            <w:tcW w:type="dxa" w:w="1128"/>
            <w:shd w:fill="F7F9FC" w:color="auto" w:val="clear"/>
            <w:tcMar>
              <w:top w:type="dxa" w:w="60"/>
              <w:left w:type="dxa" w:w="100"/>
              <w:bottom w:type="dxa" w:w="60"/>
              <w:right w:type="dxa" w:w="100"/>
            </w:tcMar>
            <w:vAlign w:val="top"/>
          </w:tcPr>
          <w:p>
            <w:r>
              <w:rPr>
                <w:sz w:val="14"/>
                <w:szCs w:val="14"/>
              </w:rPr>
              <w:t xml:space="preserve">32% / 91%</w:t>
            </w:r>
          </w:p>
        </w:tc>
        <w:tc>
          <w:tcPr>
            <w:tcW w:type="dxa" w:w="1128"/>
            <w:shd w:fill="F7F9FC" w:color="auto" w:val="clear"/>
            <w:tcMar>
              <w:top w:type="dxa" w:w="60"/>
              <w:left w:type="dxa" w:w="100"/>
              <w:bottom w:type="dxa" w:w="60"/>
              <w:right w:type="dxa" w:w="100"/>
            </w:tcMar>
            <w:vAlign w:val="top"/>
          </w:tcPr>
          <w:p>
            <w:r>
              <w:rPr>
                <w:sz w:val="14"/>
                <w:szCs w:val="14"/>
              </w:rPr>
              <w:t xml:space="preserve">35% / 87%</w:t>
            </w:r>
          </w:p>
        </w:tc>
        <w:tc>
          <w:tcPr>
            <w:tcW w:type="dxa" w:w="1128"/>
            <w:shd w:fill="F7F9FC" w:color="auto" w:val="clear"/>
            <w:tcMar>
              <w:top w:type="dxa" w:w="60"/>
              <w:left w:type="dxa" w:w="100"/>
              <w:bottom w:type="dxa" w:w="60"/>
              <w:right w:type="dxa" w:w="100"/>
            </w:tcMar>
            <w:vAlign w:val="top"/>
          </w:tcPr>
          <w:p>
            <w:r>
              <w:rPr>
                <w:sz w:val="14"/>
                <w:szCs w:val="14"/>
              </w:rPr>
              <w:t xml:space="preserve">46% / 94%</w:t>
            </w:r>
          </w:p>
        </w:tc>
        <w:tc>
          <w:tcPr>
            <w:tcW w:type="dxa" w:w="1126"/>
            <w:shd w:fill="F7F9FC" w:color="auto" w:val="clear"/>
            <w:tcMar>
              <w:top w:type="dxa" w:w="60"/>
              <w:left w:type="dxa" w:w="100"/>
              <w:bottom w:type="dxa" w:w="60"/>
              <w:right w:type="dxa" w:w="100"/>
            </w:tcMar>
            <w:vAlign w:val="top"/>
          </w:tcPr>
          <w:p>
            <w:r>
              <w:rPr>
                <w:sz w:val="14"/>
                <w:szCs w:val="14"/>
              </w:rPr>
              <w:t xml:space="preserve">59% / 101%</w:t>
            </w:r>
          </w:p>
        </w:tc>
      </w:tr>
      <w:tr>
        <w:trPr>
          <w:cantSplit/>
        </w:trPr>
        <w:tc>
          <w:tcPr>
            <w:tcW w:type="dxa" w:w="1100"/>
            <w:tcMar>
              <w:top w:type="dxa" w:w="60"/>
              <w:left w:type="dxa" w:w="100"/>
              <w:bottom w:type="dxa" w:w="60"/>
              <w:right w:type="dxa" w:w="100"/>
            </w:tcMar>
            <w:vAlign w:val="top"/>
          </w:tcPr>
          <w:p/>
        </w:tc>
        <w:tc>
          <w:tcPr>
            <w:tcW w:type="dxa" w:w="2900"/>
            <w:tcMar>
              <w:top w:type="dxa" w:w="60"/>
              <w:left w:type="dxa" w:w="100"/>
              <w:bottom w:type="dxa" w:w="60"/>
              <w:right w:type="dxa" w:w="100"/>
            </w:tcMar>
            <w:vAlign w:val="top"/>
          </w:tcPr>
          <w:p>
            <w:r>
              <w:rPr>
                <w:sz w:val="14"/>
                <w:szCs w:val="14"/>
              </w:rPr>
              <w:t xml:space="preserve">MPC: noise on clipped whitened information</w:t>
            </w:r>
          </w:p>
        </w:tc>
        <w:tc>
          <w:tcPr>
            <w:tcW w:type="dxa" w:w="1128"/>
            <w:tcMar>
              <w:top w:type="dxa" w:w="60"/>
              <w:left w:type="dxa" w:w="100"/>
              <w:bottom w:type="dxa" w:w="60"/>
              <w:right w:type="dxa" w:w="100"/>
            </w:tcMar>
            <w:vAlign w:val="top"/>
          </w:tcPr>
          <w:p>
            <w:r>
              <w:rPr>
                <w:sz w:val="14"/>
                <w:szCs w:val="14"/>
              </w:rPr>
              <w:t xml:space="preserve">28% / 84%</w:t>
            </w:r>
          </w:p>
        </w:tc>
        <w:tc>
          <w:tcPr>
            <w:tcW w:type="dxa" w:w="1128"/>
            <w:tcMar>
              <w:top w:type="dxa" w:w="60"/>
              <w:left w:type="dxa" w:w="100"/>
              <w:bottom w:type="dxa" w:w="60"/>
              <w:right w:type="dxa" w:w="100"/>
            </w:tcMar>
            <w:vAlign w:val="top"/>
          </w:tcPr>
          <w:p>
            <w:r>
              <w:rPr>
                <w:sz w:val="14"/>
                <w:szCs w:val="14"/>
              </w:rPr>
              <w:t xml:space="preserve">47% / 102%</w:t>
            </w:r>
          </w:p>
        </w:tc>
        <w:tc>
          <w:tcPr>
            <w:tcW w:type="dxa" w:w="1128"/>
            <w:tcMar>
              <w:top w:type="dxa" w:w="60"/>
              <w:left w:type="dxa" w:w="100"/>
              <w:bottom w:type="dxa" w:w="60"/>
              <w:right w:type="dxa" w:w="100"/>
            </w:tcMar>
            <w:vAlign w:val="top"/>
          </w:tcPr>
          <w:p>
            <w:r>
              <w:rPr>
                <w:sz w:val="14"/>
                <w:szCs w:val="14"/>
              </w:rPr>
              <w:t xml:space="preserve">55% / 97%</w:t>
            </w:r>
          </w:p>
        </w:tc>
        <w:tc>
          <w:tcPr>
            <w:tcW w:type="dxa" w:w="1128"/>
            <w:tcMar>
              <w:top w:type="dxa" w:w="60"/>
              <w:left w:type="dxa" w:w="100"/>
              <w:bottom w:type="dxa" w:w="60"/>
              <w:right w:type="dxa" w:w="100"/>
            </w:tcMar>
            <w:vAlign w:val="top"/>
          </w:tcPr>
          <w:p>
            <w:r>
              <w:rPr>
                <w:sz w:val="14"/>
                <w:szCs w:val="14"/>
              </w:rPr>
              <w:t xml:space="preserve">63% / 96%</w:t>
            </w:r>
          </w:p>
        </w:tc>
        <w:tc>
          <w:tcPr>
            <w:tcW w:type="dxa" w:w="1126"/>
            <w:tcMar>
              <w:top w:type="dxa" w:w="60"/>
              <w:left w:type="dxa" w:w="100"/>
              <w:bottom w:type="dxa" w:w="60"/>
              <w:right w:type="dxa" w:w="100"/>
            </w:tcMar>
            <w:vAlign w:val="top"/>
          </w:tcPr>
          <w:p>
            <w:r>
              <w:rPr>
                <w:sz w:val="14"/>
                <w:szCs w:val="14"/>
              </w:rPr>
              <w:t xml:space="preserve">64% / 102%</w:t>
            </w:r>
          </w:p>
        </w:tc>
      </w:tr>
      <w:tr>
        <w:trPr>
          <w:cantSplit/>
        </w:trPr>
        <w:tc>
          <w:tcPr>
            <w:tcW w:type="dxa" w:w="1100"/>
            <w:shd w:fill="F7F9FC" w:color="auto" w:val="clear"/>
            <w:tcMar>
              <w:top w:type="dxa" w:w="60"/>
              <w:left w:type="dxa" w:w="100"/>
              <w:bottom w:type="dxa" w:w="60"/>
              <w:right w:type="dxa" w:w="100"/>
            </w:tcMar>
            <w:vAlign w:val="top"/>
          </w:tcPr>
          <w:p>
            <w:r>
              <w:rPr>
                <w:sz w:val="14"/>
                <w:szCs w:val="14"/>
              </w:rPr>
              <w:t xml:space="preserve">polynomial</w:t>
            </w:r>
          </w:p>
        </w:tc>
        <w:tc>
          <w:tcPr>
            <w:tcW w:type="dxa" w:w="2900"/>
            <w:shd w:fill="F7F9FC" w:color="auto" w:val="clear"/>
            <w:tcMar>
              <w:top w:type="dxa" w:w="60"/>
              <w:left w:type="dxa" w:w="100"/>
              <w:bottom w:type="dxa" w:w="60"/>
              <w:right w:type="dxa" w:w="100"/>
            </w:tcMar>
            <w:vAlign w:val="top"/>
          </w:tcPr>
          <w:p>
            <w:r>
              <w:rPr>
                <w:sz w:val="14"/>
                <w:szCs w:val="14"/>
              </w:rPr>
              <w:t xml:space="preserve">DP alone: noisy Gram matrix</w:t>
            </w:r>
          </w:p>
        </w:tc>
        <w:tc>
          <w:tcPr>
            <w:tcW w:type="dxa" w:w="1128"/>
            <w:shd w:fill="F7F9FC" w:color="auto" w:val="clear"/>
            <w:tcMar>
              <w:top w:type="dxa" w:w="60"/>
              <w:left w:type="dxa" w:w="100"/>
              <w:bottom w:type="dxa" w:w="60"/>
              <w:right w:type="dxa" w:w="100"/>
            </w:tcMar>
            <w:vAlign w:val="top"/>
          </w:tcPr>
          <w:p>
            <w:r>
              <w:rPr>
                <w:sz w:val="14"/>
                <w:szCs w:val="14"/>
              </w:rPr>
              <w:t xml:space="preserve">28% / 72%</w:t>
            </w:r>
          </w:p>
        </w:tc>
        <w:tc>
          <w:tcPr>
            <w:tcW w:type="dxa" w:w="1128"/>
            <w:shd w:fill="F7F9FC" w:color="auto" w:val="clear"/>
            <w:tcMar>
              <w:top w:type="dxa" w:w="60"/>
              <w:left w:type="dxa" w:w="100"/>
              <w:bottom w:type="dxa" w:w="60"/>
              <w:right w:type="dxa" w:w="100"/>
            </w:tcMar>
            <w:vAlign w:val="top"/>
          </w:tcPr>
          <w:p>
            <w:r>
              <w:rPr>
                <w:sz w:val="14"/>
                <w:szCs w:val="14"/>
              </w:rPr>
              <w:t xml:space="preserve">23% / 71%</w:t>
            </w:r>
          </w:p>
        </w:tc>
        <w:tc>
          <w:tcPr>
            <w:tcW w:type="dxa" w:w="1128"/>
            <w:shd w:fill="F7F9FC" w:color="auto" w:val="clear"/>
            <w:tcMar>
              <w:top w:type="dxa" w:w="60"/>
              <w:left w:type="dxa" w:w="100"/>
              <w:bottom w:type="dxa" w:w="60"/>
              <w:right w:type="dxa" w:w="100"/>
            </w:tcMar>
            <w:vAlign w:val="top"/>
          </w:tcPr>
          <w:p>
            <w:r>
              <w:rPr>
                <w:sz w:val="14"/>
                <w:szCs w:val="14"/>
              </w:rPr>
              <w:t xml:space="preserve">27% / 75%</w:t>
            </w:r>
          </w:p>
        </w:tc>
        <w:tc>
          <w:tcPr>
            <w:tcW w:type="dxa" w:w="1128"/>
            <w:shd w:fill="F7F9FC" w:color="auto" w:val="clear"/>
            <w:tcMar>
              <w:top w:type="dxa" w:w="60"/>
              <w:left w:type="dxa" w:w="100"/>
              <w:bottom w:type="dxa" w:w="60"/>
              <w:right w:type="dxa" w:w="100"/>
            </w:tcMar>
            <w:vAlign w:val="top"/>
          </w:tcPr>
          <w:p>
            <w:r>
              <w:rPr>
                <w:sz w:val="14"/>
                <w:szCs w:val="14"/>
              </w:rPr>
              <w:t xml:space="preserve">41% / 86%</w:t>
            </w:r>
          </w:p>
        </w:tc>
        <w:tc>
          <w:tcPr>
            <w:tcW w:type="dxa" w:w="1126"/>
            <w:shd w:fill="F7F9FC" w:color="auto" w:val="clear"/>
            <w:tcMar>
              <w:top w:type="dxa" w:w="60"/>
              <w:left w:type="dxa" w:w="100"/>
              <w:bottom w:type="dxa" w:w="60"/>
              <w:right w:type="dxa" w:w="100"/>
            </w:tcMar>
            <w:vAlign w:val="top"/>
          </w:tcPr>
          <w:p>
            <w:r>
              <w:rPr>
                <w:sz w:val="14"/>
                <w:szCs w:val="14"/>
              </w:rPr>
              <w:t xml:space="preserve">43% / 89%</w:t>
            </w:r>
          </w:p>
        </w:tc>
      </w:tr>
      <w:tr>
        <w:trPr>
          <w:cantSplit/>
        </w:trPr>
        <w:tc>
          <w:tcPr>
            <w:tcW w:type="dxa" w:w="1100"/>
            <w:tcMar>
              <w:top w:type="dxa" w:w="60"/>
              <w:left w:type="dxa" w:w="100"/>
              <w:bottom w:type="dxa" w:w="60"/>
              <w:right w:type="dxa" w:w="100"/>
            </w:tcMar>
            <w:vAlign w:val="top"/>
          </w:tcPr>
          <w:p/>
        </w:tc>
        <w:tc>
          <w:tcPr>
            <w:tcW w:type="dxa" w:w="2900"/>
            <w:tcMar>
              <w:top w:type="dxa" w:w="60"/>
              <w:left w:type="dxa" w:w="100"/>
              <w:bottom w:type="dxa" w:w="60"/>
              <w:right w:type="dxa" w:w="100"/>
            </w:tcMar>
            <w:vAlign w:val="top"/>
          </w:tcPr>
          <w:p>
            <w:r>
              <w:rPr>
                <w:sz w:val="14"/>
                <w:szCs w:val="14"/>
              </w:rPr>
              <w:t xml:space="preserve">MPC: clipped value + noise</w:t>
            </w:r>
          </w:p>
        </w:tc>
        <w:tc>
          <w:tcPr>
            <w:tcW w:type="dxa" w:w="1128"/>
            <w:tcMar>
              <w:top w:type="dxa" w:w="60"/>
              <w:left w:type="dxa" w:w="100"/>
              <w:bottom w:type="dxa" w:w="60"/>
              <w:right w:type="dxa" w:w="100"/>
            </w:tcMar>
            <w:vAlign w:val="top"/>
          </w:tcPr>
          <w:p>
            <w:r>
              <w:rPr>
                <w:sz w:val="14"/>
                <w:szCs w:val="14"/>
              </w:rPr>
              <w:t xml:space="preserve">27% / 75%</w:t>
            </w:r>
          </w:p>
        </w:tc>
        <w:tc>
          <w:tcPr>
            <w:tcW w:type="dxa" w:w="1128"/>
            <w:tcMar>
              <w:top w:type="dxa" w:w="60"/>
              <w:left w:type="dxa" w:w="100"/>
              <w:bottom w:type="dxa" w:w="60"/>
              <w:right w:type="dxa" w:w="100"/>
            </w:tcMar>
            <w:vAlign w:val="top"/>
          </w:tcPr>
          <w:p>
            <w:r>
              <w:rPr>
                <w:sz w:val="14"/>
                <w:szCs w:val="14"/>
              </w:rPr>
              <w:t xml:space="preserve">28% / 78%</w:t>
            </w:r>
          </w:p>
        </w:tc>
        <w:tc>
          <w:tcPr>
            <w:tcW w:type="dxa" w:w="1128"/>
            <w:tcMar>
              <w:top w:type="dxa" w:w="60"/>
              <w:left w:type="dxa" w:w="100"/>
              <w:bottom w:type="dxa" w:w="60"/>
              <w:right w:type="dxa" w:w="100"/>
            </w:tcMar>
            <w:vAlign w:val="top"/>
          </w:tcPr>
          <w:p>
            <w:r>
              <w:rPr>
                <w:sz w:val="14"/>
                <w:szCs w:val="14"/>
              </w:rPr>
              <w:t xml:space="preserve">43% / 83%</w:t>
            </w:r>
          </w:p>
        </w:tc>
        <w:tc>
          <w:tcPr>
            <w:tcW w:type="dxa" w:w="1128"/>
            <w:tcMar>
              <w:top w:type="dxa" w:w="60"/>
              <w:left w:type="dxa" w:w="100"/>
              <w:bottom w:type="dxa" w:w="60"/>
              <w:right w:type="dxa" w:w="100"/>
            </w:tcMar>
            <w:vAlign w:val="top"/>
          </w:tcPr>
          <w:p>
            <w:r>
              <w:rPr>
                <w:sz w:val="14"/>
                <w:szCs w:val="14"/>
              </w:rPr>
              <w:t xml:space="preserve">65% / 94%</w:t>
            </w:r>
          </w:p>
        </w:tc>
        <w:tc>
          <w:tcPr>
            <w:tcW w:type="dxa" w:w="1126"/>
            <w:tcMar>
              <w:top w:type="dxa" w:w="60"/>
              <w:left w:type="dxa" w:w="100"/>
              <w:bottom w:type="dxa" w:w="60"/>
              <w:right w:type="dxa" w:w="100"/>
            </w:tcMar>
            <w:vAlign w:val="top"/>
          </w:tcPr>
          <w:p>
            <w:r>
              <w:rPr>
                <w:sz w:val="14"/>
                <w:szCs w:val="14"/>
              </w:rPr>
              <w:t xml:space="preserve">78% / 99%</w:t>
            </w:r>
          </w:p>
        </w:tc>
      </w:tr>
      <w:tr>
        <w:trPr>
          <w:cantSplit/>
        </w:trPr>
        <w:tc>
          <w:tcPr>
            <w:tcW w:type="dxa" w:w="1100"/>
            <w:shd w:fill="F7F9FC" w:color="auto" w:val="clear"/>
            <w:tcMar>
              <w:top w:type="dxa" w:w="60"/>
              <w:left w:type="dxa" w:w="100"/>
              <w:bottom w:type="dxa" w:w="60"/>
              <w:right w:type="dxa" w:w="100"/>
            </w:tcMar>
            <w:vAlign w:val="top"/>
          </w:tcPr>
          <w:p/>
        </w:tc>
        <w:tc>
          <w:tcPr>
            <w:tcW w:type="dxa" w:w="2900"/>
            <w:shd w:fill="F7F9FC" w:color="auto" w:val="clear"/>
            <w:tcMar>
              <w:top w:type="dxa" w:w="60"/>
              <w:left w:type="dxa" w:w="100"/>
              <w:bottom w:type="dxa" w:w="60"/>
              <w:right w:type="dxa" w:w="100"/>
            </w:tcMar>
            <w:vAlign w:val="top"/>
          </w:tcPr>
          <w:p>
            <w:r>
              <w:rPr>
                <w:sz w:val="14"/>
                <w:szCs w:val="14"/>
              </w:rPr>
              <w:t xml:space="preserve">MPC: noise on clipped whitened information</w:t>
            </w:r>
          </w:p>
        </w:tc>
        <w:tc>
          <w:tcPr>
            <w:tcW w:type="dxa" w:w="1128"/>
            <w:shd w:fill="F7F9FC" w:color="auto" w:val="clear"/>
            <w:tcMar>
              <w:top w:type="dxa" w:w="60"/>
              <w:left w:type="dxa" w:w="100"/>
              <w:bottom w:type="dxa" w:w="60"/>
              <w:right w:type="dxa" w:w="100"/>
            </w:tcMar>
            <w:vAlign w:val="top"/>
          </w:tcPr>
          <w:p>
            <w:r>
              <w:rPr>
                <w:sz w:val="14"/>
                <w:szCs w:val="14"/>
              </w:rPr>
              <w:t xml:space="preserve">46% / 84%</w:t>
            </w:r>
          </w:p>
        </w:tc>
        <w:tc>
          <w:tcPr>
            <w:tcW w:type="dxa" w:w="1128"/>
            <w:shd w:fill="F7F9FC" w:color="auto" w:val="clear"/>
            <w:tcMar>
              <w:top w:type="dxa" w:w="60"/>
              <w:left w:type="dxa" w:w="100"/>
              <w:bottom w:type="dxa" w:w="60"/>
              <w:right w:type="dxa" w:w="100"/>
            </w:tcMar>
            <w:vAlign w:val="top"/>
          </w:tcPr>
          <w:p>
            <w:r>
              <w:rPr>
                <w:sz w:val="14"/>
                <w:szCs w:val="14"/>
              </w:rPr>
              <w:t xml:space="preserve">77% / 100%</w:t>
            </w:r>
          </w:p>
        </w:tc>
        <w:tc>
          <w:tcPr>
            <w:tcW w:type="dxa" w:w="1128"/>
            <w:shd w:fill="F7F9FC" w:color="auto" w:val="clear"/>
            <w:tcMar>
              <w:top w:type="dxa" w:w="60"/>
              <w:left w:type="dxa" w:w="100"/>
              <w:bottom w:type="dxa" w:w="60"/>
              <w:right w:type="dxa" w:w="100"/>
            </w:tcMar>
            <w:vAlign w:val="top"/>
          </w:tcPr>
          <w:p>
            <w:r>
              <w:rPr>
                <w:sz w:val="14"/>
                <w:szCs w:val="14"/>
              </w:rPr>
              <w:t xml:space="preserve">83% / 102%</w:t>
            </w:r>
          </w:p>
        </w:tc>
        <w:tc>
          <w:tcPr>
            <w:tcW w:type="dxa" w:w="1128"/>
            <w:shd w:fill="F7F9FC" w:color="auto" w:val="clear"/>
            <w:tcMar>
              <w:top w:type="dxa" w:w="60"/>
              <w:left w:type="dxa" w:w="100"/>
              <w:bottom w:type="dxa" w:w="60"/>
              <w:right w:type="dxa" w:w="100"/>
            </w:tcMar>
            <w:vAlign w:val="top"/>
          </w:tcPr>
          <w:p>
            <w:r>
              <w:rPr>
                <w:sz w:val="14"/>
                <w:szCs w:val="14"/>
              </w:rPr>
              <w:t xml:space="preserve">88% / 102%</w:t>
            </w:r>
          </w:p>
        </w:tc>
        <w:tc>
          <w:tcPr>
            <w:tcW w:type="dxa" w:w="1126"/>
            <w:shd w:fill="F7F9FC" w:color="auto" w:val="clear"/>
            <w:tcMar>
              <w:top w:type="dxa" w:w="60"/>
              <w:left w:type="dxa" w:w="100"/>
              <w:bottom w:type="dxa" w:w="60"/>
              <w:right w:type="dxa" w:w="100"/>
            </w:tcMar>
            <w:vAlign w:val="top"/>
          </w:tcPr>
          <w:p>
            <w:r>
              <w:rPr>
                <w:sz w:val="14"/>
                <w:szCs w:val="14"/>
              </w:rPr>
              <w:t xml:space="preserve">88% / 102%</w:t>
            </w:r>
          </w:p>
        </w:tc>
      </w:tr>
    </w:tbl>
    <w:p>
      <w:pPr>
        <w:spacing w:after="160"/>
      </w:pPr>
    </w:p>
    <w:p>
      <w:pPr>
        <w:spacing w:after="120"/>
      </w:pPr>
      <w:r>
        <w:rPr>
          <w:i/>
          <w:iCs/>
          <w:color w:val="5B6573"/>
          <w:sz w:val="18"/>
          <w:szCs w:val="18"/>
        </w:rPr>
        <w:t xml:space="preserve">Table 9.4. Share of aquifers whose private choice equals the non-private choice / share of the non-private gain kept; </w:t>
      </w:r>
      <m:oMath>
        <m:r>
          <m:t>δ</m:t>
        </m:r>
        <m:r>
          <m:rPr>
            <m:sty m:val="p"/>
          </m:rPr>
          <m:t>=</m:t>
        </m:r>
        <m:sSup>
          <m:e>
            <m:r>
              <m:t>10</m:t>
            </m:r>
          </m:e>
          <m:sup>
            <m:r>
              <m:rPr>
                <m:sty m:val="p"/>
              </m:rPr>
              <m:t>−</m:t>
            </m:r>
            <m:r>
              <m:t>6</m:t>
            </m:r>
          </m:sup>
        </m:sSup>
      </m:oMath>
      <w:r>
        <w:rPr>
          <w:i/>
          <w:iCs/>
          <w:color w:val="5B6573"/>
          <w:sz w:val="18"/>
          <w:szCs w:val="18"/>
        </w:rPr>
        <w:t xml:space="preserve">, one record (one well-season) protected, one release per candidate. DP alone clips each record in Euclidean norm (public bound, 95th percentile over the sector) because the host's posterior cannot be shown to the candidate.</w:t>
      </w:r>
    </w:p>
    <w:p>
      <w:pPr>
        <w:pStyle w:val="ListParagraph"/>
        <w:numPr>
          <w:ilvl w:val="0"/>
          <w:numId w:val="2"/>
        </w:numPr>
        <w:spacing w:after="60"/>
        <w:jc w:val="both"/>
      </w:pPr>
      <w:r>
        <w:rPr>
          <w:b/>
          <w:bCs/>
        </w:rPr>
        <w:t xml:space="preserve">The secure computation works.</w:t>
      </w:r>
      <w:r>
        <w:t xml:space="preserve"> On 40 aquifers × 4 candidates the value computed on shares differs from floating point by at most 1.4e-4 (mean 1.8e-5) and picks the same holder every time, at about 21 MB of traffic, 262 rounds of Beaver products and 3 dealer-assisted comparisons per candidate.</w:t>
      </w:r>
    </w:p>
    <w:p>
      <w:pPr>
        <w:pStyle w:val="Heading3"/>
      </w:pPr>
      <w:r>
        <w:rPr>
          <w:color w:val="1F3864"/>
        </w:rPr>
        <w:t xml:space="preserve">9.8 What it means for Fushë-Kuqe, and the limits</w:t>
      </w:r>
    </w:p>
    <w:p>
      <w:pPr>
        <w:spacing w:after="120"/>
        <w:jc w:val="both"/>
      </w:pPr>
      <w:r>
        <w:t xml:space="preserve">For the COST Action and the field programme the order of work is: first build the CATE model on the groundwater model (it is worth more than any merge); then value each candidate merge by its decision value, computed on secret shares from Gram matrices so that no institution reveals a record, with noise added inside the computation if the value itself must be private; merge only where the value exceeds the cost; and expect the coastal hotels and the private irrigators, whose records cover the targets near the toe, to be worth more per record than the agency's inland network. The limits: the aquifers, the chemistry and the holders are simulated, not observed; the model is linear-Gaussian with a known noise scale and assumes no unmeasured confounding within each holder; treatment is binary and the decision is per well, without interactions between wells; the privacy unit is one well-season (a well with many seasons is protected less); and the secure computation is a faithful simulation with dealer-assisted truncation and comparisons, not a deployed protocol.</w:t>
      </w:r>
    </w:p>
    <w:p>
      <w:pPr>
        <w:pStyle w:val="Heading1"/>
      </w:pPr>
      <w:r>
        <w:rPr>
          <w:color w:val="1F3864"/>
        </w:rPr>
        <w:t xml:space="preserve">10. References</w:t>
      </w:r>
    </w:p>
    <w:p>
      <w:pPr>
        <w:pStyle w:val="Heading3"/>
      </w:pPr>
      <w:r>
        <w:rPr>
          <w:color w:val="1F3864"/>
        </w:rPr>
        <w:t xml:space="preserve">References of Part I and section 9 (classical literature and the anchor paper)</w:t>
      </w:r>
    </w:p>
    <w:p>
      <w:pPr>
        <w:tabs>
          <w:tab w:val="left" w:pos="567"/>
        </w:tabs>
        <w:spacing w:after="50"/>
        <w:ind w:left="567" w:hanging="567"/>
        <w:jc w:val="left"/>
      </w:pPr>
      <w:r>
        <w:rPr>
          <w:b/>
          <w:bCs/>
          <w:color w:val="1F3864"/>
          <w:sz w:val="17"/>
          <w:szCs w:val="17"/>
        </w:rPr>
        <w:t xml:space="preserve">[B1]	</w:t>
      </w:r>
      <w:r>
        <w:rPr>
          <w:sz w:val="17"/>
          <w:szCs w:val="17"/>
        </w:rPr>
        <w:t xml:space="preserve">Fawkes, J., Ter-Minassian, L., Ivanova, D., Shalit, U. &amp; Holmes, C. (2025). Is merging worth it? Securely evaluating the information gain for causal dataset acquisition. In </w:t>
      </w:r>
      <w:r>
        <w:rPr>
          <w:i/>
          <w:iCs/>
          <w:sz w:val="17"/>
          <w:szCs w:val="17"/>
        </w:rPr>
        <w:t xml:space="preserve">Proceedings of the 28th International Conference on Artificial Intelligence and Statistics (AISTATS 2025)</w:t>
      </w:r>
      <w:r>
        <w:rPr>
          <w:sz w:val="17"/>
          <w:szCs w:val="17"/>
        </w:rPr>
        <w:t xml:space="preserve">, PMLR 258, 1423–1431.</w:t>
      </w:r>
      <w:r>
        <w:rPr>
          <w:sz w:val="17"/>
          <w:szCs w:val="17"/>
        </w:rPr>
        <w:t xml:space="preserve"> </w:t>
      </w:r>
      <w:hyperlink w:history="1" r:id="rId5_b9ros0ohstxqg8ooxmk">
        <w:r>
          <w:rPr>
            <w:color w:val="1D4ED8"/>
            <w:sz w:val="17"/>
            <w:szCs w:val="17"/>
            <w:u w:val="single"/>
          </w:rPr>
          <w:t xml:space="preserve">https://proceedings.mlr.press/v258/fawkes25a.html</w:t>
        </w:r>
      </w:hyperlink>
    </w:p>
    <w:p>
      <w:pPr>
        <w:tabs>
          <w:tab w:val="left" w:pos="567"/>
        </w:tabs>
        <w:spacing w:after="50"/>
        <w:ind w:left="567" w:hanging="567"/>
        <w:jc w:val="left"/>
      </w:pPr>
      <w:r>
        <w:rPr>
          <w:b/>
          <w:bCs/>
          <w:color w:val="1F3864"/>
          <w:sz w:val="17"/>
          <w:szCs w:val="17"/>
        </w:rPr>
        <w:t xml:space="preserve">[B2]	</w:t>
      </w:r>
      <w:r>
        <w:rPr>
          <w:sz w:val="17"/>
          <w:szCs w:val="17"/>
        </w:rPr>
        <w:t xml:space="preserve">Lindley, D. V. (1956). On a measure of the information provided by an experiment. </w:t>
      </w:r>
      <w:r>
        <w:rPr>
          <w:i/>
          <w:iCs/>
          <w:sz w:val="17"/>
          <w:szCs w:val="17"/>
        </w:rPr>
        <w:t xml:space="preserve">Annals of Mathematical Statistics</w:t>
      </w:r>
      <w:r>
        <w:rPr>
          <w:sz w:val="17"/>
          <w:szCs w:val="17"/>
        </w:rPr>
        <w:t xml:space="preserve">, 27(4), 986–1005.</w:t>
      </w:r>
      <w:r>
        <w:rPr>
          <w:sz w:val="17"/>
          <w:szCs w:val="17"/>
        </w:rPr>
        <w:t xml:space="preserve"> </w:t>
      </w:r>
      <w:hyperlink w:history="1" r:id="rIddoqt692i6yadvy7r7x3_m">
        <w:r>
          <w:rPr>
            <w:color w:val="1D4ED8"/>
            <w:sz w:val="17"/>
            <w:szCs w:val="17"/>
            <w:u w:val="single"/>
          </w:rPr>
          <w:t xml:space="preserve">https://doi.org/10.1214/aoms/1177728069</w:t>
        </w:r>
      </w:hyperlink>
    </w:p>
    <w:p>
      <w:pPr>
        <w:tabs>
          <w:tab w:val="left" w:pos="567"/>
        </w:tabs>
        <w:spacing w:after="50"/>
        <w:ind w:left="567" w:hanging="567"/>
        <w:jc w:val="left"/>
      </w:pPr>
      <w:r>
        <w:rPr>
          <w:b/>
          <w:bCs/>
          <w:color w:val="1F3864"/>
          <w:sz w:val="17"/>
          <w:szCs w:val="17"/>
        </w:rPr>
        <w:t xml:space="preserve">[B3]	</w:t>
      </w:r>
      <w:r>
        <w:rPr>
          <w:sz w:val="17"/>
          <w:szCs w:val="17"/>
        </w:rPr>
        <w:t xml:space="preserve">Raiffa, H. &amp; Schlaifer, R. (1961). </w:t>
      </w:r>
      <w:r>
        <w:rPr>
          <w:i/>
          <w:iCs/>
          <w:sz w:val="17"/>
          <w:szCs w:val="17"/>
        </w:rPr>
        <w:t xml:space="preserve">Applied Statistical Decision Theory</w:t>
      </w:r>
      <w:r>
        <w:rPr>
          <w:sz w:val="17"/>
          <w:szCs w:val="17"/>
        </w:rPr>
        <w:t xml:space="preserve">. Division of Research, Graduate School of Business Administration, Harvard University, Boston.</w:t>
      </w:r>
    </w:p>
    <w:p>
      <w:pPr>
        <w:tabs>
          <w:tab w:val="left" w:pos="567"/>
        </w:tabs>
        <w:spacing w:after="50"/>
        <w:ind w:left="567" w:hanging="567"/>
        <w:jc w:val="left"/>
      </w:pPr>
      <w:r>
        <w:rPr>
          <w:b/>
          <w:bCs/>
          <w:color w:val="1F3864"/>
          <w:sz w:val="17"/>
          <w:szCs w:val="17"/>
        </w:rPr>
        <w:t xml:space="preserve">[B4]	</w:t>
      </w:r>
      <w:r>
        <w:rPr>
          <w:sz w:val="17"/>
          <w:szCs w:val="17"/>
        </w:rPr>
        <w:t xml:space="preserve">Blackwell, D. (1953). Equivalent comparisons of experiments. </w:t>
      </w:r>
      <w:r>
        <w:rPr>
          <w:i/>
          <w:iCs/>
          <w:sz w:val="17"/>
          <w:szCs w:val="17"/>
        </w:rPr>
        <w:t xml:space="preserve">Annals of Mathematical Statistics</w:t>
      </w:r>
      <w:r>
        <w:rPr>
          <w:sz w:val="17"/>
          <w:szCs w:val="17"/>
        </w:rPr>
        <w:t xml:space="preserve">, 24(2), 265–272.</w:t>
      </w:r>
      <w:r>
        <w:rPr>
          <w:sz w:val="17"/>
          <w:szCs w:val="17"/>
        </w:rPr>
        <w:t xml:space="preserve"> </w:t>
      </w:r>
      <w:hyperlink w:history="1" r:id="rIdcdcse0b5zwmrgu5thbtbs">
        <w:r>
          <w:rPr>
            <w:color w:val="1D4ED8"/>
            <w:sz w:val="17"/>
            <w:szCs w:val="17"/>
            <w:u w:val="single"/>
          </w:rPr>
          <w:t xml:space="preserve">https://doi.org/10.1214/aoms/1177729032</w:t>
        </w:r>
      </w:hyperlink>
    </w:p>
    <w:p>
      <w:pPr>
        <w:tabs>
          <w:tab w:val="left" w:pos="567"/>
        </w:tabs>
        <w:spacing w:after="50"/>
        <w:ind w:left="567" w:hanging="567"/>
        <w:jc w:val="left"/>
      </w:pPr>
      <w:r>
        <w:rPr>
          <w:b/>
          <w:bCs/>
          <w:color w:val="1F3864"/>
          <w:sz w:val="17"/>
          <w:szCs w:val="17"/>
        </w:rPr>
        <w:t xml:space="preserve">[B5]	</w:t>
      </w:r>
      <w:r>
        <w:rPr>
          <w:sz w:val="17"/>
          <w:szCs w:val="17"/>
        </w:rPr>
        <w:t xml:space="preserve">Dwork, C., McSherry, F., Nissim, K. &amp; Smith, A. (2006). Calibrating noise to sensitivity in private data analysis. In </w:t>
      </w:r>
      <w:r>
        <w:rPr>
          <w:i/>
          <w:iCs/>
          <w:sz w:val="17"/>
          <w:szCs w:val="17"/>
        </w:rPr>
        <w:t xml:space="preserve">Theory of Cryptography (TCC 2006)</w:t>
      </w:r>
      <w:r>
        <w:rPr>
          <w:sz w:val="17"/>
          <w:szCs w:val="17"/>
        </w:rPr>
        <w:t xml:space="preserve">, Lecture Notes in Computer Science 3876, 265–284. Springer.</w:t>
      </w:r>
      <w:r>
        <w:rPr>
          <w:sz w:val="17"/>
          <w:szCs w:val="17"/>
        </w:rPr>
        <w:t xml:space="preserve"> </w:t>
      </w:r>
      <w:hyperlink w:history="1" r:id="rIdevehjcbvz442nmzhqb1yr">
        <w:r>
          <w:rPr>
            <w:color w:val="1D4ED8"/>
            <w:sz w:val="17"/>
            <w:szCs w:val="17"/>
            <w:u w:val="single"/>
          </w:rPr>
          <w:t xml:space="preserve">https://doi.org/10.1007/11681878_14</w:t>
        </w:r>
      </w:hyperlink>
    </w:p>
    <w:p>
      <w:pPr>
        <w:tabs>
          <w:tab w:val="left" w:pos="567"/>
        </w:tabs>
        <w:spacing w:after="50"/>
        <w:ind w:left="567" w:hanging="567"/>
        <w:jc w:val="left"/>
      </w:pPr>
      <w:r>
        <w:rPr>
          <w:b/>
          <w:bCs/>
          <w:color w:val="1F3864"/>
          <w:sz w:val="17"/>
          <w:szCs w:val="17"/>
        </w:rPr>
        <w:t xml:space="preserve">[B6]	</w:t>
      </w:r>
      <w:r>
        <w:rPr>
          <w:sz w:val="17"/>
          <w:szCs w:val="17"/>
        </w:rPr>
        <w:t xml:space="preserve">Dwork, C. &amp; Roth, A. (2014). The algorithmic foundations of differential privacy. </w:t>
      </w:r>
      <w:r>
        <w:rPr>
          <w:i/>
          <w:iCs/>
          <w:sz w:val="17"/>
          <w:szCs w:val="17"/>
        </w:rPr>
        <w:t xml:space="preserve">Foundations and Trends in Theoretical Computer Science</w:t>
      </w:r>
      <w:r>
        <w:rPr>
          <w:sz w:val="17"/>
          <w:szCs w:val="17"/>
        </w:rPr>
        <w:t xml:space="preserve">, 9(3–4), 211–407.</w:t>
      </w:r>
      <w:r>
        <w:rPr>
          <w:sz w:val="17"/>
          <w:szCs w:val="17"/>
        </w:rPr>
        <w:t xml:space="preserve"> </w:t>
      </w:r>
      <w:hyperlink w:history="1" r:id="rIdm9vcpiho5hzh2ayruhvmz">
        <w:r>
          <w:rPr>
            <w:color w:val="1D4ED8"/>
            <w:sz w:val="17"/>
            <w:szCs w:val="17"/>
            <w:u w:val="single"/>
          </w:rPr>
          <w:t xml:space="preserve">https://doi.org/10.1561/0400000042</w:t>
        </w:r>
      </w:hyperlink>
    </w:p>
    <w:p>
      <w:pPr>
        <w:tabs>
          <w:tab w:val="left" w:pos="567"/>
        </w:tabs>
        <w:spacing w:after="50"/>
        <w:ind w:left="567" w:hanging="567"/>
        <w:jc w:val="left"/>
      </w:pPr>
      <w:r>
        <w:rPr>
          <w:b/>
          <w:bCs/>
          <w:color w:val="1F3864"/>
          <w:sz w:val="17"/>
          <w:szCs w:val="17"/>
        </w:rPr>
        <w:t xml:space="preserve">[B7]	</w:t>
      </w:r>
      <w:r>
        <w:rPr>
          <w:sz w:val="17"/>
          <w:szCs w:val="17"/>
        </w:rPr>
        <w:t xml:space="preserve">Balle, B. &amp; Wang, Y.-X. (2018). Improving the Gaussian mechanism for differential privacy: analytical calibration and optimal denoising. In </w:t>
      </w:r>
      <w:r>
        <w:rPr>
          <w:i/>
          <w:iCs/>
          <w:sz w:val="17"/>
          <w:szCs w:val="17"/>
        </w:rPr>
        <w:t xml:space="preserve">Proceedings of the 35th International Conference on Machine Learning</w:t>
      </w:r>
      <w:r>
        <w:rPr>
          <w:sz w:val="17"/>
          <w:szCs w:val="17"/>
        </w:rPr>
        <w:t xml:space="preserve">, PMLR 80 (pages not verified).</w:t>
      </w:r>
    </w:p>
    <w:p>
      <w:pPr>
        <w:tabs>
          <w:tab w:val="left" w:pos="567"/>
        </w:tabs>
        <w:spacing w:after="50"/>
        <w:ind w:left="567" w:hanging="567"/>
        <w:jc w:val="left"/>
      </w:pPr>
      <w:r>
        <w:rPr>
          <w:b/>
          <w:bCs/>
          <w:color w:val="1F3864"/>
          <w:sz w:val="17"/>
          <w:szCs w:val="17"/>
        </w:rPr>
        <w:t xml:space="preserve">[B8]	</w:t>
      </w:r>
      <w:r>
        <w:rPr>
          <w:sz w:val="17"/>
          <w:szCs w:val="17"/>
        </w:rPr>
        <w:t xml:space="preserve">Beaver, D. (1991). Efficient multiparty protocols using circuit randomization. In </w:t>
      </w:r>
      <w:r>
        <w:rPr>
          <w:i/>
          <w:iCs/>
          <w:sz w:val="17"/>
          <w:szCs w:val="17"/>
        </w:rPr>
        <w:t xml:space="preserve">Advances in Cryptology – CRYPTO ’91</w:t>
      </w:r>
      <w:r>
        <w:rPr>
          <w:sz w:val="17"/>
          <w:szCs w:val="17"/>
        </w:rPr>
        <w:t xml:space="preserve">, Lecture Notes in Computer Science 576, 420–432. Springer (DOI not verified).</w:t>
      </w:r>
    </w:p>
    <w:p>
      <w:pPr>
        <w:tabs>
          <w:tab w:val="left" w:pos="567"/>
        </w:tabs>
        <w:spacing w:after="50"/>
        <w:ind w:left="567" w:hanging="567"/>
        <w:jc w:val="left"/>
      </w:pPr>
      <w:r>
        <w:rPr>
          <w:b/>
          <w:bCs/>
          <w:color w:val="1F3864"/>
          <w:sz w:val="17"/>
          <w:szCs w:val="17"/>
        </w:rPr>
        <w:t xml:space="preserve">[B9]	</w:t>
      </w:r>
      <w:r>
        <w:rPr>
          <w:sz w:val="17"/>
          <w:szCs w:val="17"/>
        </w:rPr>
        <w:t xml:space="preserve">Knott, B., Venkataraman, S., Hannun, A., Sengupta, S., Ibrahim, M. &amp; van der Maaten, L. (2021). CrypTen: Secure multi-party computation meets machine learning. In </w:t>
      </w:r>
      <w:r>
        <w:rPr>
          <w:i/>
          <w:iCs/>
          <w:sz w:val="17"/>
          <w:szCs w:val="17"/>
        </w:rPr>
        <w:t xml:space="preserve">Advances in Neural Information Processing Systems 34</w:t>
      </w:r>
      <w:r>
        <w:rPr>
          <w:sz w:val="17"/>
          <w:szCs w:val="17"/>
        </w:rPr>
        <w:t xml:space="preserve"> (pages not verified).</w:t>
      </w:r>
    </w:p>
    <w:p>
      <w:pPr>
        <w:tabs>
          <w:tab w:val="left" w:pos="567"/>
        </w:tabs>
        <w:spacing w:after="50"/>
        <w:ind w:left="567" w:hanging="567"/>
        <w:jc w:val="left"/>
      </w:pPr>
      <w:r>
        <w:rPr>
          <w:b/>
          <w:bCs/>
          <w:color w:val="1F3864"/>
          <w:sz w:val="17"/>
          <w:szCs w:val="17"/>
        </w:rPr>
        <w:t xml:space="preserve">[B10]	</w:t>
      </w:r>
      <w:r>
        <w:rPr>
          <w:sz w:val="17"/>
          <w:szCs w:val="17"/>
        </w:rPr>
        <w:t xml:space="preserve">Rosenbaum, P. R. &amp; Rubin, D. B. (1983). The central role of the propensity score in observational studies for causal effects. </w:t>
      </w:r>
      <w:r>
        <w:rPr>
          <w:i/>
          <w:iCs/>
          <w:sz w:val="17"/>
          <w:szCs w:val="17"/>
        </w:rPr>
        <w:t xml:space="preserve">Biometrika</w:t>
      </w:r>
      <w:r>
        <w:rPr>
          <w:sz w:val="17"/>
          <w:szCs w:val="17"/>
        </w:rPr>
        <w:t xml:space="preserve">, 70(1), 41–55.</w:t>
      </w:r>
      <w:r>
        <w:rPr>
          <w:sz w:val="17"/>
          <w:szCs w:val="17"/>
        </w:rPr>
        <w:t xml:space="preserve"> </w:t>
      </w:r>
      <w:hyperlink w:history="1" r:id="rIdqzxaznc-rc_axrkzdt5qa">
        <w:r>
          <w:rPr>
            <w:color w:val="1D4ED8"/>
            <w:sz w:val="17"/>
            <w:szCs w:val="17"/>
            <w:u w:val="single"/>
          </w:rPr>
          <w:t xml:space="preserve">https://doi.org/10.1093/biomet/70.1.41</w:t>
        </w:r>
      </w:hyperlink>
    </w:p>
    <w:p>
      <w:pPr>
        <w:tabs>
          <w:tab w:val="left" w:pos="567"/>
        </w:tabs>
        <w:spacing w:after="50"/>
        <w:ind w:left="567" w:hanging="567"/>
        <w:jc w:val="left"/>
      </w:pPr>
      <w:r>
        <w:rPr>
          <w:b/>
          <w:bCs/>
          <w:color w:val="1F3864"/>
          <w:sz w:val="17"/>
          <w:szCs w:val="17"/>
        </w:rPr>
        <w:t xml:space="preserve">[B11]	</w:t>
      </w:r>
      <w:r>
        <w:rPr>
          <w:sz w:val="17"/>
          <w:szCs w:val="17"/>
        </w:rPr>
        <w:t xml:space="preserve">Bareinboim, E. &amp; Pearl, J. (2016). Causal inference and the data-fusion problem. </w:t>
      </w:r>
      <w:r>
        <w:rPr>
          <w:i/>
          <w:iCs/>
          <w:sz w:val="17"/>
          <w:szCs w:val="17"/>
        </w:rPr>
        <w:t xml:space="preserve">Proceedings of the National Academy of Sciences</w:t>
      </w:r>
      <w:r>
        <w:rPr>
          <w:sz w:val="17"/>
          <w:szCs w:val="17"/>
        </w:rPr>
        <w:t xml:space="preserve">, 113(27), 7345–7352.</w:t>
      </w:r>
      <w:r>
        <w:rPr>
          <w:sz w:val="17"/>
          <w:szCs w:val="17"/>
        </w:rPr>
        <w:t xml:space="preserve"> </w:t>
      </w:r>
      <w:hyperlink w:history="1" r:id="rIdh12cahq44w7eh-fzlpnmy">
        <w:r>
          <w:rPr>
            <w:color w:val="1D4ED8"/>
            <w:sz w:val="17"/>
            <w:szCs w:val="17"/>
            <w:u w:val="single"/>
          </w:rPr>
          <w:t xml:space="preserve">https://doi.org/10.1073/pnas.1510507113</w:t>
        </w:r>
      </w:hyperlink>
    </w:p>
    <w:p>
      <w:pPr>
        <w:tabs>
          <w:tab w:val="left" w:pos="567"/>
        </w:tabs>
        <w:spacing w:after="50"/>
        <w:ind w:left="567" w:hanging="567"/>
        <w:jc w:val="left"/>
      </w:pPr>
      <w:r>
        <w:rPr>
          <w:b/>
          <w:bCs/>
          <w:color w:val="1F3864"/>
          <w:sz w:val="17"/>
          <w:szCs w:val="17"/>
        </w:rPr>
        <w:t xml:space="preserve">[B12]	</w:t>
      </w:r>
      <w:r>
        <w:rPr>
          <w:sz w:val="17"/>
          <w:szCs w:val="17"/>
        </w:rPr>
        <w:t xml:space="preserve">Kaipio, J. &amp; Somersalo, E. (2007). Statistical inverse problems: Discretization, model reduction and inverse crimes. </w:t>
      </w:r>
      <w:r>
        <w:rPr>
          <w:i/>
          <w:iCs/>
          <w:sz w:val="17"/>
          <w:szCs w:val="17"/>
        </w:rPr>
        <w:t xml:space="preserve">Journal of Computational and Applied Mathematics</w:t>
      </w:r>
      <w:r>
        <w:rPr>
          <w:sz w:val="17"/>
          <w:szCs w:val="17"/>
        </w:rPr>
        <w:t xml:space="preserve">, 198(2), 493–504.</w:t>
      </w:r>
      <w:r>
        <w:rPr>
          <w:sz w:val="17"/>
          <w:szCs w:val="17"/>
        </w:rPr>
        <w:t xml:space="preserve"> </w:t>
      </w:r>
      <w:hyperlink w:history="1" r:id="rIdbpaxl7j_wvgoht5fttroi">
        <w:r>
          <w:rPr>
            <w:color w:val="1D4ED8"/>
            <w:sz w:val="17"/>
            <w:szCs w:val="17"/>
            <w:u w:val="single"/>
          </w:rPr>
          <w:t xml:space="preserve">https://doi.org/10.1016/j.cam.2005.09.027</w:t>
        </w:r>
      </w:hyperlink>
    </w:p>
    <w:p>
      <w:pPr>
        <w:tabs>
          <w:tab w:val="left" w:pos="567"/>
        </w:tabs>
        <w:spacing w:after="50"/>
        <w:ind w:left="567" w:hanging="567"/>
        <w:jc w:val="left"/>
      </w:pPr>
      <w:r>
        <w:rPr>
          <w:b/>
          <w:bCs/>
          <w:color w:val="1F3864"/>
          <w:sz w:val="17"/>
          <w:szCs w:val="17"/>
        </w:rPr>
        <w:t xml:space="preserve">[B13]	</w:t>
      </w:r>
      <w:r>
        <w:rPr>
          <w:sz w:val="17"/>
          <w:szCs w:val="17"/>
        </w:rPr>
        <w:t xml:space="preserve">Ghorbani, A. &amp; Zou, J. (2019). Data Shapley: Equitable valuation of data for machine learning. In </w:t>
      </w:r>
      <w:r>
        <w:rPr>
          <w:i/>
          <w:iCs/>
          <w:sz w:val="17"/>
          <w:szCs w:val="17"/>
        </w:rPr>
        <w:t xml:space="preserve">Proceedings of the 36th International Conference on Machine Learning</w:t>
      </w:r>
      <w:r>
        <w:rPr>
          <w:sz w:val="17"/>
          <w:szCs w:val="17"/>
        </w:rPr>
        <w:t xml:space="preserve">, PMLR 97 (pages not verified).</w:t>
      </w:r>
    </w:p>
    <w:p>
      <w:pPr>
        <w:tabs>
          <w:tab w:val="left" w:pos="567"/>
        </w:tabs>
        <w:spacing w:after="50"/>
        <w:ind w:left="567" w:hanging="567"/>
        <w:jc w:val="left"/>
      </w:pPr>
      <w:r>
        <w:rPr>
          <w:b/>
          <w:bCs/>
          <w:color w:val="1F3864"/>
          <w:sz w:val="17"/>
          <w:szCs w:val="17"/>
        </w:rPr>
        <w:t xml:space="preserve">[B14]	</w:t>
      </w:r>
      <w:r>
        <w:rPr>
          <w:sz w:val="17"/>
          <w:szCs w:val="17"/>
        </w:rPr>
        <w:t xml:space="preserve">Pukelsheim, F. (2006). </w:t>
      </w:r>
      <w:r>
        <w:rPr>
          <w:i/>
          <w:iCs/>
          <w:sz w:val="17"/>
          <w:szCs w:val="17"/>
        </w:rPr>
        <w:t xml:space="preserve">Optimal Design of Experiments</w:t>
      </w:r>
      <w:r>
        <w:rPr>
          <w:sz w:val="17"/>
          <w:szCs w:val="17"/>
        </w:rPr>
        <w:t xml:space="preserve">. Classics in Applied Mathematics 50, SIAM, Philadelphia (reprint of the 1993 Wiley edition; DOI not verified).</w:t>
      </w:r>
    </w:p>
    <w:p>
      <w:pPr>
        <w:tabs>
          <w:tab w:val="left" w:pos="567"/>
        </w:tabs>
        <w:spacing w:after="50"/>
        <w:ind w:left="567" w:hanging="567"/>
        <w:jc w:val="left"/>
      </w:pPr>
      <w:r>
        <w:rPr>
          <w:b/>
          <w:bCs/>
          <w:color w:val="1F3864"/>
          <w:sz w:val="17"/>
          <w:szCs w:val="17"/>
        </w:rPr>
        <w:t xml:space="preserve">[B15]	</w:t>
      </w:r>
      <w:r>
        <w:rPr>
          <w:sz w:val="17"/>
          <w:szCs w:val="17"/>
        </w:rPr>
        <w:t xml:space="preserve">Anderson, W. N. &amp; Duffin, R. J. (1969). Series and parallel addition of matrices. </w:t>
      </w:r>
      <w:r>
        <w:rPr>
          <w:i/>
          <w:iCs/>
          <w:sz w:val="17"/>
          <w:szCs w:val="17"/>
        </w:rPr>
        <w:t xml:space="preserve">Journal of Mathematical Analysis and Applications</w:t>
      </w:r>
      <w:r>
        <w:rPr>
          <w:sz w:val="17"/>
          <w:szCs w:val="17"/>
        </w:rPr>
        <w:t xml:space="preserve">, 26(3), 576–594 (DOI not verified).</w:t>
      </w:r>
    </w:p>
    <w:p>
      <w:pPr>
        <w:tabs>
          <w:tab w:val="left" w:pos="567"/>
        </w:tabs>
        <w:spacing w:after="50"/>
        <w:ind w:left="567" w:hanging="567"/>
        <w:jc w:val="left"/>
      </w:pPr>
      <w:r>
        <w:rPr>
          <w:b/>
          <w:bCs/>
          <w:color w:val="1F3864"/>
          <w:sz w:val="17"/>
          <w:szCs w:val="17"/>
        </w:rPr>
        <w:t xml:space="preserve">[B16]	</w:t>
      </w:r>
      <w:r>
        <w:rPr>
          <w:sz w:val="17"/>
          <w:szCs w:val="17"/>
        </w:rPr>
        <w:t xml:space="preserve">Howard, R. A. (1966). Information value theory. </w:t>
      </w:r>
      <w:r>
        <w:rPr>
          <w:i/>
          <w:iCs/>
          <w:sz w:val="17"/>
          <w:szCs w:val="17"/>
        </w:rPr>
        <w:t xml:space="preserve">IEEE Transactions on Systems Science and Cybernetics</w:t>
      </w:r>
      <w:r>
        <w:rPr>
          <w:sz w:val="17"/>
          <w:szCs w:val="17"/>
        </w:rPr>
        <w:t xml:space="preserve">, 2(1), 22–26.</w:t>
      </w:r>
      <w:r>
        <w:rPr>
          <w:sz w:val="17"/>
          <w:szCs w:val="17"/>
        </w:rPr>
        <w:t xml:space="preserve"> </w:t>
      </w:r>
      <w:hyperlink w:history="1" r:id="rId_rkgpsk0wyjviptzbxtqi">
        <w:r>
          <w:rPr>
            <w:color w:val="1D4ED8"/>
            <w:sz w:val="17"/>
            <w:szCs w:val="17"/>
            <w:u w:val="single"/>
          </w:rPr>
          <w:t xml:space="preserve">https://doi.org/10.1109/TSSC.1966.300074</w:t>
        </w:r>
      </w:hyperlink>
    </w:p>
    <w:p>
      <w:pPr>
        <w:tabs>
          <w:tab w:val="left" w:pos="567"/>
        </w:tabs>
        <w:spacing w:after="50"/>
        <w:ind w:left="567" w:hanging="567"/>
        <w:jc w:val="left"/>
      </w:pPr>
      <w:r>
        <w:rPr>
          <w:b/>
          <w:bCs/>
          <w:color w:val="1F3864"/>
          <w:sz w:val="17"/>
          <w:szCs w:val="17"/>
        </w:rPr>
        <w:t xml:space="preserve">[B17]	</w:t>
      </w:r>
      <w:r>
        <w:rPr>
          <w:sz w:val="17"/>
          <w:szCs w:val="17"/>
        </w:rPr>
        <w:t xml:space="preserve">Banerjee, S., Gelfand, A. E., Finley, A. O. &amp; Sang, H. (2008). Gaussian predictive process models for large spatial data sets. </w:t>
      </w:r>
      <w:r>
        <w:rPr>
          <w:i/>
          <w:iCs/>
          <w:sz w:val="17"/>
          <w:szCs w:val="17"/>
        </w:rPr>
        <w:t xml:space="preserve">Journal of the Royal Statistical Society: Series B</w:t>
      </w:r>
      <w:r>
        <w:rPr>
          <w:sz w:val="17"/>
          <w:szCs w:val="17"/>
        </w:rPr>
        <w:t xml:space="preserve">, 70(4), 825–848.</w:t>
      </w:r>
      <w:r>
        <w:rPr>
          <w:sz w:val="17"/>
          <w:szCs w:val="17"/>
        </w:rPr>
        <w:t xml:space="preserve"> </w:t>
      </w:r>
      <w:hyperlink w:history="1" r:id="rId3mbqturkblcuolxxmbe9a">
        <w:r>
          <w:rPr>
            <w:color w:val="1D4ED8"/>
            <w:sz w:val="17"/>
            <w:szCs w:val="17"/>
            <w:u w:val="single"/>
          </w:rPr>
          <w:t xml:space="preserve">https://doi.org/10.1111/j.1467-9868.2008.00663.x</w:t>
        </w:r>
      </w:hyperlink>
    </w:p>
    <w:p>
      <w:pPr>
        <w:pStyle w:val="Heading3"/>
      </w:pPr>
      <w:r>
        <w:rPr>
          <w:color w:val="1F3864"/>
        </w:rPr>
        <w:t xml:space="preserve">References of Part II (the 20 papers)</w:t>
      </w:r>
    </w:p>
    <w:p>
      <w:pPr>
        <w:tabs>
          <w:tab w:val="left" w:pos="567"/>
        </w:tabs>
        <w:spacing w:after="50"/>
        <w:ind w:left="567" w:hanging="567"/>
        <w:jc w:val="left"/>
      </w:pPr>
      <w:r>
        <w:rPr>
          <w:b/>
          <w:bCs/>
          <w:color w:val="1E3A8A"/>
          <w:sz w:val="17"/>
          <w:szCs w:val="17"/>
        </w:rPr>
        <w:t xml:space="preserve">[V1]	</w:t>
      </w:r>
      <w:r>
        <w:rPr>
          <w:sz w:val="17"/>
          <w:szCs w:val="17"/>
        </w:rPr>
        <w:t xml:space="preserve">Astudillo, R., Lin, Z. J., Bakshy, E. &amp; Frazier, P. (2023). qEUBO: a decision-theoretic acquisition function for preferential Bayesian optimization. </w:t>
      </w:r>
      <w:r>
        <w:rPr>
          <w:i/>
          <w:iCs/>
          <w:sz w:val="17"/>
          <w:szCs w:val="17"/>
        </w:rPr>
        <w:t xml:space="preserve">Proceedings of the 26th International Conference on Artificial Intelligence and Statistics</w:t>
      </w:r>
      <w:r>
        <w:rPr>
          <w:sz w:val="17"/>
          <w:szCs w:val="17"/>
        </w:rPr>
        <w:t xml:space="preserve">, PMLR 206, 1093–1114.</w:t>
      </w:r>
      <w:r>
        <w:rPr>
          <w:sz w:val="17"/>
          <w:szCs w:val="17"/>
        </w:rPr>
        <w:t xml:space="preserve"> </w:t>
      </w:r>
      <w:hyperlink w:history="1" r:id="rIdemcpyucefvtcurhrh5vp-">
        <w:r>
          <w:rPr>
            <w:color w:val="1D4ED8"/>
            <w:sz w:val="17"/>
            <w:szCs w:val="17"/>
            <w:u w:val="single"/>
          </w:rPr>
          <w:t xml:space="preserve">https://proceedings.mlr.press/v206/astudillo23a.html</w:t>
        </w:r>
      </w:hyperlink>
    </w:p>
    <w:p>
      <w:pPr>
        <w:tabs>
          <w:tab w:val="left" w:pos="567"/>
        </w:tabs>
        <w:spacing w:after="50"/>
        <w:ind w:left="567" w:hanging="567"/>
        <w:jc w:val="left"/>
      </w:pPr>
      <w:r>
        <w:rPr>
          <w:b/>
          <w:bCs/>
          <w:color w:val="1E3A8A"/>
          <w:sz w:val="17"/>
          <w:szCs w:val="17"/>
        </w:rPr>
        <w:t xml:space="preserve">[V2]	</w:t>
      </w:r>
      <w:r>
        <w:rPr>
          <w:sz w:val="17"/>
          <w:szCs w:val="17"/>
        </w:rPr>
        <w:t xml:space="preserve">Saad, F., Cusumano-Towner, M. &amp; Mansinghka, V. (2022). Estimators of entropy and information via inference in probabilistic models. </w:t>
      </w:r>
      <w:r>
        <w:rPr>
          <w:i/>
          <w:iCs/>
          <w:sz w:val="17"/>
          <w:szCs w:val="17"/>
        </w:rPr>
        <w:t xml:space="preserve">Proceedings of the 25th International Conference on Artificial Intelligence and Statistics</w:t>
      </w:r>
      <w:r>
        <w:rPr>
          <w:sz w:val="17"/>
          <w:szCs w:val="17"/>
        </w:rPr>
        <w:t xml:space="preserve">, PMLR 151, 5604–5621.</w:t>
      </w:r>
      <w:r>
        <w:rPr>
          <w:sz w:val="17"/>
          <w:szCs w:val="17"/>
        </w:rPr>
        <w:t xml:space="preserve"> </w:t>
      </w:r>
      <w:hyperlink w:history="1" r:id="rId8ja66_rqarqb6lqizeo38">
        <w:r>
          <w:rPr>
            <w:color w:val="1D4ED8"/>
            <w:sz w:val="17"/>
            <w:szCs w:val="17"/>
            <w:u w:val="single"/>
          </w:rPr>
          <w:t xml:space="preserve">https://proceedings.mlr.press/v151/saad22a.html</w:t>
        </w:r>
      </w:hyperlink>
    </w:p>
    <w:p>
      <w:pPr>
        <w:tabs>
          <w:tab w:val="left" w:pos="567"/>
        </w:tabs>
        <w:spacing w:after="50"/>
        <w:ind w:left="567" w:hanging="567"/>
        <w:jc w:val="left"/>
      </w:pPr>
      <w:r>
        <w:rPr>
          <w:b/>
          <w:bCs/>
          <w:color w:val="1E3A8A"/>
          <w:sz w:val="17"/>
          <w:szCs w:val="17"/>
        </w:rPr>
        <w:t xml:space="preserve">[V3]	</w:t>
      </w:r>
      <w:r>
        <w:rPr>
          <w:sz w:val="17"/>
          <w:szCs w:val="17"/>
        </w:rPr>
        <w:t xml:space="preserve">Zhao, E., Liu, A., Anandkumar, A. &amp; Yue, Y. (2021). Active learning under label shift. </w:t>
      </w:r>
      <w:r>
        <w:rPr>
          <w:i/>
          <w:iCs/>
          <w:sz w:val="17"/>
          <w:szCs w:val="17"/>
        </w:rPr>
        <w:t xml:space="preserve">Proceedings of the 24th International Conference on Artificial Intelligence and Statistics</w:t>
      </w:r>
      <w:r>
        <w:rPr>
          <w:sz w:val="17"/>
          <w:szCs w:val="17"/>
        </w:rPr>
        <w:t xml:space="preserve">, PMLR 130, 3412–3420.</w:t>
      </w:r>
      <w:r>
        <w:rPr>
          <w:sz w:val="17"/>
          <w:szCs w:val="17"/>
        </w:rPr>
        <w:t xml:space="preserve"> </w:t>
      </w:r>
      <w:hyperlink w:history="1" r:id="rIdp-v2prz_8holhrmvyjpkq">
        <w:r>
          <w:rPr>
            <w:color w:val="1D4ED8"/>
            <w:sz w:val="17"/>
            <w:szCs w:val="17"/>
            <w:u w:val="single"/>
          </w:rPr>
          <w:t xml:space="preserve">https://proceedings.mlr.press/v130/zhao21b.html</w:t>
        </w:r>
      </w:hyperlink>
    </w:p>
    <w:p>
      <w:pPr>
        <w:tabs>
          <w:tab w:val="left" w:pos="567"/>
        </w:tabs>
        <w:spacing w:after="50"/>
        <w:ind w:left="567" w:hanging="567"/>
        <w:jc w:val="left"/>
      </w:pPr>
      <w:r>
        <w:rPr>
          <w:b/>
          <w:bCs/>
          <w:color w:val="1E3A8A"/>
          <w:sz w:val="17"/>
          <w:szCs w:val="17"/>
        </w:rPr>
        <w:t xml:space="preserve">[V4]	</w:t>
      </w:r>
      <w:r>
        <w:rPr>
          <w:sz w:val="17"/>
          <w:szCs w:val="17"/>
        </w:rPr>
        <w:t xml:space="preserve">Jesson, A., Mindermann, S., Shalit, U. &amp; Gal, Y. (2020). Identifying causal-effect inference failure with uncertainty-aware models. </w:t>
      </w:r>
      <w:r>
        <w:rPr>
          <w:i/>
          <w:iCs/>
          <w:sz w:val="17"/>
          <w:szCs w:val="17"/>
        </w:rPr>
        <w:t xml:space="preserve">Advances in Neural Information Processing Systems</w:t>
      </w:r>
      <w:r>
        <w:rPr>
          <w:sz w:val="17"/>
          <w:szCs w:val="17"/>
        </w:rPr>
        <w:t xml:space="preserve">, 33.</w:t>
      </w:r>
      <w:r>
        <w:rPr>
          <w:sz w:val="17"/>
          <w:szCs w:val="17"/>
        </w:rPr>
        <w:t xml:space="preserve"> </w:t>
      </w:r>
      <w:hyperlink w:history="1" r:id="rIdmt1_nmkqrx0slola7obrb">
        <w:r>
          <w:rPr>
            <w:color w:val="1D4ED8"/>
            <w:sz w:val="17"/>
            <w:szCs w:val="17"/>
            <w:u w:val="single"/>
          </w:rPr>
          <w:t xml:space="preserve">https://proceedings.nips.cc/paper_files/paper/2020/file/860b37e28ec7ba614f00f9246949561d-Paper.pdf</w:t>
        </w:r>
      </w:hyperlink>
    </w:p>
    <w:p>
      <w:pPr>
        <w:tabs>
          <w:tab w:val="left" w:pos="567"/>
        </w:tabs>
        <w:spacing w:after="50"/>
        <w:ind w:left="567" w:hanging="567"/>
        <w:jc w:val="left"/>
      </w:pPr>
      <w:r>
        <w:rPr>
          <w:b/>
          <w:bCs/>
          <w:color w:val="1E3A8A"/>
          <w:sz w:val="17"/>
          <w:szCs w:val="17"/>
        </w:rPr>
        <w:t xml:space="preserve">[V5]	</w:t>
      </w:r>
      <w:r>
        <w:rPr>
          <w:sz w:val="17"/>
          <w:szCs w:val="17"/>
        </w:rPr>
        <w:t xml:space="preserve">Bickford Smith, F., Kossen, J., Trollope, E., van der Wilk, M., Foster, A. &amp; Rainforth, T. (2025). Rethinking aleatoric and epistemic uncertainty. </w:t>
      </w:r>
      <w:r>
        <w:rPr>
          <w:i/>
          <w:iCs/>
          <w:sz w:val="17"/>
          <w:szCs w:val="17"/>
        </w:rPr>
        <w:t xml:space="preserve">Proceedings of the 42nd International Conference on Machine Learning</w:t>
      </w:r>
      <w:r>
        <w:rPr>
          <w:sz w:val="17"/>
          <w:szCs w:val="17"/>
        </w:rPr>
        <w:t xml:space="preserve">, PMLR 267, 4345–4359.</w:t>
      </w:r>
      <w:r>
        <w:rPr>
          <w:sz w:val="17"/>
          <w:szCs w:val="17"/>
        </w:rPr>
        <w:t xml:space="preserve"> </w:t>
      </w:r>
      <w:hyperlink w:history="1" r:id="rIdhpyivbrned68pq6g7j50a">
        <w:r>
          <w:rPr>
            <w:color w:val="1D4ED8"/>
            <w:sz w:val="17"/>
            <w:szCs w:val="17"/>
            <w:u w:val="single"/>
          </w:rPr>
          <w:t xml:space="preserve">https://proceedings.mlr.press/v267/bickford-smith25a.html</w:t>
        </w:r>
      </w:hyperlink>
    </w:p>
    <w:p>
      <w:pPr>
        <w:tabs>
          <w:tab w:val="left" w:pos="567"/>
        </w:tabs>
        <w:spacing w:after="50"/>
        <w:ind w:left="567" w:hanging="567"/>
        <w:jc w:val="left"/>
      </w:pPr>
      <w:r>
        <w:rPr>
          <w:b/>
          <w:bCs/>
          <w:color w:val="0F766E"/>
          <w:sz w:val="17"/>
          <w:szCs w:val="17"/>
        </w:rPr>
        <w:t xml:space="preserve">[F1]	</w:t>
      </w:r>
      <w:r>
        <w:rPr>
          <w:sz w:val="17"/>
          <w:szCs w:val="17"/>
        </w:rPr>
        <w:t xml:space="preserve">Han, L., Hou, J., Cho, K., Duan, R. &amp; Cai, T. (2025). Federated adaptive causal estimation (FACE) of target treatment effects. </w:t>
      </w:r>
      <w:r>
        <w:rPr>
          <w:i/>
          <w:iCs/>
          <w:sz w:val="17"/>
          <w:szCs w:val="17"/>
        </w:rPr>
        <w:t xml:space="preserve">Journal of the American Statistical Association</w:t>
      </w:r>
      <w:r>
        <w:rPr>
          <w:sz w:val="17"/>
          <w:szCs w:val="17"/>
        </w:rPr>
        <w:t xml:space="preserve">, 120, 1503–1516.</w:t>
      </w:r>
      <w:r>
        <w:rPr>
          <w:sz w:val="17"/>
          <w:szCs w:val="17"/>
        </w:rPr>
        <w:t xml:space="preserve"> </w:t>
      </w:r>
      <w:hyperlink w:history="1" r:id="rId_etm8suodgi-tjwzyc651">
        <w:r>
          <w:rPr>
            <w:color w:val="1D4ED8"/>
            <w:sz w:val="17"/>
            <w:szCs w:val="17"/>
            <w:u w:val="single"/>
          </w:rPr>
          <w:t xml:space="preserve">https://doi.org/10.1080/01621459.2025.2453249</w:t>
        </w:r>
      </w:hyperlink>
    </w:p>
    <w:p>
      <w:pPr>
        <w:tabs>
          <w:tab w:val="left" w:pos="567"/>
        </w:tabs>
        <w:spacing w:after="50"/>
        <w:ind w:left="567" w:hanging="567"/>
        <w:jc w:val="left"/>
      </w:pPr>
      <w:r>
        <w:rPr>
          <w:b/>
          <w:bCs/>
          <w:color w:val="0F766E"/>
          <w:sz w:val="17"/>
          <w:szCs w:val="17"/>
        </w:rPr>
        <w:t xml:space="preserve">[F2]	</w:t>
      </w:r>
      <w:r>
        <w:rPr>
          <w:sz w:val="17"/>
          <w:szCs w:val="17"/>
        </w:rPr>
        <w:t xml:space="preserve">Han, L., Shen, Z. &amp; Zubizarreta, J. R. (2023). Multiply robust federated estimation of targeted average treatment effects. </w:t>
      </w:r>
      <w:r>
        <w:rPr>
          <w:i/>
          <w:iCs/>
          <w:sz w:val="17"/>
          <w:szCs w:val="17"/>
        </w:rPr>
        <w:t xml:space="preserve">Advances in Neural Information Processing Systems</w:t>
      </w:r>
      <w:r>
        <w:rPr>
          <w:sz w:val="17"/>
          <w:szCs w:val="17"/>
        </w:rPr>
        <w:t xml:space="preserve">, 36.</w:t>
      </w:r>
      <w:r>
        <w:rPr>
          <w:sz w:val="17"/>
          <w:szCs w:val="17"/>
        </w:rPr>
        <w:t xml:space="preserve"> </w:t>
      </w:r>
      <w:hyperlink w:history="1" r:id="rId5sy1-3d6plewehorwhh-m">
        <w:r>
          <w:rPr>
            <w:color w:val="1D4ED8"/>
            <w:sz w:val="17"/>
            <w:szCs w:val="17"/>
            <w:u w:val="single"/>
          </w:rPr>
          <w:t xml:space="preserve">https://papers.neurips.cc/paper_files/paper/2023/hash/def4492b32f0248a0e4d92cc46bbdaad-Abstract-Conference.html</w:t>
        </w:r>
      </w:hyperlink>
    </w:p>
    <w:p>
      <w:pPr>
        <w:tabs>
          <w:tab w:val="left" w:pos="567"/>
        </w:tabs>
        <w:spacing w:after="50"/>
        <w:ind w:left="567" w:hanging="567"/>
        <w:jc w:val="left"/>
      </w:pPr>
      <w:r>
        <w:rPr>
          <w:b/>
          <w:bCs/>
          <w:color w:val="0F766E"/>
          <w:sz w:val="17"/>
          <w:szCs w:val="17"/>
        </w:rPr>
        <w:t xml:space="preserve">[F3]	</w:t>
      </w:r>
      <w:r>
        <w:rPr>
          <w:sz w:val="17"/>
          <w:szCs w:val="17"/>
        </w:rPr>
        <w:t xml:space="preserve">Chau, S. L., Ton, J.-F., González, J., Teh, Y. W. &amp; Sejdinovic, D. (2021). BayesIMP: uncertainty quantification for causal data fusion. </w:t>
      </w:r>
      <w:r>
        <w:rPr>
          <w:i/>
          <w:iCs/>
          <w:sz w:val="17"/>
          <w:szCs w:val="17"/>
        </w:rPr>
        <w:t xml:space="preserve">Advances in Neural Information Processing Systems</w:t>
      </w:r>
      <w:r>
        <w:rPr>
          <w:sz w:val="17"/>
          <w:szCs w:val="17"/>
        </w:rPr>
        <w:t xml:space="preserve">, 34.</w:t>
      </w:r>
      <w:r>
        <w:rPr>
          <w:sz w:val="17"/>
          <w:szCs w:val="17"/>
        </w:rPr>
        <w:t xml:space="preserve"> </w:t>
      </w:r>
      <w:hyperlink w:history="1" r:id="rIddn-fjhbicohm4fqmqycia">
        <w:r>
          <w:rPr>
            <w:color w:val="1D4ED8"/>
            <w:sz w:val="17"/>
            <w:szCs w:val="17"/>
            <w:u w:val="single"/>
          </w:rPr>
          <w:t xml:space="preserve">https://papers.nips.cc/paper/2021/hash/1ca5c750a30312d1919ae6a4d636dcc4-Abstract.html</w:t>
        </w:r>
      </w:hyperlink>
    </w:p>
    <w:p>
      <w:pPr>
        <w:tabs>
          <w:tab w:val="left" w:pos="567"/>
        </w:tabs>
        <w:spacing w:after="50"/>
        <w:ind w:left="567" w:hanging="567"/>
        <w:jc w:val="left"/>
      </w:pPr>
      <w:r>
        <w:rPr>
          <w:b/>
          <w:bCs/>
          <w:color w:val="0F766E"/>
          <w:sz w:val="17"/>
          <w:szCs w:val="17"/>
        </w:rPr>
        <w:t xml:space="preserve">[F4]	</w:t>
      </w:r>
      <w:r>
        <w:rPr>
          <w:sz w:val="17"/>
          <w:szCs w:val="17"/>
        </w:rPr>
        <w:t xml:space="preserve">Demirel, I., Alaa, A., Philippakis, A. &amp; Sontag, D. (2024). Prediction-powered generalization of causal inferences. </w:t>
      </w:r>
      <w:r>
        <w:rPr>
          <w:i/>
          <w:iCs/>
          <w:sz w:val="17"/>
          <w:szCs w:val="17"/>
        </w:rPr>
        <w:t xml:space="preserve">Proceedings of the 41st International Conference on Machine Learning</w:t>
      </w:r>
      <w:r>
        <w:rPr>
          <w:sz w:val="17"/>
          <w:szCs w:val="17"/>
        </w:rPr>
        <w:t xml:space="preserve">, PMLR 235, 10385–10408.</w:t>
      </w:r>
      <w:r>
        <w:rPr>
          <w:sz w:val="17"/>
          <w:szCs w:val="17"/>
        </w:rPr>
        <w:t xml:space="preserve"> </w:t>
      </w:r>
      <w:hyperlink w:history="1" r:id="rIdlbns8prjm3pais2l-pvvx">
        <w:r>
          <w:rPr>
            <w:color w:val="1D4ED8"/>
            <w:sz w:val="17"/>
            <w:szCs w:val="17"/>
            <w:u w:val="single"/>
          </w:rPr>
          <w:t xml:space="preserve">https://proceedings.mlr.press/v235/demirel24a.html</w:t>
        </w:r>
      </w:hyperlink>
    </w:p>
    <w:p>
      <w:pPr>
        <w:tabs>
          <w:tab w:val="left" w:pos="567"/>
        </w:tabs>
        <w:spacing w:after="50"/>
        <w:ind w:left="567" w:hanging="567"/>
        <w:jc w:val="left"/>
      </w:pPr>
      <w:r>
        <w:rPr>
          <w:b/>
          <w:bCs/>
          <w:color w:val="0F766E"/>
          <w:sz w:val="17"/>
          <w:szCs w:val="17"/>
        </w:rPr>
        <w:t xml:space="preserve">[F5]	</w:t>
      </w:r>
      <w:r>
        <w:rPr>
          <w:sz w:val="17"/>
          <w:szCs w:val="17"/>
        </w:rPr>
        <w:t xml:space="preserve">Fan, J., Guo, Y. &amp; Wang, K. (2023). Communication-efficient accurate statistical estimation. </w:t>
      </w:r>
      <w:r>
        <w:rPr>
          <w:i/>
          <w:iCs/>
          <w:sz w:val="17"/>
          <w:szCs w:val="17"/>
        </w:rPr>
        <w:t xml:space="preserve">Journal of the American Statistical Association</w:t>
      </w:r>
      <w:r>
        <w:rPr>
          <w:sz w:val="17"/>
          <w:szCs w:val="17"/>
        </w:rPr>
        <w:t xml:space="preserve">, 118(542), 1000–1010.</w:t>
      </w:r>
      <w:r>
        <w:rPr>
          <w:sz w:val="17"/>
          <w:szCs w:val="17"/>
        </w:rPr>
        <w:t xml:space="preserve"> </w:t>
      </w:r>
      <w:hyperlink w:history="1" r:id="rIdetc1fupmm4swzcba-bkye">
        <w:r>
          <w:rPr>
            <w:color w:val="1D4ED8"/>
            <w:sz w:val="17"/>
            <w:szCs w:val="17"/>
            <w:u w:val="single"/>
          </w:rPr>
          <w:t xml:space="preserve">https://doi.org/10.1080/01621459.2021.1969238</w:t>
        </w:r>
      </w:hyperlink>
    </w:p>
    <w:p>
      <w:pPr>
        <w:tabs>
          <w:tab w:val="left" w:pos="567"/>
        </w:tabs>
        <w:spacing w:after="50"/>
        <w:ind w:left="567" w:hanging="567"/>
        <w:jc w:val="left"/>
      </w:pPr>
      <w:r>
        <w:rPr>
          <w:b/>
          <w:bCs/>
          <w:color w:val="9A3412"/>
          <w:sz w:val="17"/>
          <w:szCs w:val="17"/>
        </w:rPr>
        <w:t xml:space="preserve">[P1]	</w:t>
      </w:r>
      <w:r>
        <w:rPr>
          <w:sz w:val="17"/>
          <w:szCs w:val="17"/>
        </w:rPr>
        <w:t xml:space="preserve">Awan, J. &amp; Vadhan, S. (2023). Canonical noise distributions and private hypothesis tests. </w:t>
      </w:r>
      <w:r>
        <w:rPr>
          <w:i/>
          <w:iCs/>
          <w:sz w:val="17"/>
          <w:szCs w:val="17"/>
        </w:rPr>
        <w:t xml:space="preserve">The Annals of Statistics</w:t>
      </w:r>
      <w:r>
        <w:rPr>
          <w:sz w:val="17"/>
          <w:szCs w:val="17"/>
        </w:rPr>
        <w:t xml:space="preserve">, 51(2), 547–572.</w:t>
      </w:r>
      <w:r>
        <w:rPr>
          <w:sz w:val="17"/>
          <w:szCs w:val="17"/>
        </w:rPr>
        <w:t xml:space="preserve"> </w:t>
      </w:r>
      <w:hyperlink w:history="1" r:id="rIddctpvo3ncgmluzxcaika1">
        <w:r>
          <w:rPr>
            <w:color w:val="1D4ED8"/>
            <w:sz w:val="17"/>
            <w:szCs w:val="17"/>
            <w:u w:val="single"/>
          </w:rPr>
          <w:t xml:space="preserve">https://doi.org/10.1214/23-AOS2259</w:t>
        </w:r>
      </w:hyperlink>
    </w:p>
    <w:p>
      <w:pPr>
        <w:tabs>
          <w:tab w:val="left" w:pos="567"/>
        </w:tabs>
        <w:spacing w:after="50"/>
        <w:ind w:left="567" w:hanging="567"/>
        <w:jc w:val="left"/>
      </w:pPr>
      <w:r>
        <w:rPr>
          <w:b/>
          <w:bCs/>
          <w:color w:val="9A3412"/>
          <w:sz w:val="17"/>
          <w:szCs w:val="17"/>
        </w:rPr>
        <w:t xml:space="preserve">[P2]	</w:t>
      </w:r>
      <w:r>
        <w:rPr>
          <w:sz w:val="17"/>
          <w:szCs w:val="17"/>
        </w:rPr>
        <w:t xml:space="preserve">Cadambe, V. R., Jeong, H. &amp; Calmon, F. P. (2023). Differentially private secure multiplication: hiding information in the rubble of noise. </w:t>
      </w:r>
      <w:r>
        <w:rPr>
          <w:i/>
          <w:iCs/>
          <w:sz w:val="17"/>
          <w:szCs w:val="17"/>
        </w:rPr>
        <w:t xml:space="preserve">Proceedings of the 2023 IEEE International Symposium on Information Theory</w:t>
      </w:r>
      <w:r>
        <w:rPr>
          <w:sz w:val="17"/>
          <w:szCs w:val="17"/>
        </w:rPr>
        <w:t xml:space="preserve">, 2207–2212.</w:t>
      </w:r>
      <w:r>
        <w:rPr>
          <w:sz w:val="17"/>
          <w:szCs w:val="17"/>
        </w:rPr>
        <w:t xml:space="preserve"> </w:t>
      </w:r>
      <w:hyperlink w:history="1" r:id="rId3my-buq43n99t-dro9zxm">
        <w:r>
          <w:rPr>
            <w:color w:val="1D4ED8"/>
            <w:sz w:val="17"/>
            <w:szCs w:val="17"/>
            <w:u w:val="single"/>
          </w:rPr>
          <w:t xml:space="preserve">https://pure.psu.edu/en/publications/differentially-private-secure-multiplication-hiding-information-i/</w:t>
        </w:r>
      </w:hyperlink>
    </w:p>
    <w:p>
      <w:pPr>
        <w:tabs>
          <w:tab w:val="left" w:pos="567"/>
        </w:tabs>
        <w:spacing w:after="50"/>
        <w:ind w:left="567" w:hanging="567"/>
        <w:jc w:val="left"/>
      </w:pPr>
      <w:r>
        <w:rPr>
          <w:b/>
          <w:bCs/>
          <w:color w:val="9A3412"/>
          <w:sz w:val="17"/>
          <w:szCs w:val="17"/>
        </w:rPr>
        <w:t xml:space="preserve">[P3]	</w:t>
      </w:r>
      <w:r>
        <w:rPr>
          <w:sz w:val="17"/>
          <w:szCs w:val="17"/>
        </w:rPr>
        <w:t xml:space="preserve">Cho, H., Froelicher, D., Chen, J., Edupalli, M., Pyrgelis, A., Troncoso-Pastoriza, J. R., Hubaux, J.-P. &amp; Berger, B. (2025). Secure and federated genome-wide association studies for biobank-scale datasets. </w:t>
      </w:r>
      <w:r>
        <w:rPr>
          <w:i/>
          <w:iCs/>
          <w:sz w:val="17"/>
          <w:szCs w:val="17"/>
        </w:rPr>
        <w:t xml:space="preserve">Nature Genetics</w:t>
      </w:r>
      <w:r>
        <w:rPr>
          <w:sz w:val="17"/>
          <w:szCs w:val="17"/>
        </w:rPr>
        <w:t xml:space="preserve"> (volume and pages not verified).</w:t>
      </w:r>
      <w:r>
        <w:rPr>
          <w:sz w:val="17"/>
          <w:szCs w:val="17"/>
        </w:rPr>
        <w:t xml:space="preserve"> </w:t>
      </w:r>
      <w:hyperlink w:history="1" r:id="rId9e7mcjajewxinmlp-lo9y">
        <w:r>
          <w:rPr>
            <w:color w:val="1D4ED8"/>
            <w:sz w:val="17"/>
            <w:szCs w:val="17"/>
            <w:u w:val="single"/>
          </w:rPr>
          <w:t xml:space="preserve">https://doi.org/10.1038/s41588-025-02109-1</w:t>
        </w:r>
      </w:hyperlink>
    </w:p>
    <w:p>
      <w:pPr>
        <w:tabs>
          <w:tab w:val="left" w:pos="567"/>
        </w:tabs>
        <w:spacing w:after="50"/>
        <w:ind w:left="567" w:hanging="567"/>
        <w:jc w:val="left"/>
      </w:pPr>
      <w:r>
        <w:rPr>
          <w:b/>
          <w:bCs/>
          <w:color w:val="9A3412"/>
          <w:sz w:val="17"/>
          <w:szCs w:val="17"/>
        </w:rPr>
        <w:t xml:space="preserve">[P4]	</w:t>
      </w:r>
      <w:r>
        <w:rPr>
          <w:sz w:val="17"/>
          <w:szCs w:val="17"/>
        </w:rPr>
        <w:t xml:space="preserve">Wilde, H., Jewson, J., Vollmer, S. &amp; Holmes, C. (2021). Foundations of Bayesian learning from synthetic data. </w:t>
      </w:r>
      <w:r>
        <w:rPr>
          <w:i/>
          <w:iCs/>
          <w:sz w:val="17"/>
          <w:szCs w:val="17"/>
        </w:rPr>
        <w:t xml:space="preserve">Proceedings of the 24th International Conference on Artificial Intelligence and Statistics</w:t>
      </w:r>
      <w:r>
        <w:rPr>
          <w:sz w:val="17"/>
          <w:szCs w:val="17"/>
        </w:rPr>
        <w:t xml:space="preserve">, PMLR 130, 541–549.</w:t>
      </w:r>
      <w:r>
        <w:rPr>
          <w:sz w:val="17"/>
          <w:szCs w:val="17"/>
        </w:rPr>
        <w:t xml:space="preserve"> </w:t>
      </w:r>
      <w:hyperlink w:history="1" r:id="rId2mwlnxqb7u5fkhpblrvrt">
        <w:r>
          <w:rPr>
            <w:color w:val="1D4ED8"/>
            <w:sz w:val="17"/>
            <w:szCs w:val="17"/>
            <w:u w:val="single"/>
          </w:rPr>
          <w:t xml:space="preserve">https://proceedings.mlr.press/v130/wilde21a.html</w:t>
        </w:r>
      </w:hyperlink>
    </w:p>
    <w:p>
      <w:pPr>
        <w:tabs>
          <w:tab w:val="left" w:pos="567"/>
        </w:tabs>
        <w:spacing w:after="50"/>
        <w:ind w:left="567" w:hanging="567"/>
        <w:jc w:val="left"/>
      </w:pPr>
      <w:r>
        <w:rPr>
          <w:b/>
          <w:bCs/>
          <w:color w:val="9A3412"/>
          <w:sz w:val="17"/>
          <w:szCs w:val="17"/>
        </w:rPr>
        <w:t xml:space="preserve">[P5]	</w:t>
      </w:r>
      <w:r>
        <w:rPr>
          <w:sz w:val="17"/>
          <w:szCs w:val="17"/>
        </w:rPr>
        <w:t xml:space="preserve">Ghalebikesabi, S., Wilde, H., Jewson, J., Doucet, A., Vollmer, S. &amp; Holmes, C. (2022). Mitigating statistical bias within differentially private synthetic data. </w:t>
      </w:r>
      <w:r>
        <w:rPr>
          <w:i/>
          <w:iCs/>
          <w:sz w:val="17"/>
          <w:szCs w:val="17"/>
        </w:rPr>
        <w:t xml:space="preserve">Proceedings of the 38th Conference on Uncertainty in Artificial Intelligence</w:t>
      </w:r>
      <w:r>
        <w:rPr>
          <w:sz w:val="17"/>
          <w:szCs w:val="17"/>
        </w:rPr>
        <w:t xml:space="preserve">, PMLR 180, 696–705.</w:t>
      </w:r>
      <w:r>
        <w:rPr>
          <w:sz w:val="17"/>
          <w:szCs w:val="17"/>
        </w:rPr>
        <w:t xml:space="preserve"> </w:t>
      </w:r>
      <w:hyperlink w:history="1" r:id="rIdeqkqli-yf7wxw2u7cyodm">
        <w:r>
          <w:rPr>
            <w:color w:val="1D4ED8"/>
            <w:sz w:val="17"/>
            <w:szCs w:val="17"/>
            <w:u w:val="single"/>
          </w:rPr>
          <w:t xml:space="preserve">https://proceedings.mlr.press/v180/ghalebikesabi22a.html</w:t>
        </w:r>
      </w:hyperlink>
    </w:p>
    <w:p>
      <w:pPr>
        <w:tabs>
          <w:tab w:val="left" w:pos="567"/>
        </w:tabs>
        <w:spacing w:after="50"/>
        <w:ind w:left="567" w:hanging="567"/>
        <w:jc w:val="left"/>
      </w:pPr>
      <w:r>
        <w:rPr>
          <w:b/>
          <w:bCs/>
          <w:color w:val="5B21B6"/>
          <w:sz w:val="17"/>
          <w:szCs w:val="17"/>
        </w:rPr>
        <w:t xml:space="preserve">[D1]	</w:t>
      </w:r>
      <w:r>
        <w:rPr>
          <w:sz w:val="17"/>
          <w:szCs w:val="17"/>
        </w:rPr>
        <w:t xml:space="preserve">Wang, J. T. &amp; Jia, R. (2023). Data Banzhaf: a robust data valuation framework for machine learning. </w:t>
      </w:r>
      <w:r>
        <w:rPr>
          <w:i/>
          <w:iCs/>
          <w:sz w:val="17"/>
          <w:szCs w:val="17"/>
        </w:rPr>
        <w:t xml:space="preserve">Proceedings of the 26th International Conference on Artificial Intelligence and Statistics</w:t>
      </w:r>
      <w:r>
        <w:rPr>
          <w:sz w:val="17"/>
          <w:szCs w:val="17"/>
        </w:rPr>
        <w:t xml:space="preserve">, PMLR 206, 6388–6421.</w:t>
      </w:r>
      <w:r>
        <w:rPr>
          <w:sz w:val="17"/>
          <w:szCs w:val="17"/>
        </w:rPr>
        <w:t xml:space="preserve"> </w:t>
      </w:r>
      <w:hyperlink w:history="1" r:id="rIdyqjiysoutazrx2t5ltutk">
        <w:r>
          <w:rPr>
            <w:color w:val="1D4ED8"/>
            <w:sz w:val="17"/>
            <w:szCs w:val="17"/>
            <w:u w:val="single"/>
          </w:rPr>
          <w:t xml:space="preserve">https://proceedings.mlr.press/v206/wang23e.html</w:t>
        </w:r>
      </w:hyperlink>
    </w:p>
    <w:p>
      <w:pPr>
        <w:tabs>
          <w:tab w:val="left" w:pos="567"/>
        </w:tabs>
        <w:spacing w:after="50"/>
        <w:ind w:left="567" w:hanging="567"/>
        <w:jc w:val="left"/>
      </w:pPr>
      <w:r>
        <w:rPr>
          <w:b/>
          <w:bCs/>
          <w:color w:val="5B21B6"/>
          <w:sz w:val="17"/>
          <w:szCs w:val="17"/>
        </w:rPr>
        <w:t xml:space="preserve">[D2]	</w:t>
      </w:r>
      <w:r>
        <w:rPr>
          <w:sz w:val="17"/>
          <w:szCs w:val="17"/>
        </w:rPr>
        <w:t xml:space="preserve">Wang, J. T., Zhu, Y., Wang, Y.-X., Jia, R. &amp; Mittal, P. (2023). Threshold KNN-Shapley: a linear-time and privacy-friendly approach to data valuation. </w:t>
      </w:r>
      <w:r>
        <w:rPr>
          <w:i/>
          <w:iCs/>
          <w:sz w:val="17"/>
          <w:szCs w:val="17"/>
        </w:rPr>
        <w:t xml:space="preserve">Advances in Neural Information Processing Systems</w:t>
      </w:r>
      <w:r>
        <w:rPr>
          <w:sz w:val="17"/>
          <w:szCs w:val="17"/>
        </w:rPr>
        <w:t xml:space="preserve">, 36 (pages not verified).</w:t>
      </w:r>
      <w:r>
        <w:rPr>
          <w:sz w:val="17"/>
          <w:szCs w:val="17"/>
        </w:rPr>
        <w:t xml:space="preserve"> </w:t>
      </w:r>
      <w:hyperlink w:history="1" r:id="rId2xco_qlz0j5m6jde0hpiy">
        <w:r>
          <w:rPr>
            <w:color w:val="1D4ED8"/>
            <w:sz w:val="17"/>
            <w:szCs w:val="17"/>
            <w:u w:val="single"/>
          </w:rPr>
          <w:t xml:space="preserve">https://collaborate.princeton.edu/en/publications/threshold-knn-shapley-a-linear-time-and-privacy-friendly-approach-2/</w:t>
        </w:r>
      </w:hyperlink>
    </w:p>
    <w:p>
      <w:pPr>
        <w:tabs>
          <w:tab w:val="left" w:pos="567"/>
        </w:tabs>
        <w:spacing w:after="50"/>
        <w:ind w:left="567" w:hanging="567"/>
        <w:jc w:val="left"/>
      </w:pPr>
      <w:r>
        <w:rPr>
          <w:b/>
          <w:bCs/>
          <w:color w:val="5B21B6"/>
          <w:sz w:val="17"/>
          <w:szCs w:val="17"/>
        </w:rPr>
        <w:t xml:space="preserve">[D3]	</w:t>
      </w:r>
      <w:r>
        <w:rPr>
          <w:sz w:val="17"/>
          <w:szCs w:val="17"/>
        </w:rPr>
        <w:t xml:space="preserve">Lu, C., Huang, B., Karimireddy, S. P., Vepakomma, P., Jordan, M. I. &amp; Raskar, R. (2024). Data acquisition via experimental design for data markets. </w:t>
      </w:r>
      <w:r>
        <w:rPr>
          <w:i/>
          <w:iCs/>
          <w:sz w:val="17"/>
          <w:szCs w:val="17"/>
        </w:rPr>
        <w:t xml:space="preserve">Advances in Neural Information Processing Systems</w:t>
      </w:r>
      <w:r>
        <w:rPr>
          <w:sz w:val="17"/>
          <w:szCs w:val="17"/>
        </w:rPr>
        <w:t xml:space="preserve">, 37 (pages and DOI not verified).</w:t>
      </w:r>
      <w:r>
        <w:rPr>
          <w:sz w:val="17"/>
          <w:szCs w:val="17"/>
        </w:rPr>
        <w:t xml:space="preserve"> </w:t>
      </w:r>
      <w:hyperlink w:history="1" r:id="rIdi_heujr3yxqmj-ytzdc6s">
        <w:r>
          <w:rPr>
            <w:color w:val="1D4ED8"/>
            <w:sz w:val="17"/>
            <w:szCs w:val="17"/>
            <w:u w:val="single"/>
          </w:rPr>
          <w:t xml:space="preserve">https://proceedings.neurips.cc/paper_files/paper/2024/hash/d5e8326bbec25e1c608787d24488521b-Abstract.html</w:t>
        </w:r>
      </w:hyperlink>
    </w:p>
    <w:p>
      <w:pPr>
        <w:tabs>
          <w:tab w:val="left" w:pos="567"/>
        </w:tabs>
        <w:spacing w:after="50"/>
        <w:ind w:left="567" w:hanging="567"/>
        <w:jc w:val="left"/>
      </w:pPr>
      <w:r>
        <w:rPr>
          <w:b/>
          <w:bCs/>
          <w:color w:val="5B21B6"/>
          <w:sz w:val="17"/>
          <w:szCs w:val="17"/>
        </w:rPr>
        <w:t xml:space="preserve">[D4]	</w:t>
      </w:r>
      <w:r>
        <w:rPr>
          <w:sz w:val="17"/>
          <w:szCs w:val="17"/>
        </w:rPr>
        <w:t xml:space="preserve">Echenique, F. &amp; Prasad, S. (2020). Incentive compatible active learning. </w:t>
      </w:r>
      <w:r>
        <w:rPr>
          <w:i/>
          <w:iCs/>
          <w:sz w:val="17"/>
          <w:szCs w:val="17"/>
        </w:rPr>
        <w:t xml:space="preserve">11th Innovations in Theoretical Computer Science Conference (ITCS 2020)</w:t>
      </w:r>
      <w:r>
        <w:rPr>
          <w:sz w:val="17"/>
          <w:szCs w:val="17"/>
        </w:rPr>
        <w:t xml:space="preserve">, LIPIcs 151, 67:1–67:20.</w:t>
      </w:r>
      <w:r>
        <w:rPr>
          <w:sz w:val="17"/>
          <w:szCs w:val="17"/>
        </w:rPr>
        <w:t xml:space="preserve"> </w:t>
      </w:r>
      <w:hyperlink w:history="1" r:id="rIdc_96bahp2nq9xoop-1qg9">
        <w:r>
          <w:rPr>
            <w:color w:val="1D4ED8"/>
            <w:sz w:val="17"/>
            <w:szCs w:val="17"/>
            <w:u w:val="single"/>
          </w:rPr>
          <w:t xml:space="preserve">https://doi.org/10.4230/LIPIcs.ITCS.2020.67</w:t>
        </w:r>
      </w:hyperlink>
    </w:p>
    <w:p>
      <w:pPr>
        <w:tabs>
          <w:tab w:val="left" w:pos="567"/>
        </w:tabs>
        <w:spacing w:after="50"/>
        <w:ind w:left="567" w:hanging="567"/>
        <w:jc w:val="left"/>
      </w:pPr>
      <w:r>
        <w:rPr>
          <w:b/>
          <w:bCs/>
          <w:color w:val="5B21B6"/>
          <w:sz w:val="17"/>
          <w:szCs w:val="17"/>
        </w:rPr>
        <w:t xml:space="preserve">[D5]	</w:t>
      </w:r>
      <w:r>
        <w:rPr>
          <w:sz w:val="17"/>
          <w:szCs w:val="17"/>
        </w:rPr>
        <w:t xml:space="preserve">Chen, Y., Shen, Y. &amp; Zheng, S. (2020). Truthful data acquisition via peer prediction. </w:t>
      </w:r>
      <w:r>
        <w:rPr>
          <w:i/>
          <w:iCs/>
          <w:sz w:val="17"/>
          <w:szCs w:val="17"/>
        </w:rPr>
        <w:t xml:space="preserve">Advances in Neural Information Processing Systems</w:t>
      </w:r>
      <w:r>
        <w:rPr>
          <w:sz w:val="17"/>
          <w:szCs w:val="17"/>
        </w:rPr>
        <w:t xml:space="preserve">, 33 (pages not verified).</w:t>
      </w:r>
      <w:r>
        <w:rPr>
          <w:sz w:val="17"/>
          <w:szCs w:val="17"/>
        </w:rPr>
        <w:t xml:space="preserve"> </w:t>
      </w:r>
      <w:hyperlink w:history="1" r:id="rId9j1pza_oengjkhpbqnihw">
        <w:r>
          <w:rPr>
            <w:color w:val="1D4ED8"/>
            <w:sz w:val="17"/>
            <w:szCs w:val="17"/>
            <w:u w:val="single"/>
          </w:rPr>
          <w:t xml:space="preserve">https://papers.nips.cc/paper/2020/hash/d35b05a832e2bb91f110d54e34e2da79-Abstract.html</w:t>
        </w:r>
      </w:hyperlink>
    </w:p>
    <w:p>
      <w:pPr>
        <w:pStyle w:val="Heading3"/>
      </w:pPr>
      <w:r>
        <w:rPr>
          <w:color w:val="1F3864"/>
        </w:rPr>
        <w:t xml:space="preserve">Further reading cited in the text (reserve papers)</w:t>
      </w:r>
    </w:p>
    <w:p>
      <w:pPr>
        <w:tabs>
          <w:tab w:val="left" w:pos="567"/>
        </w:tabs>
        <w:spacing w:after="50"/>
        <w:ind w:left="567" w:hanging="567"/>
        <w:jc w:val="left"/>
      </w:pPr>
      <w:r>
        <w:rPr>
          <w:b/>
          <w:bCs/>
          <w:color w:val="1E3A8A"/>
          <w:sz w:val="17"/>
          <w:szCs w:val="17"/>
        </w:rPr>
        <w:t xml:space="preserve">[VR1]	</w:t>
      </w:r>
      <w:r>
        <w:rPr>
          <w:sz w:val="17"/>
          <w:szCs w:val="17"/>
        </w:rPr>
        <w:t xml:space="preserve">Fudenberg, D., Lanzani, G. &amp; Strack, P. (2021). Limit points of endogenous misspecified learning. </w:t>
      </w:r>
      <w:r>
        <w:rPr>
          <w:i/>
          <w:iCs/>
          <w:sz w:val="17"/>
          <w:szCs w:val="17"/>
        </w:rPr>
        <w:t xml:space="preserve">Econometrica</w:t>
      </w:r>
      <w:r>
        <w:rPr>
          <w:sz w:val="17"/>
          <w:szCs w:val="17"/>
        </w:rPr>
        <w:t xml:space="preserve">, 89(3), 1065–1098. </w:t>
      </w:r>
      <w:r>
        <w:rPr>
          <w:i/>
          <w:iCs/>
          <w:sz w:val="17"/>
          <w:szCs w:val="17"/>
        </w:rPr>
        <w:t xml:space="preserve">Why it is useful:</w:t>
      </w:r>
      <w:r>
        <w:rPr>
          <w:sz w:val="17"/>
          <w:szCs w:val="17"/>
        </w:rPr>
        <w:t xml:space="preserve"> MIT (Fudenberg, Lanzani) and Yale; which beliefs an agent with a misspecified model can end up with when its own actions generate its data, a warning for merges chosen by one model (section 1.3).</w:t>
      </w:r>
      <w:r>
        <w:rPr>
          <w:sz w:val="17"/>
          <w:szCs w:val="17"/>
        </w:rPr>
        <w:t xml:space="preserve"> </w:t>
      </w:r>
      <w:hyperlink w:history="1" r:id="rIdsg44tecpysvqmg1lhsmaf">
        <w:r>
          <w:rPr>
            <w:color w:val="1D4ED8"/>
            <w:sz w:val="17"/>
            <w:szCs w:val="17"/>
            <w:u w:val="single"/>
          </w:rPr>
          <w:t xml:space="preserve">https://doi.org/10.3982/ECTA18508</w:t>
        </w:r>
      </w:hyperlink>
    </w:p>
    <w:p>
      <w:pPr>
        <w:tabs>
          <w:tab w:val="left" w:pos="567"/>
        </w:tabs>
        <w:spacing w:after="50"/>
        <w:ind w:left="567" w:hanging="567"/>
        <w:jc w:val="left"/>
      </w:pPr>
      <w:r>
        <w:rPr>
          <w:b/>
          <w:bCs/>
          <w:color w:val="1E3A8A"/>
          <w:sz w:val="17"/>
          <w:szCs w:val="17"/>
        </w:rPr>
        <w:t xml:space="preserve">[VR2]	</w:t>
      </w:r>
      <w:r>
        <w:rPr>
          <w:sz w:val="17"/>
          <w:szCs w:val="17"/>
        </w:rPr>
        <w:t xml:space="preserve">Alieva, A., Aceves, A., Song, J., Mayo, S., Yue, Y. &amp; Chen, Y. (2021). Learning to make decisions via submodular regularization. </w:t>
      </w:r>
      <w:r>
        <w:rPr>
          <w:i/>
          <w:iCs/>
          <w:sz w:val="17"/>
          <w:szCs w:val="17"/>
        </w:rPr>
        <w:t xml:space="preserve">International Conference on Learning Representations (ICLR 2021)</w:t>
      </w:r>
      <w:r>
        <w:rPr>
          <w:sz w:val="17"/>
          <w:szCs w:val="17"/>
        </w:rPr>
        <w:t xml:space="preserve">. </w:t>
      </w:r>
      <w:r>
        <w:rPr>
          <w:i/>
          <w:iCs/>
          <w:sz w:val="17"/>
          <w:szCs w:val="17"/>
        </w:rPr>
        <w:t xml:space="preserve">Why it is useful:</w:t>
      </w:r>
      <w:r>
        <w:rPr>
          <w:sz w:val="17"/>
          <w:szCs w:val="17"/>
        </w:rPr>
        <w:t xml:space="preserve"> Caltech (Aceves, Song, Mayo, Yue), Stanford and Chicago; a learned greedy acquisition rule trained to stay approximately submodular, so it keeps an approximation guarantee when choosing which data to acquire one batch after another (sections 1.1, 8.5).</w:t>
      </w:r>
      <w:r>
        <w:rPr>
          <w:sz w:val="17"/>
          <w:szCs w:val="17"/>
        </w:rPr>
        <w:t xml:space="preserve"> </w:t>
      </w:r>
      <w:hyperlink w:history="1" r:id="rId_ypgiq4zntp2cjh6uem2f">
        <w:r>
          <w:rPr>
            <w:color w:val="1D4ED8"/>
            <w:sz w:val="17"/>
            <w:szCs w:val="17"/>
            <w:u w:val="single"/>
          </w:rPr>
          <w:t xml:space="preserve">https://openreview.net/pdf?id=ac288vnG_7U</w:t>
        </w:r>
      </w:hyperlink>
    </w:p>
    <w:p>
      <w:pPr>
        <w:tabs>
          <w:tab w:val="left" w:pos="567"/>
        </w:tabs>
        <w:spacing w:after="50"/>
        <w:ind w:left="567" w:hanging="567"/>
        <w:jc w:val="left"/>
      </w:pPr>
      <w:r>
        <w:rPr>
          <w:b/>
          <w:bCs/>
          <w:color w:val="0F766E"/>
          <w:sz w:val="17"/>
          <w:szCs w:val="17"/>
        </w:rPr>
        <w:t xml:space="preserve">[FR1]	</w:t>
      </w:r>
      <w:r>
        <w:rPr>
          <w:sz w:val="17"/>
          <w:szCs w:val="17"/>
        </w:rPr>
        <w:t xml:space="preserve">Han, L., Li, Y., Niknam, B. &amp; Zubizarreta, J. R. (2024). Privacy-preserving, communication-efficient, and target-flexible hospital quality measurement. </w:t>
      </w:r>
      <w:r>
        <w:rPr>
          <w:i/>
          <w:iCs/>
          <w:sz w:val="17"/>
          <w:szCs w:val="17"/>
        </w:rPr>
        <w:t xml:space="preserve">Annals of Applied Statistics</w:t>
      </w:r>
      <w:r>
        <w:rPr>
          <w:sz w:val="17"/>
          <w:szCs w:val="17"/>
        </w:rPr>
        <w:t xml:space="preserve">, 18(2), 1337–1359. </w:t>
      </w:r>
      <w:r>
        <w:rPr>
          <w:i/>
          <w:iCs/>
          <w:sz w:val="17"/>
          <w:szCs w:val="17"/>
        </w:rPr>
        <w:t xml:space="preserve">Why it is useful:</w:t>
      </w:r>
      <w:r>
        <w:rPr>
          <w:sz w:val="17"/>
          <w:szCs w:val="17"/>
        </w:rPr>
        <w:t xml:space="preserve"> Harvard; privacy-preserving, communication-efficient, target-flexible federated estimation of hospital quality, the template of a doubly robust one-round merge (sections 1.2, 1.4).</w:t>
      </w:r>
      <w:r>
        <w:rPr>
          <w:sz w:val="17"/>
          <w:szCs w:val="17"/>
        </w:rPr>
        <w:t xml:space="preserve"> </w:t>
      </w:r>
      <w:hyperlink w:history="1" r:id="rIdcu5eddslalokguhk2yz_v">
        <w:r>
          <w:rPr>
            <w:color w:val="1D4ED8"/>
            <w:sz w:val="17"/>
            <w:szCs w:val="17"/>
            <w:u w:val="single"/>
          </w:rPr>
          <w:t xml:space="preserve">https://doi.org/10.1214/23-AOAS1837</w:t>
        </w:r>
      </w:hyperlink>
    </w:p>
    <w:p>
      <w:pPr>
        <w:tabs>
          <w:tab w:val="left" w:pos="567"/>
        </w:tabs>
        <w:spacing w:after="50"/>
        <w:ind w:left="567" w:hanging="567"/>
        <w:jc w:val="left"/>
      </w:pPr>
      <w:r>
        <w:rPr>
          <w:b/>
          <w:bCs/>
          <w:color w:val="0F766E"/>
          <w:sz w:val="17"/>
          <w:szCs w:val="17"/>
        </w:rPr>
        <w:t xml:space="preserve">[FR2]	</w:t>
      </w:r>
      <w:r>
        <w:rPr>
          <w:sz w:val="17"/>
          <w:szCs w:val="17"/>
        </w:rPr>
        <w:t xml:space="preserve">Hussain, Z., Shih, M.-C., Oberst, M., Demirel, I. &amp; Sontag, D. (2023). Falsification of internal and external validity in observational studies via conditional moment restrictions. </w:t>
      </w:r>
      <w:r>
        <w:rPr>
          <w:i/>
          <w:iCs/>
          <w:sz w:val="17"/>
          <w:szCs w:val="17"/>
        </w:rPr>
        <w:t xml:space="preserve">Proceedings of the 26th International Conference on Artificial Intelligence and Statistics</w:t>
      </w:r>
      <w:r>
        <w:rPr>
          <w:sz w:val="17"/>
          <w:szCs w:val="17"/>
        </w:rPr>
        <w:t xml:space="preserve">, PMLR 206, 5869–5898. </w:t>
      </w:r>
      <w:r>
        <w:rPr>
          <w:i/>
          <w:iCs/>
          <w:sz w:val="17"/>
          <w:szCs w:val="17"/>
        </w:rPr>
        <w:t xml:space="preserve">Why it is useful:</w:t>
      </w:r>
      <w:r>
        <w:rPr>
          <w:sz w:val="17"/>
          <w:szCs w:val="17"/>
        </w:rPr>
        <w:t xml:space="preserve"> MIT; testable conditional moment restrictions that falsify the internal or external validity of combining trials and observational studies, a check before merging (section 1.2).</w:t>
      </w:r>
      <w:r>
        <w:rPr>
          <w:sz w:val="17"/>
          <w:szCs w:val="17"/>
        </w:rPr>
        <w:t xml:space="preserve"> </w:t>
      </w:r>
      <w:hyperlink w:history="1" r:id="rIdyxhm8qp7iexfhyqbv7nan">
        <w:r>
          <w:rPr>
            <w:color w:val="1D4ED8"/>
            <w:sz w:val="17"/>
            <w:szCs w:val="17"/>
            <w:u w:val="single"/>
          </w:rPr>
          <w:t xml:space="preserve">https://proceedings.mlr.press/v206/hussain23a.html</w:t>
        </w:r>
      </w:hyperlink>
    </w:p>
    <w:p>
      <w:pPr>
        <w:tabs>
          <w:tab w:val="left" w:pos="567"/>
        </w:tabs>
        <w:spacing w:after="50"/>
        <w:ind w:left="567" w:hanging="567"/>
        <w:jc w:val="left"/>
      </w:pPr>
      <w:r>
        <w:rPr>
          <w:b/>
          <w:bCs/>
          <w:color w:val="5B21B6"/>
          <w:sz w:val="17"/>
          <w:szCs w:val="17"/>
        </w:rPr>
        <w:t xml:space="preserve">[DR1]	</w:t>
      </w:r>
      <w:r>
        <w:rPr>
          <w:sz w:val="17"/>
          <w:szCs w:val="17"/>
        </w:rPr>
        <w:t xml:space="preserve">Hossain, S. &amp; Chen, Y. (2024). Equilibrium of data markets with externality. </w:t>
      </w:r>
      <w:r>
        <w:rPr>
          <w:i/>
          <w:iCs/>
          <w:sz w:val="17"/>
          <w:szCs w:val="17"/>
        </w:rPr>
        <w:t xml:space="preserve">Proceedings of the 41st International Conference on Machine Learning</w:t>
      </w:r>
      <w:r>
        <w:rPr>
          <w:sz w:val="17"/>
          <w:szCs w:val="17"/>
        </w:rPr>
        <w:t xml:space="preserve">, PMLR 235, 18905–18925. </w:t>
      </w:r>
      <w:r>
        <w:rPr>
          <w:i/>
          <w:iCs/>
          <w:sz w:val="17"/>
          <w:szCs w:val="17"/>
        </w:rPr>
        <w:t xml:space="preserve">Why it is useful:</w:t>
      </w:r>
      <w:r>
        <w:rPr>
          <w:sz w:val="17"/>
          <w:szCs w:val="17"/>
        </w:rPr>
        <w:t xml:space="preserve"> Harvard; equilibria of data markets when buyers compete, and transaction costs that restore good equilibria (section 1.6).</w:t>
      </w:r>
      <w:r>
        <w:rPr>
          <w:sz w:val="17"/>
          <w:szCs w:val="17"/>
        </w:rPr>
        <w:t xml:space="preserve"> </w:t>
      </w:r>
      <w:hyperlink w:history="1" r:id="rIdvqh9kulhfgqq3mkqu1zao">
        <w:r>
          <w:rPr>
            <w:color w:val="1D4ED8"/>
            <w:sz w:val="17"/>
            <w:szCs w:val="17"/>
            <w:u w:val="single"/>
          </w:rPr>
          <w:t xml:space="preserve">https://proceedings.mlr.press/v235/hossain24a.html</w:t>
        </w:r>
      </w:hyperlink>
    </w:p>
    <w:p>
      <w:pPr>
        <w:tabs>
          <w:tab w:val="left" w:pos="567"/>
        </w:tabs>
        <w:spacing w:after="50"/>
        <w:ind w:left="567" w:hanging="567"/>
        <w:jc w:val="left"/>
      </w:pPr>
      <w:r>
        <w:rPr>
          <w:b/>
          <w:bCs/>
          <w:color w:val="5B21B6"/>
          <w:sz w:val="17"/>
          <w:szCs w:val="17"/>
        </w:rPr>
        <w:t xml:space="preserve">[DR2]	</w:t>
      </w:r>
      <w:r>
        <w:rPr>
          <w:sz w:val="17"/>
          <w:szCs w:val="17"/>
        </w:rPr>
        <w:t xml:space="preserve">Wang, J. T., Mittal, P., Song, D. &amp; Jia, R. (2025). Data Shapley in one training run. </w:t>
      </w:r>
      <w:r>
        <w:rPr>
          <w:i/>
          <w:iCs/>
          <w:sz w:val="17"/>
          <w:szCs w:val="17"/>
        </w:rPr>
        <w:t xml:space="preserve">International Conference on Learning Representations (ICLR 2025)</w:t>
      </w:r>
      <w:r>
        <w:rPr>
          <w:sz w:val="17"/>
          <w:szCs w:val="17"/>
        </w:rPr>
        <w:t xml:space="preserve">. </w:t>
      </w:r>
      <w:r>
        <w:rPr>
          <w:i/>
          <w:iCs/>
          <w:sz w:val="17"/>
          <w:szCs w:val="17"/>
        </w:rPr>
        <w:t xml:space="preserve">Why it is useful:</w:t>
      </w:r>
      <w:r>
        <w:rPr>
          <w:sz w:val="17"/>
          <w:szCs w:val="17"/>
        </w:rPr>
        <w:t xml:space="preserve"> Princeton, Berkeley and Virginia Tech; data Shapley values computed during a single training run, valuation at the scale of large models (section 1.6).</w:t>
      </w:r>
      <w:r>
        <w:rPr>
          <w:sz w:val="17"/>
          <w:szCs w:val="17"/>
        </w:rPr>
        <w:t xml:space="preserve"> </w:t>
      </w:r>
      <w:hyperlink w:history="1" r:id="rIdeivxgta38u58qxqphwjmz">
        <w:r>
          <w:rPr>
            <w:color w:val="1D4ED8"/>
            <w:sz w:val="17"/>
            <w:szCs w:val="17"/>
            <w:u w:val="single"/>
          </w:rPr>
          <w:t xml:space="preserve">https://iclr.cc/virtual/2025/oral/31879</w:t>
        </w:r>
      </w:hyperlink>
    </w:p>
    <w:p>
      <w:pPr>
        <w:tabs>
          <w:tab w:val="left" w:pos="567"/>
        </w:tabs>
        <w:spacing w:after="50"/>
        <w:ind w:left="567" w:hanging="567"/>
        <w:jc w:val="left"/>
      </w:pPr>
      <w:r>
        <w:rPr>
          <w:b/>
          <w:bCs/>
          <w:color w:val="5B21B6"/>
          <w:sz w:val="17"/>
          <w:szCs w:val="17"/>
        </w:rPr>
        <w:t xml:space="preserve">[DR3]	</w:t>
      </w:r>
      <w:r>
        <w:rPr>
          <w:sz w:val="17"/>
          <w:szCs w:val="17"/>
        </w:rPr>
        <w:t xml:space="preserve">Acemoglu, D., Makhdoumi, A., Malekian, A. &amp; Ozdaglar, A. (2022). Too much data: prices and inefficiencies in data markets. </w:t>
      </w:r>
      <w:r>
        <w:rPr>
          <w:i/>
          <w:iCs/>
          <w:sz w:val="17"/>
          <w:szCs w:val="17"/>
        </w:rPr>
        <w:t xml:space="preserve">American Economic Journal: Microeconomics</w:t>
      </w:r>
      <w:r>
        <w:rPr>
          <w:sz w:val="17"/>
          <w:szCs w:val="17"/>
        </w:rPr>
        <w:t xml:space="preserve">, 14(4), 218–256. </w:t>
      </w:r>
      <w:r>
        <w:rPr>
          <w:i/>
          <w:iCs/>
          <w:sz w:val="17"/>
          <w:szCs w:val="17"/>
        </w:rPr>
        <w:t xml:space="preserve">Why it is useful:</w:t>
      </w:r>
      <w:r>
        <w:rPr>
          <w:sz w:val="17"/>
          <w:szCs w:val="17"/>
        </w:rPr>
        <w:t xml:space="preserve"> MIT, Duke and Toronto; when one person's data reveal another's, data are under-priced and over-shared, the externality of merging correlated well records (section 1.6).</w:t>
      </w:r>
      <w:r>
        <w:rPr>
          <w:sz w:val="17"/>
          <w:szCs w:val="17"/>
        </w:rPr>
        <w:t xml:space="preserve"> </w:t>
      </w:r>
      <w:hyperlink w:history="1" r:id="rIde3fac_wo-tn6omndvoku2">
        <w:r>
          <w:rPr>
            <w:color w:val="1D4ED8"/>
            <w:sz w:val="17"/>
            <w:szCs w:val="17"/>
            <w:u w:val="single"/>
          </w:rPr>
          <w:t xml:space="preserve">https://doi.org/10.1257/mic.20200200</w:t>
        </w:r>
      </w:hyperlink>
    </w:p>
    <w:p>
      <w:pPr>
        <w:spacing w:after="200"/>
      </w:pPr>
    </w:p>
    <w:p>
      <w:pPr>
        <w:spacing w:after="120"/>
      </w:pPr>
      <w:r>
        <w:rPr>
          <w:i/>
          <w:iCs/>
          <w:color w:val="5B6573"/>
          <w:sz w:val="18"/>
          <w:szCs w:val="18"/>
        </w:rPr>
        <w:t xml:space="preserve">Prepared from searches of 26 October 2026. Card codes: V = value of information for acquiring causal data, F = merging datasets for causal inference, P = privacy, D = data valuation and acquisition; [B…] are references of Part I and section 9, and [VR1]–[DR3] are reserve papers cited as further reading. The code of BASHKIMI-GO is in the repository folder experiments/bashkimi_go; it uses the aquifer model and truth generator of VENDI-GO (review 53, experiments/vendi_go).</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Is merging worth it? Value, privacy and causal data merging · Oxford, Caltech, MIT, Princeton, Harvard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0"/>
        <w:szCs w:val="20"/>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xe2mm4rok2mecxhcfkj72" Type="http://schemas.openxmlformats.org/officeDocument/2006/relationships/hyperlink" Target="https://proceedings.mlr.press/v206/astudillo23a.html" TargetMode="External"/><Relationship Id="rIdsjo3hl_b7eclmvhpohlyk" Type="http://schemas.openxmlformats.org/officeDocument/2006/relationships/hyperlink" Target="https://proceedings.mlr.press/v151/saad22a.html" TargetMode="External"/><Relationship Id="rIds2pn0wgilhvti82mj1rl0" Type="http://schemas.openxmlformats.org/officeDocument/2006/relationships/hyperlink" Target="https://proceedings.mlr.press/v130/zhao21b.html" TargetMode="External"/><Relationship Id="rIdgdjcodnhjamxbwbqlcvww" Type="http://schemas.openxmlformats.org/officeDocument/2006/relationships/hyperlink" Target="https://proceedings.nips.cc/paper_files/paper/2020/file/860b37e28ec7ba614f00f9246949561d-Paper.pdf" TargetMode="External"/><Relationship Id="rId4ziqwijgeptwkzelk-yx0" Type="http://schemas.openxmlformats.org/officeDocument/2006/relationships/hyperlink" Target="https://proceedings.mlr.press/v267/bickford-smith25a.html" TargetMode="External"/><Relationship Id="rIdsbaspofogcomnqvajw3yl" Type="http://schemas.openxmlformats.org/officeDocument/2006/relationships/hyperlink" Target="https://doi.org/10.1080/01621459.2025.2453249" TargetMode="External"/><Relationship Id="rIdtxoa1xj59vwm5gakqg2ir" Type="http://schemas.openxmlformats.org/officeDocument/2006/relationships/hyperlink" Target="https://papers.neurips.cc/paper_files/paper/2023/hash/def4492b32f0248a0e4d92cc46bbdaad-Abstract-Conference.html" TargetMode="External"/><Relationship Id="rIdaetyygjenzsl4b0obsc5j" Type="http://schemas.openxmlformats.org/officeDocument/2006/relationships/hyperlink" Target="https://papers.nips.cc/paper/2021/hash/1ca5c750a30312d1919ae6a4d636dcc4-Abstract.html" TargetMode="External"/><Relationship Id="rIdhayjwh2dqdmkmj4_otftf" Type="http://schemas.openxmlformats.org/officeDocument/2006/relationships/hyperlink" Target="https://proceedings.mlr.press/v235/demirel24a.html" TargetMode="External"/><Relationship Id="rIdqbbmygdractgu7c3owdhh" Type="http://schemas.openxmlformats.org/officeDocument/2006/relationships/hyperlink" Target="https://doi.org/10.1080/01621459.2021.1969238" TargetMode="External"/><Relationship Id="rIdn2gzicypgqmrfd2btu8mk" Type="http://schemas.openxmlformats.org/officeDocument/2006/relationships/hyperlink" Target="https://doi.org/10.1214/23-AOS2259" TargetMode="External"/><Relationship Id="rIdbfhw6zmharltrlh-uf2jz" Type="http://schemas.openxmlformats.org/officeDocument/2006/relationships/hyperlink" Target="https://pure.psu.edu/en/publications/differentially-private-secure-multiplication-hiding-information-i/" TargetMode="External"/><Relationship Id="rIdwz6lnhllyflz_byexie2j" Type="http://schemas.openxmlformats.org/officeDocument/2006/relationships/hyperlink" Target="https://doi.org/10.1038/s41588-025-02109-1" TargetMode="External"/><Relationship Id="rId6xjlcac7mippq1mgwplas" Type="http://schemas.openxmlformats.org/officeDocument/2006/relationships/hyperlink" Target="https://proceedings.mlr.press/v130/wilde21a.html" TargetMode="External"/><Relationship Id="rId4io_md96l0tif9secg8bu" Type="http://schemas.openxmlformats.org/officeDocument/2006/relationships/hyperlink" Target="https://proceedings.mlr.press/v180/ghalebikesabi22a.html" TargetMode="External"/><Relationship Id="rIdsf788rwbfd_l7lbnshz0u" Type="http://schemas.openxmlformats.org/officeDocument/2006/relationships/hyperlink" Target="https://proceedings.mlr.press/v206/wang23e.html" TargetMode="External"/><Relationship Id="rIdnx87owzkhjl-qa1hserbr" Type="http://schemas.openxmlformats.org/officeDocument/2006/relationships/hyperlink" Target="https://collaborate.princeton.edu/en/publications/threshold-knn-shapley-a-linear-time-and-privacy-friendly-approach-2/" TargetMode="External"/><Relationship Id="rId2o2ue7gr562w8bohfrwp_" Type="http://schemas.openxmlformats.org/officeDocument/2006/relationships/hyperlink" Target="https://proceedings.neurips.cc/paper_files/paper/2024/hash/d5e8326bbec25e1c608787d24488521b-Abstract.html" TargetMode="External"/><Relationship Id="rIddzhas0r18w06mzntirbrm" Type="http://schemas.openxmlformats.org/officeDocument/2006/relationships/hyperlink" Target="https://doi.org/10.4230/LIPIcs.ITCS.2020.67" TargetMode="External"/><Relationship Id="rIdp_zve4c_gbukrtlrqhpj2" Type="http://schemas.openxmlformats.org/officeDocument/2006/relationships/hyperlink" Target="https://papers.nips.cc/paper/2020/hash/d35b05a832e2bb91f110d54e34e2da79-Abstract.html" TargetMode="External"/><Relationship Id="rId5_b9ros0ohstxqg8ooxmk" Type="http://schemas.openxmlformats.org/officeDocument/2006/relationships/hyperlink" Target="https://proceedings.mlr.press/v258/fawkes25a.html" TargetMode="External"/><Relationship Id="rIddoqt692i6yadvy7r7x3_m" Type="http://schemas.openxmlformats.org/officeDocument/2006/relationships/hyperlink" Target="https://doi.org/10.1214/aoms/1177728069" TargetMode="External"/><Relationship Id="rIdcdcse0b5zwmrgu5thbtbs" Type="http://schemas.openxmlformats.org/officeDocument/2006/relationships/hyperlink" Target="https://doi.org/10.1214/aoms/1177729032" TargetMode="External"/><Relationship Id="rIdevehjcbvz442nmzhqb1yr" Type="http://schemas.openxmlformats.org/officeDocument/2006/relationships/hyperlink" Target="https://doi.org/10.1007/11681878_14" TargetMode="External"/><Relationship Id="rIdm9vcpiho5hzh2ayruhvmz" Type="http://schemas.openxmlformats.org/officeDocument/2006/relationships/hyperlink" Target="https://doi.org/10.1561/0400000042" TargetMode="External"/><Relationship Id="rIdqzxaznc-rc_axrkzdt5qa" Type="http://schemas.openxmlformats.org/officeDocument/2006/relationships/hyperlink" Target="https://doi.org/10.1093/biomet/70.1.41" TargetMode="External"/><Relationship Id="rIdh12cahq44w7eh-fzlpnmy" Type="http://schemas.openxmlformats.org/officeDocument/2006/relationships/hyperlink" Target="https://doi.org/10.1073/pnas.1510507113" TargetMode="External"/><Relationship Id="rIdbpaxl7j_wvgoht5fttroi" Type="http://schemas.openxmlformats.org/officeDocument/2006/relationships/hyperlink" Target="https://doi.org/10.1016/j.cam.2005.09.027" TargetMode="External"/><Relationship Id="rId_rkgpsk0wyjviptzbxtqi" Type="http://schemas.openxmlformats.org/officeDocument/2006/relationships/hyperlink" Target="https://doi.org/10.1109/TSSC.1966.300074" TargetMode="External"/><Relationship Id="rId3mbqturkblcuolxxmbe9a" Type="http://schemas.openxmlformats.org/officeDocument/2006/relationships/hyperlink" Target="https://doi.org/10.1111/j.1467-9868.2008.00663.x" TargetMode="External"/><Relationship Id="rIdemcpyucefvtcurhrh5vp-" Type="http://schemas.openxmlformats.org/officeDocument/2006/relationships/hyperlink" Target="https://proceedings.mlr.press/v206/astudillo23a.html" TargetMode="External"/><Relationship Id="rId8ja66_rqarqb6lqizeo38" Type="http://schemas.openxmlformats.org/officeDocument/2006/relationships/hyperlink" Target="https://proceedings.mlr.press/v151/saad22a.html" TargetMode="External"/><Relationship Id="rIdp-v2prz_8holhrmvyjpkq" Type="http://schemas.openxmlformats.org/officeDocument/2006/relationships/hyperlink" Target="https://proceedings.mlr.press/v130/zhao21b.html" TargetMode="External"/><Relationship Id="rIdmt1_nmkqrx0slola7obrb" Type="http://schemas.openxmlformats.org/officeDocument/2006/relationships/hyperlink" Target="https://proceedings.nips.cc/paper_files/paper/2020/file/860b37e28ec7ba614f00f9246949561d-Paper.pdf" TargetMode="External"/><Relationship Id="rIdhpyivbrned68pq6g7j50a" Type="http://schemas.openxmlformats.org/officeDocument/2006/relationships/hyperlink" Target="https://proceedings.mlr.press/v267/bickford-smith25a.html" TargetMode="External"/><Relationship Id="rId_etm8suodgi-tjwzyc651" Type="http://schemas.openxmlformats.org/officeDocument/2006/relationships/hyperlink" Target="https://doi.org/10.1080/01621459.2025.2453249" TargetMode="External"/><Relationship Id="rId5sy1-3d6plewehorwhh-m" Type="http://schemas.openxmlformats.org/officeDocument/2006/relationships/hyperlink" Target="https://papers.neurips.cc/paper_files/paper/2023/hash/def4492b32f0248a0e4d92cc46bbdaad-Abstract-Conference.html" TargetMode="External"/><Relationship Id="rIddn-fjhbicohm4fqmqycia" Type="http://schemas.openxmlformats.org/officeDocument/2006/relationships/hyperlink" Target="https://papers.nips.cc/paper/2021/hash/1ca5c750a30312d1919ae6a4d636dcc4-Abstract.html" TargetMode="External"/><Relationship Id="rIdlbns8prjm3pais2l-pvvx" Type="http://schemas.openxmlformats.org/officeDocument/2006/relationships/hyperlink" Target="https://proceedings.mlr.press/v235/demirel24a.html" TargetMode="External"/><Relationship Id="rIdetc1fupmm4swzcba-bkye" Type="http://schemas.openxmlformats.org/officeDocument/2006/relationships/hyperlink" Target="https://doi.org/10.1080/01621459.2021.1969238" TargetMode="External"/><Relationship Id="rIddctpvo3ncgmluzxcaika1" Type="http://schemas.openxmlformats.org/officeDocument/2006/relationships/hyperlink" Target="https://doi.org/10.1214/23-AOS2259" TargetMode="External"/><Relationship Id="rId3my-buq43n99t-dro9zxm" Type="http://schemas.openxmlformats.org/officeDocument/2006/relationships/hyperlink" Target="https://pure.psu.edu/en/publications/differentially-private-secure-multiplication-hiding-information-i/" TargetMode="External"/><Relationship Id="rId9e7mcjajewxinmlp-lo9y" Type="http://schemas.openxmlformats.org/officeDocument/2006/relationships/hyperlink" Target="https://doi.org/10.1038/s41588-025-02109-1" TargetMode="External"/><Relationship Id="rId2mwlnxqb7u5fkhpblrvrt" Type="http://schemas.openxmlformats.org/officeDocument/2006/relationships/hyperlink" Target="https://proceedings.mlr.press/v130/wilde21a.html" TargetMode="External"/><Relationship Id="rIdeqkqli-yf7wxw2u7cyodm" Type="http://schemas.openxmlformats.org/officeDocument/2006/relationships/hyperlink" Target="https://proceedings.mlr.press/v180/ghalebikesabi22a.html" TargetMode="External"/><Relationship Id="rIdyqjiysoutazrx2t5ltutk" Type="http://schemas.openxmlformats.org/officeDocument/2006/relationships/hyperlink" Target="https://proceedings.mlr.press/v206/wang23e.html" TargetMode="External"/><Relationship Id="rId2xco_qlz0j5m6jde0hpiy" Type="http://schemas.openxmlformats.org/officeDocument/2006/relationships/hyperlink" Target="https://collaborate.princeton.edu/en/publications/threshold-knn-shapley-a-linear-time-and-privacy-friendly-approach-2/" TargetMode="External"/><Relationship Id="rIdi_heujr3yxqmj-ytzdc6s" Type="http://schemas.openxmlformats.org/officeDocument/2006/relationships/hyperlink" Target="https://proceedings.neurips.cc/paper_files/paper/2024/hash/d5e8326bbec25e1c608787d24488521b-Abstract.html" TargetMode="External"/><Relationship Id="rIdc_96bahp2nq9xoop-1qg9" Type="http://schemas.openxmlformats.org/officeDocument/2006/relationships/hyperlink" Target="https://doi.org/10.4230/LIPIcs.ITCS.2020.67" TargetMode="External"/><Relationship Id="rId9j1pza_oengjkhpbqnihw" Type="http://schemas.openxmlformats.org/officeDocument/2006/relationships/hyperlink" Target="https://papers.nips.cc/paper/2020/hash/d35b05a832e2bb91f110d54e34e2da79-Abstract.html" TargetMode="External"/><Relationship Id="rIdsg44tecpysvqmg1lhsmaf" Type="http://schemas.openxmlformats.org/officeDocument/2006/relationships/hyperlink" Target="https://doi.org/10.3982/ECTA18508" TargetMode="External"/><Relationship Id="rId_ypgiq4zntp2cjh6uem2f" Type="http://schemas.openxmlformats.org/officeDocument/2006/relationships/hyperlink" Target="https://openreview.net/pdf?id=ac288vnG_7U" TargetMode="External"/><Relationship Id="rIdcu5eddslalokguhk2yz_v" Type="http://schemas.openxmlformats.org/officeDocument/2006/relationships/hyperlink" Target="https://doi.org/10.1214/23-AOAS1837" TargetMode="External"/><Relationship Id="rIdyxhm8qp7iexfhyqbv7nan" Type="http://schemas.openxmlformats.org/officeDocument/2006/relationships/hyperlink" Target="https://proceedings.mlr.press/v206/hussain23a.html" TargetMode="External"/><Relationship Id="rIdvqh9kulhfgqq3mkqu1zao" Type="http://schemas.openxmlformats.org/officeDocument/2006/relationships/hyperlink" Target="https://proceedings.mlr.press/v235/hossain24a.html" TargetMode="External"/><Relationship Id="rIdeivxgta38u58qxqphwjmz" Type="http://schemas.openxmlformats.org/officeDocument/2006/relationships/hyperlink" Target="https://iclr.cc/virtual/2025/oral/31879" TargetMode="External"/><Relationship Id="rIde3fac_wo-tn6omndvoku2" Type="http://schemas.openxmlformats.org/officeDocument/2006/relationships/hyperlink" Target="https://doi.org/10.1257/mic.20200200" TargetMode="External"/><Relationship Id="rId11" Type="http://schemas.openxmlformats.org/officeDocument/2006/relationships/image" Target="media/ab5f67cde90b1e5ad64fae47c111858137afb993.png"/><Relationship Id="rId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merging worth it? Valuing, privately, the well records of other institutions for the effect of pumping on chloride: new work from Oxford, Caltech, MIT, Princeton and Harvard</dc:title>
  <dc:subject>Literature review: value of merging datasets for causal inference, privacy and data valuation, 2020–2026</dc:subject>
  <dc:creator>D. Zeqiraj</dc:creator>
  <dc:description>Twenty papers of 2020–2026 around the Oxford paper "Is merging worth it?" (Fawkes, Ter-Minassian, Ivanova, Shalit &amp; Holmes, AISTATS 2025): the value of information for acquiring causal data (5), merging datasets for causal inference (5), privacy for statistical and causal inference (5) and data valuation and acquisition (5), each with a key equation, why it is among the best and the question it leaves open; a theoretical introduction; and a numerically tested innovation, BASHKIMI-GO (bashkimi: the merger), which tells the Fushë-Kuqe water utility, before any record is shared, which institution's well records to merge first and whether the merge is worth its cost, computed on secret shares and with differential privacy</dc:description>
  <cp:lastModifiedBy>D. Zeqiraj</cp:lastModifiedBy>
  <cp:revision>1</cp:revision>
  <dcterms:created xsi:type="dcterms:W3CDTF">2026-10-26T13:26:11.584Z</dcterms:created>
  <dcterms:modified xsi:type="dcterms:W3CDTF">2026-10-26T13:26:11.584Z</dcterms:modified>
</cp:coreProperties>
</file>

<file path=docProps/custom.xml><?xml version="1.0" encoding="utf-8"?>
<Properties xmlns="http://schemas.openxmlformats.org/officeDocument/2006/custom-properties" xmlns:vt="http://schemas.openxmlformats.org/officeDocument/2006/docPropsVTypes"/>
</file>