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Hydrogeochemistry away from equilibrium: non-equilibrium and nonlinear processes in water–rock systems</w:t>
      </w:r>
    </w:p>
    <w:p>
      <w:pPr>
        <w:spacing w:after="360"/>
      </w:pPr>
      <w:r>
        <w:rPr>
          <w:color w:val="3A4350"/>
          <w:sz w:val="26"/>
          <w:szCs w:val="26"/>
        </w:rPr>
        <w:t xml:space="preserve">Theoretical introduction and the 20 most relevant papers (2020–2026) from Oxford, Caltech and Princeton on non-equilibrium, nonlinear hydrogeochemistry, with a numerically tested innovation for the calcite mixing zone of a coastal aquifer</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C25E00"/>
          <w:sz w:val="24"/>
          <w:szCs w:val="24"/>
        </w:rPr>
        <w:t xml:space="preserve">Princeton</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theoretical introduction with equations: equilibrium, local equilibrium and the Damköhler number; rate laws near and far from equilibrium; non-equilibrium thermodynamics of reacting porous media; mixing-driven reactions; mixing corrosion in the freshwater–seawater mixing zone; reactive transport with feedback; isotopic disequilibrium; nonlinear biogeochemical dynamics; coupled chemo-mechanical processes; and the link to the coastal aquifer. </w:t>
      </w:r>
      <w:r>
        <w:rPr>
          <w:b/>
          <w:bCs/>
        </w:rPr>
        <w:t xml:space="preserve">Part II:</w:t>
      </w:r>
      <w:r>
        <w:t xml:space="preserve"> 20 verified papers in the requested order: Oxford (O1–O7), Caltech (C1–C7) and Princeton (P1–P6), each with a key equation in OMML and an innovation. </w:t>
      </w:r>
      <w:r>
        <w:rPr>
          <w:b/>
          <w:bCs/>
        </w:rPr>
        <w:t xml:space="preserve">Part III:</w:t>
      </w:r>
      <w:r>
        <w:t xml:space="preserve"> synthesis, further reading and the TRETJA-GO (</w:t>
      </w:r>
      <w:r>
        <w:rPr>
          <w:i/>
          <w:iCs/>
        </w:rPr>
        <w:t xml:space="preserve">tretja</w:t>
      </w:r>
      <w:r>
        <w:t xml:space="preserve">: the dissolution) innovation for the SWI-Goal-OED project: which kinetic and field measurements decide whether the calcite mixing zone of a coastal aquifer may be modeled at local equilibrium, with PHREEQC mixing corrosion and a rate law that changes mechanism near equilibrium, tested numerically.</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journal, DOI or link, affiliation, topic and the rating of theoretical depth (★ 1–5).</w:t>
      </w:r>
    </w:p>
    <w:p>
      <w:pPr>
        <w:pStyle w:val="ListParagraph"/>
        <w:numPr>
          <w:ilvl w:val="0"/>
          <w:numId w:val="2"/>
        </w:numPr>
        <w:spacing w:after="60"/>
        <w:jc w:val="both"/>
      </w:pPr>
      <w:r>
        <w:rPr>
          <w:b/>
          <w:bCs/>
        </w:rPr>
        <w:t xml:space="preserve">Summary:</w:t>
      </w:r>
      <w:r>
        <w:t xml:space="preserve"> the problem, the method and the main result.</w:t>
      </w:r>
    </w:p>
    <w:p>
      <w:pPr>
        <w:pStyle w:val="ListParagraph"/>
        <w:numPr>
          <w:ilvl w:val="0"/>
          <w:numId w:val="2"/>
        </w:numPr>
        <w:spacing w:after="60"/>
        <w:jc w:val="both"/>
      </w:pPr>
      <w:r>
        <w:rPr>
          <w:b/>
          <w:bCs/>
        </w:rPr>
        <w:t xml:space="preserve">Key equation:</w:t>
      </w:r>
      <w:r>
        <w:t xml:space="preserve"> in OMML format, that is, a Word math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paper fits in Part I and what it brings that is new.</w:t>
      </w:r>
    </w:p>
    <w:p>
      <w:pPr>
        <w:spacing w:before="600"/>
      </w:pPr>
      <w:r>
        <w:rPr>
          <w:color w:val="5B6573"/>
          <w:sz w:val="20"/>
          <w:szCs w:val="20"/>
        </w:rPr>
        <w:t xml:space="preserve">Search date: 20 October 2026  ·  Period covered: 2020–2026 (the classical literature of Part I is older)</w:t>
      </w:r>
    </w:p>
    <w:p>
      <w:pPr>
        <w:pStyle w:val="Heading1"/>
        <w:pageBreakBefore/>
      </w:pPr>
      <w:r>
        <w:rPr>
          <w:color w:val="1F3864"/>
        </w:rPr>
        <w:t xml:space="preserve">1. Theoretical introduction: non-equilibrium and nonlinear hydrogeochemistry</w:t>
      </w:r>
    </w:p>
    <w:p>
      <w:pPr>
        <w:spacing w:after="120"/>
      </w:pPr>
      <w:r>
        <w:rPr>
          <w:i/>
          <w:iCs/>
          <w:color w:val="5B6573"/>
          <w:sz w:val="18"/>
          <w:szCs w:val="18"/>
        </w:rPr>
        <w:t xml:space="preserve">Theoretical introduction written for this document. Sections 1.1–1.9 give the theory of hydrogeochemistry away from equilibrium and with nonlinear feedbacks, on which the 20 papers of Part II rest (classical references B1–B20 at the end); section 1.10 links it to the coastal aquifer and to the numerical test of section 8.</w:t>
      </w:r>
    </w:p>
    <w:p>
      <w:pPr>
        <w:pStyle w:val="Heading3"/>
      </w:pPr>
      <w:r>
        <w:rPr>
          <w:color w:val="1F3864"/>
        </w:rPr>
        <w:t xml:space="preserve">1.1 Equilibrium, local equilibrium and the Damköhler number</w:t>
      </w:r>
    </w:p>
    <w:p>
      <w:pPr>
        <w:spacing w:after="120"/>
        <w:jc w:val="both"/>
      </w:pPr>
      <w:r>
        <w:t xml:space="preserve">Most hydrogeochemical models of aquifers assume that every reaction is at equilibrium at every point (the local-equilibrium assumption); kinetic reactive-transport models relax this assumption [B3]. This holds when reactions are much faster than transport, which the Damköhler number measures; the Péclet number compares advection with diffusion and dispersion:</w:t>
      </w:r>
    </w:p>
    <w:p>
      <w:pPr>
        <w:pStyle w:val="Equation"/>
      </w:pPr>
      <m:oMathPara>
        <m:oMathParaPr>
          <m:jc m:val="center"/>
        </m:oMathParaPr>
        <m:oMath>
          <m:r>
            <m:rPr>
              <m:sty m:val="p"/>
            </m:rPr>
            <m:t>D</m:t>
          </m:r>
          <m:r>
            <m:rPr>
              <m:sty m:val="p"/>
            </m:rPr>
            <m:t>a</m:t>
          </m:r>
          <m:r>
            <m:rPr>
              <m:sty m:val="p"/>
            </m:rPr>
            <m:t>=</m:t>
          </m:r>
          <m:f>
            <m:fPr>
              <m:type m:val="bar"/>
            </m:fPr>
            <m:num>
              <m:sSub>
                <m:e>
                  <m:r>
                    <m:t>τ</m:t>
                  </m:r>
                </m:e>
                <m:sub>
                  <m:r>
                    <m:rPr>
                      <m:sty m:val="p"/>
                    </m:rPr>
                    <m:t>t</m:t>
                  </m:r>
                  <m:r>
                    <m:rPr>
                      <m:sty m:val="p"/>
                    </m:rPr>
                    <m:t>r</m:t>
                  </m:r>
                  <m:r>
                    <m:rPr>
                      <m:sty m:val="p"/>
                    </m:rPr>
                    <m:t>a</m:t>
                  </m:r>
                  <m:r>
                    <m:rPr>
                      <m:sty m:val="p"/>
                    </m:rPr>
                    <m:t>n</m:t>
                  </m:r>
                  <m:r>
                    <m:rPr>
                      <m:sty m:val="p"/>
                    </m:rPr>
                    <m:t>s</m:t>
                  </m:r>
                  <m:r>
                    <m:rPr>
                      <m:sty m:val="p"/>
                    </m:rPr>
                    <m:t>p</m:t>
                  </m:r>
                  <m:r>
                    <m:rPr>
                      <m:sty m:val="p"/>
                    </m:rPr>
                    <m:t>o</m:t>
                  </m:r>
                  <m:r>
                    <m:rPr>
                      <m:sty m:val="p"/>
                    </m:rPr>
                    <m:t>r</m:t>
                  </m:r>
                  <m:r>
                    <m:rPr>
                      <m:sty m:val="p"/>
                    </m:rPr>
                    <m:t>t</m:t>
                  </m:r>
                </m:sub>
              </m:sSub>
            </m:num>
            <m:den>
              <m:sSub>
                <m:e>
                  <m:r>
                    <m:t>τ</m:t>
                  </m:r>
                </m:e>
                <m:sub>
                  <m:r>
                    <m:rPr>
                      <m:sty m:val="p"/>
                    </m:rPr>
                    <m:t>r</m:t>
                  </m:r>
                  <m:r>
                    <m:rPr>
                      <m:sty m:val="p"/>
                    </m:rPr>
                    <m:t>e</m:t>
                  </m:r>
                  <m:r>
                    <m:rPr>
                      <m:sty m:val="p"/>
                    </m:rPr>
                    <m:t>a</m:t>
                  </m:r>
                  <m:r>
                    <m:rPr>
                      <m:sty m:val="p"/>
                    </m:rPr>
                    <m:t>c</m:t>
                  </m:r>
                  <m:r>
                    <m:rPr>
                      <m:sty m:val="p"/>
                    </m:rPr>
                    <m:t>t</m:t>
                  </m:r>
                  <m:r>
                    <m:rPr>
                      <m:sty m:val="p"/>
                    </m:rPr>
                    <m:t>i</m:t>
                  </m:r>
                  <m:r>
                    <m:rPr>
                      <m:sty m:val="p"/>
                    </m:rPr>
                    <m:t>o</m:t>
                  </m:r>
                  <m:r>
                    <m:rPr>
                      <m:sty m:val="p"/>
                    </m:rPr>
                    <m:t>n</m:t>
                  </m:r>
                </m:sub>
              </m:sSub>
            </m:den>
          </m:f>
          <m:r>
            <m:rPr>
              <m:sty m:val="p"/>
            </m:rPr>
            <m:t>=</m:t>
          </m:r>
          <m:f>
            <m:fPr>
              <m:type m:val="bar"/>
            </m:fPr>
            <m:num>
              <m:r>
                <m:t>k</m:t>
              </m:r>
              <m:r>
                <m:t> </m:t>
              </m:r>
              <m:r>
                <m:t>a</m:t>
              </m:r>
              <m:r>
                <m:t> </m:t>
              </m:r>
              <m:r>
                <m:t>L</m:t>
              </m:r>
            </m:num>
            <m:den>
              <m:r>
                <m:t>v</m:t>
              </m:r>
              <m:r>
                <m:t> </m:t>
              </m:r>
              <m:r>
                <m:t>Δ</m:t>
              </m:r>
              <m:sSub>
                <m:e>
                  <m:r>
                    <m:t>c</m:t>
                  </m:r>
                </m:e>
                <m:sub>
                  <m:r>
                    <m:rPr>
                      <m:sty m:val="p"/>
                    </m:rPr>
                    <m:t>e</m:t>
                  </m:r>
                  <m:r>
                    <m:rPr>
                      <m:sty m:val="p"/>
                    </m:rPr>
                    <m:t>q</m:t>
                  </m:r>
                </m:sub>
              </m:sSub>
            </m:den>
          </m:f>
          <m:r>
            <m:rPr>
              <m:sty m:val="p"/>
            </m:rPr>
            <m:t>,</m:t>
          </m:r>
          <m:r>
            <m:t>  </m:t>
          </m:r>
          <m:r>
            <m:rPr>
              <m:sty m:val="p"/>
            </m:rPr>
            <m:t>P</m:t>
          </m:r>
          <m:r>
            <m:rPr>
              <m:sty m:val="p"/>
            </m:rPr>
            <m:t>e</m:t>
          </m:r>
          <m:r>
            <m:rPr>
              <m:sty m:val="p"/>
            </m:rPr>
            <m:t>=</m:t>
          </m:r>
          <m:f>
            <m:fPr>
              <m:type m:val="bar"/>
            </m:fPr>
            <m:num>
              <m:r>
                <m:t>v</m:t>
              </m:r>
              <m:r>
                <m:t> </m:t>
              </m:r>
              <m:r>
                <m:t>L</m:t>
              </m:r>
            </m:num>
            <m:den>
              <m:r>
                <m:t>D</m:t>
              </m:r>
            </m:den>
          </m:f>
          <m:r>
            <m:rPr>
              <m:sty m:val="p"/>
            </m:rPr>
            <m:t>,</m:t>
          </m:r>
          <m:r>
            <m:t>  </m:t>
          </m:r>
          <m:r>
            <m:rPr>
              <m:sty m:val="p"/>
            </m:rPr>
            <m:t>D</m:t>
          </m:r>
          <m:r>
            <m:rPr>
              <m:sty m:val="p"/>
            </m:rPr>
            <m:t>a</m:t>
          </m:r>
          <m:r>
            <m:rPr>
              <m:sty m:val="p"/>
            </m:rPr>
            <m:t>≫</m:t>
          </m:r>
          <m:r>
            <m:t>1</m:t>
          </m:r>
          <m:r>
            <m:t> </m:t>
          </m:r>
          <m:r>
            <m:rPr>
              <m:sty m:val="p"/>
            </m:rPr>
            <m:t>⇒</m:t>
          </m:r>
          <m:r>
            <m:t> </m:t>
          </m:r>
          <m:r>
            <m:t>c</m:t>
          </m:r>
          <m:r>
            <m:rPr>
              <m:sty m:val="p"/>
            </m:rPr>
            <m:t>≈</m:t>
          </m:r>
          <m:sSub>
            <m:e>
              <m:r>
                <m:t>c</m:t>
              </m:r>
            </m:e>
            <m:sub>
              <m:r>
                <m:rPr>
                  <m:sty m:val="p"/>
                </m:rPr>
                <m:t>e</m:t>
              </m:r>
              <m:r>
                <m:rPr>
                  <m:sty m:val="p"/>
                </m:rPr>
                <m:t>q</m:t>
              </m:r>
            </m:sub>
          </m:sSub>
        </m:oMath>
      </m:oMathPara>
    </w:p>
    <w:p>
      <w:pPr>
        <w:spacing w:after="120"/>
        <w:jc w:val="both"/>
      </w:pPr>
      <w:r>
        <w:t xml:space="preserve">where </w:t>
      </w:r>
      <m:oMath>
        <m:r>
          <m:t>k</m:t>
        </m:r>
      </m:oMath>
      <w:r>
        <w:t xml:space="preserve"> is a rate constant per unit surface, </w:t>
      </w:r>
      <m:oMath>
        <m:r>
          <m:t>a</m:t>
        </m:r>
      </m:oMath>
      <w:r>
        <w:t xml:space="preserve"> the reactive surface per unit volume, </w:t>
      </w:r>
      <m:oMath>
        <m:r>
          <m:t>L</m:t>
        </m:r>
      </m:oMath>
      <w:r>
        <w:t xml:space="preserve"> a length scale, </w:t>
      </w:r>
      <m:oMath>
        <m:r>
          <m:t>v</m:t>
        </m:r>
      </m:oMath>
      <w:r>
        <w:t xml:space="preserve"> the velocity, </w:t>
      </w:r>
      <m:oMath>
        <m:r>
          <m:t>Δ</m:t>
        </m:r>
        <m:sSub>
          <m:e>
            <m:r>
              <m:t>c</m:t>
            </m:r>
          </m:e>
          <m:sub>
            <m:r>
              <m:rPr>
                <m:sty m:val="p"/>
              </m:rPr>
              <m:t>e</m:t>
            </m:r>
            <m:r>
              <m:rPr>
                <m:sty m:val="p"/>
              </m:rPr>
              <m:t>q</m:t>
            </m:r>
          </m:sub>
        </m:sSub>
      </m:oMath>
      <w:r>
        <w:t xml:space="preserve"> the distance from equilibrium in concentration and </w:t>
      </w:r>
      <m:oMath>
        <m:r>
          <m:t>D</m:t>
        </m:r>
      </m:oMath>
      <w:r>
        <w:t xml:space="preserve"> the dispersion coefficient. Field and laboratory rates of the same mineral differ by two to five orders of magnitude [B16, B17], because of surface area, coatings, flow paths and the closeness to equilibrium of natural waters. The Damköhler number of a field system is therefore one of its most uncertain properties, and whether the local-equilibrium assumption holds is a question to be answered by data, not assumed.</w:t>
      </w:r>
    </w:p>
    <w:p>
      <w:pPr>
        <w:spacing w:after="120"/>
        <w:jc w:val="both"/>
      </w:pPr>
      <w:r>
        <w:t xml:space="preserve">In Part II the Damköhler question appears at three scales. At the grain scale, calcite dissolution in pure water and seawater is controlled by transport from a surface held at the stoichiometric solubility product [O3]. At the scale of a soil, effective weathering rates are up to a hundred times slower than laboratory rates, because pore water approaches saturation and is buffered [P4]. At the scale of a continent, a thermodynamic limit on solute concentration removes the dependence of weathering on kinetics altogether [O6]. The mathematical bridge from pore-scale reaction to Darcy-scale coefficients is homogenisation [O4].</w:t>
      </w:r>
    </w:p>
    <w:p>
      <w:pPr>
        <w:pStyle w:val="Heading3"/>
      </w:pPr>
      <w:r>
        <w:rPr>
          <w:color w:val="1F3864"/>
        </w:rPr>
        <w:t xml:space="preserve">1.2 Rate laws near and far from equilibrium</w:t>
      </w:r>
    </w:p>
    <w:p>
      <w:pPr>
        <w:spacing w:after="120"/>
        <w:jc w:val="both"/>
      </w:pPr>
      <w:r>
        <w:t xml:space="preserve">Transition-state theory relates the net rate of a reaction to its chemical affinity </w:t>
      </w:r>
      <m:oMath>
        <m:r>
          <m:t>A</m:t>
        </m:r>
        <m:r>
          <m:rPr>
            <m:sty m:val="p"/>
          </m:rPr>
          <m:t>=</m:t>
        </m:r>
        <m:r>
          <m:rPr>
            <m:sty m:val="p"/>
          </m:rPr>
          <m:t>−</m:t>
        </m:r>
        <m:r>
          <m:t>R</m:t>
        </m:r>
        <m:r>
          <m:t>T</m:t>
        </m:r>
        <m:r>
          <m:rPr>
            <m:sty m:val="p"/>
          </m:rPr>
          <m:t>ln</m:t>
        </m:r>
        <m:r>
          <m:t>Ω</m:t>
        </m:r>
      </m:oMath>
      <w:r>
        <w:t xml:space="preserve">, where </w:t>
      </w:r>
      <m:oMath>
        <m:r>
          <m:t>Ω</m:t>
        </m:r>
      </m:oMath>
      <w:r>
        <w:t xml:space="preserve"> is the saturation ratio. A general empirical form, with </w:t>
      </w:r>
      <m:oMath>
        <m:r>
          <m:t>σ</m:t>
        </m:r>
      </m:oMath>
      <w:r>
        <w:t xml:space="preserve"> the Temkin coefficient, is [B1, B19]:</w:t>
      </w:r>
    </w:p>
    <w:p>
      <w:pPr>
        <w:pStyle w:val="Equation"/>
      </w:pPr>
      <m:oMathPara>
        <m:oMathParaPr>
          <m:jc m:val="center"/>
        </m:oMathParaPr>
        <m:oMath>
          <m:r>
            <m:t>r</m:t>
          </m:r>
          <m:r>
            <m:rPr>
              <m:sty m:val="p"/>
            </m:rPr>
            <m:t>=</m:t>
          </m:r>
          <m:r>
            <m:t>k</m:t>
          </m:r>
          <m:r>
            <m:t> </m:t>
          </m:r>
          <m:r>
            <m:t>a</m:t>
          </m:r>
          <m:sSup>
            <m:e>
              <m:d>
                <m:dPr>
                  <m:begChr m:val="("/>
                  <m:sepChr m:val=""/>
                  <m:endChr m:val=")"/>
                  <m:grow/>
                </m:dPr>
                <m:e>
                  <m:r>
                    <m:t>1</m:t>
                  </m:r>
                  <m:r>
                    <m:rPr>
                      <m:sty m:val="p"/>
                    </m:rPr>
                    <m:t>−</m:t>
                  </m:r>
                  <m:sSup>
                    <m:e>
                      <m:r>
                        <m:t>Ω</m:t>
                      </m:r>
                    </m:e>
                    <m:sup>
                      <m:r>
                        <m:t>p</m:t>
                      </m:r>
                    </m:sup>
                  </m:sSup>
                </m:e>
              </m:d>
            </m:e>
            <m:sup>
              <m:r>
                <m:t>q</m:t>
              </m:r>
            </m:sup>
          </m:sSup>
          <m:r>
            <m:rPr>
              <m:sty m:val="p"/>
            </m:rPr>
            <m:t>=</m:t>
          </m:r>
          <m:r>
            <m:t>k</m:t>
          </m:r>
          <m:r>
            <m:t> </m:t>
          </m:r>
          <m:r>
            <m:t>a</m:t>
          </m:r>
          <m:sSup>
            <m:e>
              <m:d>
                <m:dPr>
                  <m:begChr m:val="["/>
                  <m:sepChr m:val=""/>
                  <m:endChr m:val="]"/>
                  <m:grow/>
                </m:dPr>
                <m:e>
                  <m:r>
                    <m:t>1</m:t>
                  </m:r>
                  <m:r>
                    <m:rPr>
                      <m:sty m:val="p"/>
                    </m:rPr>
                    <m:t>−</m:t>
                  </m:r>
                  <m:r>
                    <m:rPr>
                      <m:sty m:val="p"/>
                    </m:rPr>
                    <m:t>exp</m:t>
                  </m:r>
                  <m:d>
                    <m:dPr>
                      <m:begChr m:val="("/>
                      <m:sepChr m:val=""/>
                      <m:endChr m:val=")"/>
                      <m:grow/>
                    </m:dPr>
                    <m:e>
                      <m:r>
                        <m:rPr>
                          <m:sty m:val="p"/>
                        </m:rPr>
                        <m:t>−</m:t>
                      </m:r>
                      <m:f>
                        <m:fPr>
                          <m:type m:val="bar"/>
                        </m:fPr>
                        <m:num>
                          <m:r>
                            <m:t>p</m:t>
                          </m:r>
                          <m:r>
                            <m:t> </m:t>
                          </m:r>
                          <m:r>
                            <m:t>A</m:t>
                          </m:r>
                        </m:num>
                        <m:den>
                          <m:r>
                            <m:t>R</m:t>
                          </m:r>
                          <m:r>
                            <m:t>T</m:t>
                          </m:r>
                        </m:den>
                      </m:f>
                    </m:e>
                  </m:d>
                </m:e>
              </m:d>
            </m:e>
            <m:sup>
              <m:r>
                <m:t>q</m:t>
              </m:r>
            </m:sup>
          </m:sSup>
          <m:r>
            <m:rPr>
              <m:sty m:val="p"/>
            </m:rPr>
            <m:t>,</m:t>
          </m:r>
          <m:r>
            <m:t>  </m:t>
          </m:r>
          <m:r>
            <m:t>r</m:t>
          </m:r>
          <m:r>
            <m:rPr>
              <m:sty m:val="p"/>
            </m:rPr>
            <m:t>≈</m:t>
          </m:r>
          <m:r>
            <m:t>k</m:t>
          </m:r>
          <m:r>
            <m:t> </m:t>
          </m:r>
          <m:r>
            <m:t>a</m:t>
          </m:r>
          <m:r>
            <m:t> </m:t>
          </m:r>
          <m:f>
            <m:fPr>
              <m:type m:val="bar"/>
            </m:fPr>
            <m:num>
              <m:r>
                <m:t>p</m:t>
              </m:r>
              <m:r>
                <m:t> </m:t>
              </m:r>
              <m:r>
                <m:t>q</m:t>
              </m:r>
            </m:num>
            <m:den>
              <m:r>
                <m:t>R</m:t>
              </m:r>
              <m:r>
                <m:t>T</m:t>
              </m:r>
            </m:den>
          </m:f>
          <m:r>
            <m:t> </m:t>
          </m:r>
          <m:r>
            <m:t>A</m:t>
          </m:r>
          <m:r>
            <m:t> </m:t>
          </m:r>
          <m:r>
            <m:t> </m:t>
          </m:r>
          <m:d>
            <m:dPr>
              <m:begChr m:val="("/>
              <m:sepChr m:val=""/>
              <m:endChr m:val=")"/>
              <m:grow/>
            </m:dPr>
            <m:e>
              <m:r>
                <m:t>A</m:t>
              </m:r>
              <m:r>
                <m:rPr>
                  <m:sty m:val="p"/>
                </m:rPr>
                <m:t>→</m:t>
              </m:r>
              <m:r>
                <m:t>0</m:t>
              </m:r>
              <m:r>
                <m:rPr>
                  <m:sty m:val="p"/>
                </m:rPr>
                <m:t>,</m:t>
              </m:r>
              <m:r>
                <m:t> </m:t>
              </m:r>
              <m:r>
                <m:t>q</m:t>
              </m:r>
              <m:r>
                <m:rPr>
                  <m:sty m:val="p"/>
                </m:rPr>
                <m:t>=</m:t>
              </m:r>
              <m:r>
                <m:t>1</m:t>
              </m:r>
            </m:e>
          </m:d>
        </m:oMath>
      </m:oMathPara>
    </w:p>
    <w:p>
      <w:pPr>
        <w:spacing w:after="120"/>
        <w:jc w:val="both"/>
      </w:pPr>
      <w:r>
        <w:t xml:space="preserve">For calcite the classical laboratory law combines proton-, carbonic-acid- and water-promoted forward terms with a backward term [B4]. Near equilibrium and with </w:t>
      </w:r>
      <m:oMath>
        <m:r>
          <m:t>q</m:t>
        </m:r>
        <m:r>
          <m:rPr>
            <m:sty m:val="p"/>
          </m:rPr>
          <m:t>=</m:t>
        </m:r>
        <m:r>
          <m:t>1</m:t>
        </m:r>
      </m:oMath>
      <w:r>
        <w:t xml:space="preserve"> the rate is linear in the affinity, the regime of linear irreversible thermodynamics; far from equilibrium it saturates at the forward rate. Crystal surfaces change mechanism with the driving force: near equilibrium, dissolution and growth proceed by the motion of steps from existing sources [B12]; beyond a critical undersaturation, etch pits open at dislocations and the rate rises steeply [B11]. The rate law then has a kink, and an order </w:t>
      </w:r>
      <m:oMath>
        <m:r>
          <m:t>q</m:t>
        </m:r>
      </m:oMath>
      <w:r>
        <w:t xml:space="preserve"> fitted far from equilibrium does not hold near it. Nucleation of new phases is even more nonlinear; classical nucleation theory gives:</w:t>
      </w:r>
    </w:p>
    <w:p>
      <w:pPr>
        <w:pStyle w:val="Equation"/>
      </w:pPr>
      <m:oMathPara>
        <m:oMathParaPr>
          <m:jc m:val="center"/>
        </m:oMathParaPr>
        <m:oMath>
          <m:r>
            <m:t>J</m:t>
          </m:r>
          <m:r>
            <m:rPr>
              <m:sty m:val="p"/>
            </m:rPr>
            <m:t>=</m:t>
          </m:r>
          <m:sSub>
            <m:e>
              <m:r>
                <m:t>J</m:t>
              </m:r>
            </m:e>
            <m:sub>
              <m:r>
                <m:t>0</m:t>
              </m:r>
            </m:sub>
          </m:sSub>
          <m:r>
            <m:rPr>
              <m:sty m:val="p"/>
            </m:rPr>
            <m:t>exp</m:t>
          </m:r>
          <m:d>
            <m:dPr>
              <m:begChr m:val="("/>
              <m:sepChr m:val=""/>
              <m:endChr m:val=")"/>
              <m:grow/>
            </m:dPr>
            <m:e>
              <m:r>
                <m:rPr>
                  <m:sty m:val="p"/>
                </m:rPr>
                <m:t>−</m:t>
              </m:r>
              <m:f>
                <m:fPr>
                  <m:type m:val="bar"/>
                </m:fPr>
                <m:num>
                  <m:r>
                    <m:t>16</m:t>
                  </m:r>
                  <m:r>
                    <m:t>π</m:t>
                  </m:r>
                  <m:sSup>
                    <m:e>
                      <m:r>
                        <m:t>γ</m:t>
                      </m:r>
                    </m:e>
                    <m:sup>
                      <m:r>
                        <m:t>3</m:t>
                      </m:r>
                    </m:sup>
                  </m:sSup>
                  <m:sSubSup>
                    <m:e>
                      <m:r>
                        <m:t>v</m:t>
                      </m:r>
                    </m:e>
                    <m:sub>
                      <m:r>
                        <m:t>m</m:t>
                      </m:r>
                    </m:sub>
                    <m:sup>
                      <m:r>
                        <m:t>2</m:t>
                      </m:r>
                    </m:sup>
                  </m:sSubSup>
                </m:num>
                <m:den>
                  <m:r>
                    <m:t>3</m:t>
                  </m:r>
                  <m:sSup>
                    <m:e>
                      <m:d>
                        <m:dPr>
                          <m:begChr m:val="("/>
                          <m:sepChr m:val=""/>
                          <m:endChr m:val=")"/>
                          <m:grow/>
                        </m:dPr>
                        <m:e>
                          <m:sSub>
                            <m:e>
                              <m:r>
                                <m:t>k</m:t>
                              </m:r>
                            </m:e>
                            <m:sub>
                              <m:r>
                                <m:t>B</m:t>
                              </m:r>
                            </m:sub>
                          </m:sSub>
                          <m:r>
                            <m:t>T</m:t>
                          </m:r>
                        </m:e>
                      </m:d>
                    </m:e>
                    <m:sup>
                      <m:r>
                        <m:t>3</m:t>
                      </m:r>
                    </m:sup>
                  </m:sSup>
                  <m:sSup>
                    <m:e>
                      <m:d>
                        <m:dPr>
                          <m:begChr m:val="("/>
                          <m:sepChr m:val=""/>
                          <m:endChr m:val=")"/>
                          <m:grow/>
                        </m:dPr>
                        <m:e>
                          <m:r>
                            <m:rPr>
                              <m:sty m:val="p"/>
                            </m:rPr>
                            <m:t>ln</m:t>
                          </m:r>
                          <m:r>
                            <m:t>Ω</m:t>
                          </m:r>
                        </m:e>
                      </m:d>
                    </m:e>
                    <m:sup>
                      <m:r>
                        <m:t>2</m:t>
                      </m:r>
                    </m:sup>
                  </m:sSup>
                </m:den>
              </m:f>
            </m:e>
          </m:d>
        </m:oMath>
      </m:oMathPara>
    </w:p>
    <w:p>
      <w:pPr>
        <w:spacing w:after="120"/>
        <w:jc w:val="both"/>
      </w:pPr>
      <w:r>
        <w:t xml:space="preserve">where </w:t>
      </w:r>
      <m:oMath>
        <m:r>
          <m:t>γ</m:t>
        </m:r>
      </m:oMath>
      <w:r>
        <w:t xml:space="preserve"> is the interfacial energy and </w:t>
      </w:r>
      <m:oMath>
        <m:sSub>
          <m:e>
            <m:r>
              <m:t>v</m:t>
            </m:r>
          </m:e>
          <m:sub>
            <m:r>
              <m:t>m</m:t>
            </m:r>
          </m:sub>
        </m:sSub>
      </m:oMath>
      <w:r>
        <w:t xml:space="preserve"> the molecular volume; below a critical supersaturation the nucleation rate is practically zero, and above it rises by orders of magnitude.</w:t>
      </w:r>
    </w:p>
    <w:p>
      <w:pPr>
        <w:spacing w:after="120"/>
        <w:jc w:val="both"/>
      </w:pPr>
      <w:r>
        <w:t xml:space="preserve">Atomic force microscopy shows where the rate law of calcite in seawater changes mechanism: etch pits begin to open at a saturation ratio of about 0.85 and their density rises abruptly below about 0.7 [C4]. Ion correlations in the double layer can start nucleation before the bulk water reaches saturation [P1]; biology creates microenvironments in which carbonates dissolve while the bulk water is supersaturated [C5]; and mineral surfaces act as catalysts and electron-transfer reactors rather than equilibrium sorbents [P6]. Growth of a solid far from equilibrium on a moving interface is the subject of [C1].</w:t>
      </w:r>
    </w:p>
    <w:p>
      <w:pPr>
        <w:pStyle w:val="Heading3"/>
      </w:pPr>
      <w:r>
        <w:rPr>
          <w:color w:val="1F3864"/>
        </w:rPr>
        <w:t xml:space="preserve">1.3 Non-equilibrium thermodynamics of reacting porous media</w:t>
      </w:r>
    </w:p>
    <w:p>
      <w:pPr>
        <w:spacing w:after="120"/>
        <w:jc w:val="both"/>
      </w:pPr>
      <w:r>
        <w:t xml:space="preserve">Reactions, transport and deformation all produce entropy. For a reacting, diffusing fluid at temperature </w:t>
      </w:r>
      <m:oMath>
        <m:r>
          <m:t>T</m:t>
        </m:r>
      </m:oMath>
      <w:r>
        <w:t xml:space="preserve"> the local entropy production is a sum of fluxes times forces, and must not be negative [B2]:</w:t>
      </w:r>
    </w:p>
    <w:p>
      <w:pPr>
        <w:pStyle w:val="Equation"/>
      </w:pPr>
      <m:oMathPara>
        <m:oMathParaPr>
          <m:jc m:val="center"/>
        </m:oMathParaPr>
        <m:oMath>
          <m:r>
            <m:t>T</m:t>
          </m:r>
          <m:acc>
            <m:accPr>
              <m:chr m:val="̇"/>
            </m:accPr>
            <m:e>
              <m:r>
                <m:t>s</m:t>
              </m:r>
            </m:e>
          </m:acc>
          <m:r>
            <m:rPr>
              <m:sty m:val="p"/>
            </m:rPr>
            <m:t>=</m:t>
          </m:r>
          <m:r>
            <m:rPr>
              <m:sty m:val="p"/>
            </m:rPr>
            <m:t>−</m:t>
          </m:r>
          <m:nary>
            <m:naryPr>
              <m:chr m:val="∑"/>
              <m:limLoc m:val="undOvr"/>
              <m:subHide m:val="off"/>
              <m:supHide m:val="on"/>
            </m:naryPr>
            <m:sub>
              <m:r>
                <m:t>i</m:t>
              </m:r>
            </m:sub>
            <m:sup>
              <m:r>
                <m:t>​</m:t>
              </m:r>
            </m:sup>
            <m:e>
              <m:sSub>
                <m:e>
                  <m:r>
                    <m:rPr>
                      <m:sty m:val="b"/>
                    </m:rPr>
                    <m:t>J</m:t>
                  </m:r>
                </m:e>
                <m:sub>
                  <m:r>
                    <m:t>i</m:t>
                  </m:r>
                </m:sub>
              </m:sSub>
            </m:e>
          </m:nary>
          <m:r>
            <m:rPr>
              <m:sty m:val="p"/>
            </m:rPr>
            <m:t>⋅</m:t>
          </m:r>
          <m:r>
            <m:rPr>
              <m:sty m:val="p"/>
            </m:rPr>
            <m:t>∇</m:t>
          </m:r>
          <m:sSub>
            <m:e>
              <m:r>
                <m:t>μ</m:t>
              </m:r>
            </m:e>
            <m:sub>
              <m:r>
                <m:t>i</m:t>
              </m:r>
            </m:sub>
          </m:sSub>
          <m:r>
            <m:rPr>
              <m:sty m:val="p"/>
            </m:rPr>
            <m:t>+</m:t>
          </m:r>
          <m:nary>
            <m:naryPr>
              <m:chr m:val="∑"/>
              <m:limLoc m:val="undOvr"/>
              <m:subHide m:val="off"/>
              <m:supHide m:val="on"/>
            </m:naryPr>
            <m:sub>
              <m:r>
                <m:t>k</m:t>
              </m:r>
            </m:sub>
            <m:sup>
              <m:r>
                <m:t>​</m:t>
              </m:r>
            </m:sup>
            <m:e>
              <m:sSub>
                <m:e>
                  <m:r>
                    <m:t>r</m:t>
                  </m:r>
                </m:e>
                <m:sub>
                  <m:r>
                    <m:t>k</m:t>
                  </m:r>
                </m:sub>
              </m:sSub>
            </m:e>
          </m:nary>
          <m:sSub>
            <m:e>
              <m:r>
                <m:t>A</m:t>
              </m:r>
            </m:e>
            <m:sub>
              <m:r>
                <m:t>k</m:t>
              </m:r>
            </m:sub>
          </m:sSub>
          <m:r>
            <m:rPr>
              <m:sty m:val="p"/>
            </m:rPr>
            <m:t>−</m:t>
          </m:r>
          <m:f>
            <m:fPr>
              <m:type m:val="bar"/>
            </m:fPr>
            <m:num>
              <m:r>
                <m:rPr>
                  <m:sty m:val="b"/>
                </m:rPr>
                <m:t>q</m:t>
              </m:r>
              <m:r>
                <m:rPr>
                  <m:sty m:val="p"/>
                </m:rPr>
                <m:t>⋅</m:t>
              </m:r>
              <m:r>
                <m:rPr>
                  <m:sty m:val="p"/>
                </m:rPr>
                <m:t>∇</m:t>
              </m:r>
              <m:r>
                <m:t>T</m:t>
              </m:r>
            </m:num>
            <m:den>
              <m:r>
                <m:t>T</m:t>
              </m:r>
            </m:den>
          </m:f>
          <m:r>
            <m:rPr>
              <m:sty m:val="p"/>
            </m:rPr>
            <m:t>≥</m:t>
          </m:r>
          <m:r>
            <m:t>0</m:t>
          </m:r>
          <m:r>
            <m:rPr>
              <m:sty m:val="p"/>
            </m:rPr>
            <m:t>,</m:t>
          </m:r>
          <m:r>
            <m:t>  </m:t>
          </m:r>
          <m:sSub>
            <m:e>
              <m:r>
                <m:t>A</m:t>
              </m:r>
            </m:e>
            <m:sub>
              <m:r>
                <m:t>k</m:t>
              </m:r>
            </m:sub>
          </m:sSub>
          <m:r>
            <m:rPr>
              <m:sty m:val="p"/>
            </m:rPr>
            <m:t>=</m:t>
          </m:r>
          <m:r>
            <m:rPr>
              <m:sty m:val="p"/>
            </m:rPr>
            <m:t>−</m:t>
          </m:r>
          <m:nary>
            <m:naryPr>
              <m:chr m:val="∑"/>
              <m:limLoc m:val="undOvr"/>
              <m:subHide m:val="off"/>
              <m:supHide m:val="on"/>
            </m:naryPr>
            <m:sub>
              <m:r>
                <m:t>i</m:t>
              </m:r>
            </m:sub>
            <m:sup>
              <m:r>
                <m:t>​</m:t>
              </m:r>
            </m:sup>
            <m:e>
              <m:sSub>
                <m:e>
                  <m:r>
                    <m:t>ν</m:t>
                  </m:r>
                </m:e>
                <m:sub>
                  <m:r>
                    <m:t>i</m:t>
                  </m:r>
                  <m:r>
                    <m:t>k</m:t>
                  </m:r>
                </m:sub>
              </m:sSub>
            </m:e>
          </m:nary>
          <m:sSub>
            <m:e>
              <m:r>
                <m:t>μ</m:t>
              </m:r>
            </m:e>
            <m:sub>
              <m:r>
                <m:t>i</m:t>
              </m:r>
            </m:sub>
          </m:sSub>
        </m:oMath>
      </m:oMathPara>
    </w:p>
    <w:p>
      <w:pPr>
        <w:spacing w:after="120"/>
        <w:jc w:val="both"/>
      </w:pPr>
      <w:r>
        <w:t xml:space="preserve">where </w:t>
      </w:r>
      <m:oMath>
        <m:sSub>
          <m:e>
            <m:r>
              <m:t>r</m:t>
            </m:r>
          </m:e>
          <m:sub>
            <m:r>
              <m:t>k</m:t>
            </m:r>
          </m:sub>
        </m:sSub>
      </m:oMath>
      <w:r>
        <w:t xml:space="preserve"> and </w:t>
      </w:r>
      <m:oMath>
        <m:sSub>
          <m:e>
            <m:r>
              <m:t>A</m:t>
            </m:r>
          </m:e>
          <m:sub>
            <m:r>
              <m:t>k</m:t>
            </m:r>
          </m:sub>
        </m:sSub>
      </m:oMath>
      <w:r>
        <w:t xml:space="preserve"> are the rate and the affinity of reaction </w:t>
      </w:r>
      <m:oMath>
        <m:r>
          <m:t>k</m:t>
        </m:r>
      </m:oMath>
      <w:r>
        <w:t xml:space="preserve">, </w:t>
      </w:r>
      <m:oMath>
        <m:sSub>
          <m:e>
            <m:r>
              <m:t>ν</m:t>
            </m:r>
          </m:e>
          <m:sub>
            <m:r>
              <m:t>i</m:t>
            </m:r>
            <m:r>
              <m:t>k</m:t>
            </m:r>
          </m:sub>
        </m:sSub>
      </m:oMath>
      <w:r>
        <w:t xml:space="preserve"> its stoichiometric coefficients and </w:t>
      </w:r>
      <m:oMath>
        <m:r>
          <m:rPr>
            <m:sty m:val="b"/>
          </m:rPr>
          <m:t>q</m:t>
        </m:r>
      </m:oMath>
      <w:r>
        <w:t xml:space="preserve"> the heat flux. Close to equilibrium, fluxes and rates are linear in the forces and Onsager's symmetry applies; far from equilibrium the relations are nonlinear, and the steady states can lose stability, which is the origin of self-organized patterns in rocks [B20]. Models that are thermodynamically consistent keep the sign of this production for every choice of the constitutive laws, which constrains how porosity, reaction and flow may be coupled.</w:t>
      </w:r>
    </w:p>
    <w:p>
      <w:pPr>
        <w:spacing w:after="120"/>
        <w:jc w:val="both"/>
      </w:pPr>
      <w:r>
        <w:t xml:space="preserve">The thermodynamically consistent theory of two-phase reactive flow, in which melting and dissolution are driven by chemical disequilibrium, is reviewed in [O2] and applied to the stability of reactive channels in [O1]. A reaction that runs close to its thermodynamic limit, so that its rate depends on the small free energy available, is modeled in [C7].</w:t>
      </w:r>
    </w:p>
    <w:p>
      <w:pPr>
        <w:pStyle w:val="Heading3"/>
      </w:pPr>
      <w:r>
        <w:rPr>
          <w:color w:val="1F3864"/>
        </w:rPr>
        <w:t xml:space="preserve">1.4 Mixing-driven reactions</w:t>
      </w:r>
    </w:p>
    <w:p>
      <w:pPr>
        <w:spacing w:after="120"/>
        <w:jc w:val="both"/>
      </w:pPr>
      <w:r>
        <w:t xml:space="preserve">When two waters, each in equilibrium with a mineral, mix, the mixture is generally out of equilibrium. If the reaction is fast, its rate is set by mixing, not by kinetics. For a reaction in equilibrium whose concentration depends only on a conservative mixing variable </w:t>
      </w:r>
      <m:oMath>
        <m:r>
          <m:t>u</m:t>
        </m:r>
      </m:oMath>
      <w:r>
        <w:t xml:space="preserve">, the rate per unit volume is [B6]:</w:t>
      </w:r>
    </w:p>
    <w:p>
      <w:pPr>
        <w:pStyle w:val="Equation"/>
      </w:pPr>
      <m:oMathPara>
        <m:oMathParaPr>
          <m:jc m:val="center"/>
        </m:oMathParaPr>
        <m:oMath>
          <m:r>
            <m:t>r</m:t>
          </m:r>
          <m:r>
            <m:rPr>
              <m:sty m:val="p"/>
            </m:rPr>
            <m:t>=</m:t>
          </m:r>
          <m:r>
            <m:t>ϕ</m:t>
          </m:r>
          <m:r>
            <m:t> </m:t>
          </m:r>
          <m:f>
            <m:fPr>
              <m:type m:val="bar"/>
            </m:fPr>
            <m:num>
              <m:sSup>
                <m:e>
                  <m:r>
                    <m:rPr>
                      <m:sty m:val="p"/>
                    </m:rPr>
                    <m:t>∂</m:t>
                  </m:r>
                </m:e>
                <m:sup>
                  <m:r>
                    <m:t>2</m:t>
                  </m:r>
                </m:sup>
              </m:sSup>
              <m:sSub>
                <m:e>
                  <m:r>
                    <m:t>c</m:t>
                  </m:r>
                </m:e>
                <m:sub>
                  <m:r>
                    <m:rPr>
                      <m:sty m:val="p"/>
                    </m:rPr>
                    <m:t>e</m:t>
                  </m:r>
                  <m:r>
                    <m:rPr>
                      <m:sty m:val="p"/>
                    </m:rPr>
                    <m:t>q</m:t>
                  </m:r>
                </m:sub>
              </m:sSub>
            </m:num>
            <m:den>
              <m:r>
                <m:rPr>
                  <m:sty m:val="p"/>
                </m:rPr>
                <m:t>∂</m:t>
              </m:r>
              <m:sSup>
                <m:e>
                  <m:r>
                    <m:t>u</m:t>
                  </m:r>
                </m:e>
                <m:sup>
                  <m:r>
                    <m:t>2</m:t>
                  </m:r>
                </m:sup>
              </m:sSup>
            </m:den>
          </m:f>
          <m:r>
            <m:t> </m:t>
          </m:r>
          <m:r>
            <m:rPr>
              <m:sty m:val="p"/>
            </m:rPr>
            <m:t>∇</m:t>
          </m:r>
          <m:r>
            <m:t>u</m:t>
          </m:r>
          <m:r>
            <m:rPr>
              <m:sty m:val="p"/>
            </m:rPr>
            <m:t>⋅</m:t>
          </m:r>
          <m:r>
            <m:rPr>
              <m:sty m:val="b"/>
            </m:rPr>
            <m:t>D</m:t>
          </m:r>
          <m:r>
            <m:t> </m:t>
          </m:r>
          <m:r>
            <m:rPr>
              <m:sty m:val="p"/>
            </m:rPr>
            <m:t>∇</m:t>
          </m:r>
          <m:r>
            <m:t>u</m:t>
          </m:r>
        </m:oMath>
      </m:oMathPara>
    </w:p>
    <w:p>
      <w:pPr>
        <w:spacing w:after="120"/>
        <w:jc w:val="both"/>
      </w:pPr>
      <w:r>
        <w:t xml:space="preserve">The rate is proportional to the curvature of the equilibrium curve and to the scalar dissipation rate </w:t>
      </w:r>
      <m:oMath>
        <m:r>
          <m:rPr>
            <m:sty m:val="p"/>
          </m:rPr>
          <m:t>∇</m:t>
        </m:r>
        <m:r>
          <m:t>u</m:t>
        </m:r>
        <m:r>
          <m:rPr>
            <m:sty m:val="p"/>
          </m:rPr>
          <m:t>⋅</m:t>
        </m:r>
        <m:r>
          <m:rPr>
            <m:sty m:val="b"/>
          </m:rPr>
          <m:t>D</m:t>
        </m:r>
        <m:r>
          <m:rPr>
            <m:sty m:val="p"/>
          </m:rPr>
          <m:t>∇</m:t>
        </m:r>
        <m:r>
          <m:t>u</m:t>
        </m:r>
      </m:oMath>
      <w:r>
        <w:t xml:space="preserve">, which is large only where gradients are steep. In heterogeneous media mixing is incomplete: plumes are stretched into lamellae, mixing is faster than dispersion coefficients suggest along the lamellae and slower across them, and reaction rates depend on the history of deformation of the fluid [B15]. Mixing-limited and kinetics-limited regimes then coexist in the same aquifer.</w:t>
      </w:r>
    </w:p>
    <w:p>
      <w:pPr>
        <w:spacing w:after="120"/>
        <w:jc w:val="both"/>
      </w:pPr>
      <w:r>
        <w:t xml:space="preserve">Density-driven fingering at an interface sets the scalar dissipation that drives mixing-controlled reactions; it is measured and simulated in three dimensions in [C3]. Homogenisation gives the effective dispersion and sorption of a medium whose microstructure varies in space [O4].</w:t>
      </w:r>
    </w:p>
    <w:p>
      <w:pPr>
        <w:pStyle w:val="Heading3"/>
      </w:pPr>
      <w:r>
        <w:rPr>
          <w:color w:val="1F3864"/>
        </w:rPr>
        <w:t xml:space="preserve">1.5 Mixing corrosion and the freshwater–seawater mixing zone</w:t>
      </w:r>
    </w:p>
    <w:p>
      <w:pPr>
        <w:spacing w:after="120"/>
        <w:jc w:val="both"/>
      </w:pPr>
      <w:r>
        <w:t xml:space="preserve">The saturation index of calcite is a nonlinear function of the composition, through the carbonate equilibria, the activity coefficients and ion pairing. Mixtures of two waters that are each saturated with calcite are undersaturated when the waters differ in CO₂ pressure or ionic strength [B5]:</w:t>
      </w:r>
    </w:p>
    <w:p>
      <w:pPr>
        <w:pStyle w:val="Equation"/>
      </w:pPr>
      <m:oMathPara>
        <m:oMathParaPr>
          <m:jc m:val="center"/>
        </m:oMathParaPr>
        <m:oMath>
          <m:r>
            <m:rPr>
              <m:sty m:val="p"/>
            </m:rPr>
            <m:t>S</m:t>
          </m:r>
          <m:r>
            <m:rPr>
              <m:sty m:val="p"/>
            </m:rPr>
            <m:t>I</m:t>
          </m:r>
          <m:d>
            <m:dPr>
              <m:begChr m:val="("/>
              <m:sepChr m:val=""/>
              <m:endChr m:val=")"/>
              <m:grow/>
            </m:dPr>
            <m:e>
              <m:r>
                <m:t>f</m:t>
              </m:r>
            </m:e>
          </m:d>
          <m:r>
            <m:rPr>
              <m:sty m:val="p"/>
            </m:rPr>
            <m:t>=</m:t>
          </m:r>
          <m:sSub>
            <m:e>
              <m:r>
                <m:rPr>
                  <m:sty m:val="p"/>
                </m:rPr>
                <m:t>log</m:t>
              </m:r>
            </m:e>
            <m:sub>
              <m:r>
                <m:t>10</m:t>
              </m:r>
            </m:sub>
          </m:sSub>
          <m:f>
            <m:fPr>
              <m:type m:val="bar"/>
            </m:fPr>
            <m:num>
              <m:sSub>
                <m:e>
                  <m:r>
                    <m:t>γ</m:t>
                  </m:r>
                </m:e>
                <m:sub>
                  <m:r>
                    <m:rPr>
                      <m:sty m:val="p"/>
                    </m:rPr>
                    <m:t>C</m:t>
                  </m:r>
                  <m:r>
                    <m:rPr>
                      <m:sty m:val="p"/>
                    </m:rPr>
                    <m:t>a</m:t>
                  </m:r>
                </m:sub>
              </m:sSub>
              <m:sSub>
                <m:e>
                  <m:r>
                    <m:t>γ</m:t>
                  </m:r>
                </m:e>
                <m:sub>
                  <m:r>
                    <m:rPr>
                      <m:sty m:val="p"/>
                    </m:rPr>
                    <m:t>C</m:t>
                  </m:r>
                  <m:sSub>
                    <m:e>
                      <m:r>
                        <m:rPr>
                          <m:sty m:val="p"/>
                        </m:rPr>
                        <m:t>O</m:t>
                      </m:r>
                    </m:e>
                    <m:sub>
                      <m:r>
                        <m:rPr>
                          <m:sty m:val="p"/>
                        </m:rPr>
                        <m:t>3</m:t>
                      </m:r>
                    </m:sub>
                  </m:sSub>
                </m:sub>
              </m:sSub>
              <m:sSub>
                <m:e>
                  <m:d>
                    <m:dPr>
                      <m:begChr m:val="["/>
                      <m:sepChr m:val=""/>
                      <m:endChr m:val="]"/>
                      <m:grow/>
                    </m:dPr>
                    <m:e>
                      <m:r>
                        <m:rPr>
                          <m:sty m:val="p"/>
                        </m:rPr>
                        <m:t>C</m:t>
                      </m:r>
                      <m:sSup>
                        <m:e>
                          <m:r>
                            <m:rPr>
                              <m:sty m:val="p"/>
                            </m:rPr>
                            <m:t>a</m:t>
                          </m:r>
                        </m:e>
                        <m:sup>
                          <m:r>
                            <m:rPr>
                              <m:sty m:val="p"/>
                            </m:rPr>
                            <m:t>2</m:t>
                          </m:r>
                          <m:r>
                            <m:rPr>
                              <m:nor/>
                            </m:rPr>
                            <m:t>+</m:t>
                          </m:r>
                        </m:sup>
                      </m:sSup>
                    </m:e>
                  </m:d>
                </m:e>
                <m:sub>
                  <m:r>
                    <m:t>f</m:t>
                  </m:r>
                </m:sub>
              </m:sSub>
              <m:sSub>
                <m:e>
                  <m:d>
                    <m:dPr>
                      <m:begChr m:val="["/>
                      <m:sepChr m:val=""/>
                      <m:endChr m:val="]"/>
                      <m:grow/>
                    </m:dPr>
                    <m:e>
                      <m:r>
                        <m:rPr>
                          <m:sty m:val="p"/>
                        </m:rPr>
                        <m:t>C</m:t>
                      </m:r>
                      <m:sSubSup>
                        <m:e>
                          <m:r>
                            <m:rPr>
                              <m:sty m:val="p"/>
                            </m:rPr>
                            <m:t>O</m:t>
                          </m:r>
                        </m:e>
                        <m:sub>
                          <m:r>
                            <m:rPr>
                              <m:sty m:val="p"/>
                            </m:rPr>
                            <m:t>3</m:t>
                          </m:r>
                        </m:sub>
                        <m:sup>
                          <m:r>
                            <m:rPr>
                              <m:sty m:val="p"/>
                            </m:rPr>
                            <m:t>2</m:t>
                          </m:r>
                          <m:r>
                            <m:rPr>
                              <m:sty m:val="p"/>
                            </m:rPr>
                            <m:t>−</m:t>
                          </m:r>
                        </m:sup>
                      </m:sSubSup>
                    </m:e>
                  </m:d>
                </m:e>
                <m:sub>
                  <m:r>
                    <m:t>f</m:t>
                  </m:r>
                </m:sub>
              </m:sSub>
            </m:num>
            <m:den>
              <m:sSub>
                <m:e>
                  <m:r>
                    <m:t>K</m:t>
                  </m:r>
                </m:e>
                <m:sub>
                  <m:r>
                    <m:rPr>
                      <m:sty m:val="p"/>
                    </m:rPr>
                    <m:t>c</m:t>
                  </m:r>
                  <m:r>
                    <m:rPr>
                      <m:sty m:val="p"/>
                    </m:rPr>
                    <m:t>a</m:t>
                  </m:r>
                  <m:r>
                    <m:rPr>
                      <m:sty m:val="p"/>
                    </m:rPr>
                    <m:t>l</m:t>
                  </m:r>
                </m:sub>
              </m:sSub>
            </m:den>
          </m:f>
          <m:r>
            <m:rPr>
              <m:sty m:val="p"/>
            </m:rPr>
            <m:t>&lt;</m:t>
          </m:r>
          <m:r>
            <m:t>0</m:t>
          </m:r>
          <m:r>
            <m:t> </m:t>
          </m:r>
          <m:r>
            <m:rPr>
              <m:nor/>
            </m:rPr>
            <m:t>for</m:t>
          </m:r>
          <m:r>
            <m:t> </m:t>
          </m:r>
          <m:r>
            <m:t>0</m:t>
          </m:r>
          <m:r>
            <m:rPr>
              <m:sty m:val="p"/>
            </m:rPr>
            <m:t>&lt;</m:t>
          </m:r>
          <m:r>
            <m:t>f</m:t>
          </m:r>
          <m:r>
            <m:rPr>
              <m:sty m:val="p"/>
            </m:rPr>
            <m:t>&lt;</m:t>
          </m:r>
          <m:r>
            <m:t>1</m:t>
          </m:r>
          <m:r>
            <m:rPr>
              <m:sty m:val="p"/>
            </m:rPr>
            <m:t>,</m:t>
          </m:r>
          <m:r>
            <m:t>  </m:t>
          </m:r>
          <m:r>
            <m:rPr>
              <m:sty m:val="p"/>
            </m:rPr>
            <m:t>S</m:t>
          </m:r>
          <m:r>
            <m:rPr>
              <m:sty m:val="p"/>
            </m:rPr>
            <m:t>I</m:t>
          </m:r>
          <m:d>
            <m:dPr>
              <m:begChr m:val="("/>
              <m:sepChr m:val=""/>
              <m:endChr m:val=")"/>
              <m:grow/>
            </m:dPr>
            <m:e>
              <m:r>
                <m:t>0</m:t>
              </m:r>
            </m:e>
          </m:d>
          <m:r>
            <m:rPr>
              <m:sty m:val="p"/>
            </m:rPr>
            <m:t>=</m:t>
          </m:r>
          <m:r>
            <m:rPr>
              <m:sty m:val="p"/>
            </m:rPr>
            <m:t>S</m:t>
          </m:r>
          <m:r>
            <m:rPr>
              <m:sty m:val="p"/>
            </m:rPr>
            <m:t>I</m:t>
          </m:r>
          <m:d>
            <m:dPr>
              <m:begChr m:val="("/>
              <m:sepChr m:val=""/>
              <m:endChr m:val=")"/>
              <m:grow/>
            </m:dPr>
            <m:e>
              <m:r>
                <m:t>1</m:t>
              </m:r>
            </m:e>
          </m:d>
          <m:r>
            <m:rPr>
              <m:sty m:val="p"/>
            </m:rPr>
            <m:t>=</m:t>
          </m:r>
          <m:r>
            <m:t>0</m:t>
          </m:r>
        </m:oMath>
      </m:oMathPara>
    </w:p>
    <w:p>
      <w:pPr>
        <w:spacing w:after="120"/>
        <w:jc w:val="both"/>
      </w:pPr>
      <w:r>
        <w:t xml:space="preserve">where </w:t>
      </w:r>
      <m:oMath>
        <m:r>
          <m:t>f</m:t>
        </m:r>
      </m:oMath>
      <w:r>
        <w:t xml:space="preserve"> is the seawater fraction. In coastal carbonate aquifers this mixing corrosion creates porosity and, over long times, caves along the mixing zone [B13]. Whether the dissolution is fast enough to keep pace with mixing, and so whether models may assume equilibrium, depends on the field rate law near equilibrium, the part of the rate law that is least known (section 1.2).</w:t>
      </w:r>
    </w:p>
    <w:p>
      <w:pPr>
        <w:spacing w:after="120"/>
        <w:jc w:val="both"/>
      </w:pPr>
      <w:r>
        <w:t xml:space="preserve">The nonlinear carbonate chemistry behind mixing corrosion is the same that makes the carbon yield of alkalinity a steep function of pH along the freshwater–seawater continuum [P5]. The dissolution of calcite in seawater near equilibrium, which decides how fast mixing corrosion proceeds, is the subject of [C4] and [O3], and the convective mixing that brings the waters together is the subject of [C3].</w:t>
      </w:r>
    </w:p>
    <w:p>
      <w:pPr>
        <w:pStyle w:val="Heading3"/>
      </w:pPr>
      <w:r>
        <w:rPr>
          <w:color w:val="1F3864"/>
        </w:rPr>
        <w:t xml:space="preserve">1.6 Reactive transport with feedback</w:t>
      </w:r>
    </w:p>
    <w:p>
      <w:pPr>
        <w:spacing w:after="120"/>
        <w:jc w:val="both"/>
      </w:pPr>
      <w:r>
        <w:t xml:space="preserve">Dissolution increases porosity and permeability; flow then focuses where dissolution has already advanced, which accelerates it further. A planar dissolution front is unstable to this reaction-infiltration feedback [B7], and the instability grows into wormholes and channels [B8]. With the Kozeny–Carman relation, the feedback is:</w:t>
      </w:r>
    </w:p>
    <w:p>
      <w:pPr>
        <w:pStyle w:val="Equation"/>
      </w:pPr>
      <m:oMathPara>
        <m:oMathParaPr>
          <m:jc m:val="center"/>
        </m:oMathParaPr>
        <m:oMath>
          <m:f>
            <m:fPr>
              <m:type m:val="bar"/>
            </m:fPr>
            <m:num>
              <m:r>
                <m:rPr>
                  <m:sty m:val="p"/>
                </m:rPr>
                <m:t>∂</m:t>
              </m:r>
              <m:r>
                <m:t>ϕ</m:t>
              </m:r>
            </m:num>
            <m:den>
              <m:r>
                <m:rPr>
                  <m:sty m:val="p"/>
                </m:rPr>
                <m:t>∂</m:t>
              </m:r>
              <m:r>
                <m:t>t</m:t>
              </m:r>
            </m:den>
          </m:f>
          <m:r>
            <m:rPr>
              <m:sty m:val="p"/>
            </m:rPr>
            <m:t>=</m:t>
          </m:r>
          <m:sSub>
            <m:e>
              <m:r>
                <m:t>v</m:t>
              </m:r>
            </m:e>
            <m:sub>
              <m:r>
                <m:t>m</m:t>
              </m:r>
            </m:sub>
          </m:sSub>
          <m:r>
            <m:t> </m:t>
          </m:r>
          <m:r>
            <m:t>r</m:t>
          </m:r>
          <m:r>
            <m:rPr>
              <m:sty m:val="p"/>
            </m:rPr>
            <m:t>,</m:t>
          </m:r>
          <m:r>
            <m:t>  </m:t>
          </m:r>
          <m:r>
            <m:t>k</m:t>
          </m:r>
          <m:d>
            <m:dPr>
              <m:begChr m:val="("/>
              <m:sepChr m:val=""/>
              <m:endChr m:val=")"/>
              <m:grow/>
            </m:dPr>
            <m:e>
              <m:r>
                <m:t>ϕ</m:t>
              </m:r>
            </m:e>
          </m:d>
          <m:r>
            <m:rPr>
              <m:sty m:val="p"/>
            </m:rPr>
            <m:t>=</m:t>
          </m:r>
          <m:sSub>
            <m:e>
              <m:r>
                <m:t>k</m:t>
              </m:r>
            </m:e>
            <m:sub>
              <m:r>
                <m:t>0</m:t>
              </m:r>
            </m:sub>
          </m:sSub>
          <m:f>
            <m:fPr>
              <m:type m:val="bar"/>
            </m:fPr>
            <m:num>
              <m:sSup>
                <m:e>
                  <m:r>
                    <m:t>ϕ</m:t>
                  </m:r>
                </m:e>
                <m:sup>
                  <m:r>
                    <m:t>3</m:t>
                  </m:r>
                </m:sup>
              </m:sSup>
              <m:sSup>
                <m:e>
                  <m:d>
                    <m:dPr>
                      <m:begChr m:val="("/>
                      <m:sepChr m:val=""/>
                      <m:endChr m:val=")"/>
                      <m:grow/>
                    </m:dPr>
                    <m:e>
                      <m:r>
                        <m:t>1</m:t>
                      </m:r>
                      <m:r>
                        <m:rPr>
                          <m:sty m:val="p"/>
                        </m:rPr>
                        <m:t>−</m:t>
                      </m:r>
                      <m:sSub>
                        <m:e>
                          <m:r>
                            <m:t>ϕ</m:t>
                          </m:r>
                        </m:e>
                        <m:sub>
                          <m:r>
                            <m:t>0</m:t>
                          </m:r>
                        </m:sub>
                      </m:sSub>
                    </m:e>
                  </m:d>
                </m:e>
                <m:sup>
                  <m:r>
                    <m:t>2</m:t>
                  </m:r>
                </m:sup>
              </m:sSup>
            </m:num>
            <m:den>
              <m:sSubSup>
                <m:e>
                  <m:r>
                    <m:t>ϕ</m:t>
                  </m:r>
                </m:e>
                <m:sub>
                  <m:r>
                    <m:t>0</m:t>
                  </m:r>
                </m:sub>
                <m:sup>
                  <m:r>
                    <m:t>3</m:t>
                  </m:r>
                </m:sup>
              </m:sSubSup>
              <m:sSup>
                <m:e>
                  <m:d>
                    <m:dPr>
                      <m:begChr m:val="("/>
                      <m:sepChr m:val=""/>
                      <m:endChr m:val=")"/>
                      <m:grow/>
                    </m:dPr>
                    <m:e>
                      <m:r>
                        <m:t>1</m:t>
                      </m:r>
                      <m:r>
                        <m:rPr>
                          <m:sty m:val="p"/>
                        </m:rPr>
                        <m:t>−</m:t>
                      </m:r>
                      <m:r>
                        <m:t>ϕ</m:t>
                      </m:r>
                    </m:e>
                  </m:d>
                </m:e>
                <m:sup>
                  <m:r>
                    <m:t>2</m:t>
                  </m:r>
                </m:sup>
              </m:sSup>
            </m:den>
          </m:f>
          <m:r>
            <m:rPr>
              <m:sty m:val="p"/>
            </m:rPr>
            <m:t>,</m:t>
          </m:r>
          <m:r>
            <m:t>  </m:t>
          </m:r>
          <m:r>
            <m:rPr>
              <m:sty m:val="b"/>
            </m:rPr>
            <m:t>q</m:t>
          </m:r>
          <m:r>
            <m:rPr>
              <m:sty m:val="p"/>
            </m:rPr>
            <m:t>=</m:t>
          </m:r>
          <m:r>
            <m:rPr>
              <m:sty m:val="p"/>
            </m:rPr>
            <m:t>−</m:t>
          </m:r>
          <m:f>
            <m:fPr>
              <m:type m:val="bar"/>
            </m:fPr>
            <m:num>
              <m:r>
                <m:t>k</m:t>
              </m:r>
              <m:d>
                <m:dPr>
                  <m:begChr m:val="("/>
                  <m:sepChr m:val=""/>
                  <m:endChr m:val=")"/>
                  <m:grow/>
                </m:dPr>
                <m:e>
                  <m:r>
                    <m:t>ϕ</m:t>
                  </m:r>
                </m:e>
              </m:d>
            </m:num>
            <m:den>
              <m:r>
                <m:t>μ</m:t>
              </m:r>
            </m:den>
          </m:f>
          <m:r>
            <m:rPr>
              <m:sty m:val="p"/>
            </m:rPr>
            <m:t>∇</m:t>
          </m:r>
          <m:r>
            <m:t>p</m:t>
          </m:r>
        </m:oMath>
      </m:oMathPara>
    </w:p>
    <w:p>
      <w:pPr>
        <w:spacing w:after="120"/>
        <w:jc w:val="both"/>
      </w:pPr>
      <w:r>
        <w:t xml:space="preserve">where </w:t>
      </w:r>
      <m:oMath>
        <m:sSub>
          <m:e>
            <m:r>
              <m:t>v</m:t>
            </m:r>
          </m:e>
          <m:sub>
            <m:r>
              <m:t>m</m:t>
            </m:r>
          </m:sub>
        </m:sSub>
      </m:oMath>
      <w:r>
        <w:t xml:space="preserve"> is the molar volume of the mineral. Precipitation has the opposite feedback: it clogs pores, reduces flow and can stop itself, or it can generate crystallization pressure when it occurs in confined pores [B9], </w:t>
      </w:r>
      <m:oMath>
        <m:r>
          <m:t>Δ</m:t>
        </m:r>
        <m:r>
          <m:t>P</m:t>
        </m:r>
        <m:r>
          <m:rPr>
            <m:sty m:val="p"/>
          </m:rPr>
          <m:t>=</m:t>
        </m:r>
        <m:d>
          <m:dPr>
            <m:begChr m:val="("/>
            <m:sepChr m:val=""/>
            <m:endChr m:val=")"/>
            <m:grow/>
          </m:dPr>
          <m:e>
            <m:r>
              <m:t>R</m:t>
            </m:r>
            <m:r>
              <m:t>T</m:t>
            </m:r>
            <m:r>
              <m:rPr>
                <m:sty m:val="p"/>
              </m:rPr>
              <m:t>/</m:t>
            </m:r>
            <m:sSub>
              <m:e>
                <m:r>
                  <m:t>v</m:t>
                </m:r>
              </m:e>
              <m:sub>
                <m:r>
                  <m:t>m</m:t>
                </m:r>
              </m:sub>
            </m:sSub>
          </m:e>
        </m:d>
        <m:r>
          <m:rPr>
            <m:sty m:val="p"/>
          </m:rPr>
          <m:t>ln</m:t>
        </m:r>
        <m:r>
          <m:t>Ω</m:t>
        </m:r>
      </m:oMath>
      <w:r>
        <w:t xml:space="preserve">, enough to fracture rock and open new flow paths. Both feedbacks make the system nonlinear: the result depends on the history, and small differences can grow.</w:t>
      </w:r>
    </w:p>
    <w:p>
      <w:pPr>
        <w:spacing w:after="120"/>
        <w:jc w:val="both"/>
      </w:pPr>
      <w:r>
        <w:t xml:space="preserve">The reaction-infiltration feedback, combined with a shear-driven instability, is analyzed in [O1] and reviewed in [O2]. A growing solid can promote rather than block flow [C1]; the history dependence of porosity, permeability and reactive surface is learned by a neural operator inside two-scale homogenization in [C2]; and precipitation that clogs pores behind an evaporation front is modeled in [O5].</w:t>
      </w:r>
    </w:p>
    <w:p>
      <w:pPr>
        <w:pStyle w:val="Heading3"/>
      </w:pPr>
      <w:r>
        <w:rPr>
          <w:color w:val="1F3864"/>
        </w:rPr>
        <w:t xml:space="preserve">1.7 Isotopic disequilibrium</w:t>
      </w:r>
    </w:p>
    <w:p>
      <w:pPr>
        <w:spacing w:after="120"/>
        <w:jc w:val="both"/>
      </w:pPr>
      <w:r>
        <w:t xml:space="preserve">Isotopes record whether a reaction proceeded near or far from equilibrium. When a mineral grows at a net rate </w:t>
      </w:r>
      <m:oMath>
        <m:sSub>
          <m:e>
            <m:r>
              <m:t>R</m:t>
            </m:r>
          </m:e>
          <m:sub>
            <m:r>
              <m:t>p</m:t>
            </m:r>
          </m:sub>
        </m:sSub>
        <m:r>
          <m:rPr>
            <m:sty m:val="p"/>
          </m:rPr>
          <m:t>=</m:t>
        </m:r>
        <m:sSub>
          <m:e>
            <m:r>
              <m:t>R</m:t>
            </m:r>
          </m:e>
          <m:sub>
            <m:r>
              <m:t>f</m:t>
            </m:r>
          </m:sub>
        </m:sSub>
        <m:r>
          <m:rPr>
            <m:sty m:val="p"/>
          </m:rPr>
          <m:t>−</m:t>
        </m:r>
        <m:sSub>
          <m:e>
            <m:r>
              <m:t>R</m:t>
            </m:r>
          </m:e>
          <m:sub>
            <m:r>
              <m:t>b</m:t>
            </m:r>
          </m:sub>
        </m:sSub>
      </m:oMath>
      <w:r>
        <w:t xml:space="preserve">, the difference of a forward and a backward flux, the steady fractionation between solid and solution lies between the kinetic and the equilibrium value [B10]:</w:t>
      </w:r>
    </w:p>
    <w:p>
      <w:pPr>
        <w:pStyle w:val="Equation"/>
      </w:pPr>
      <m:oMathPara>
        <m:oMathParaPr>
          <m:jc m:val="center"/>
        </m:oMathParaPr>
        <m:oMath>
          <m:sSub>
            <m:e>
              <m:r>
                <m:t>α</m:t>
              </m:r>
            </m:e>
            <m:sub>
              <m:r>
                <m:t>p</m:t>
              </m:r>
            </m:sub>
          </m:sSub>
          <m:r>
            <m:rPr>
              <m:sty m:val="p"/>
            </m:rPr>
            <m:t>=</m:t>
          </m:r>
          <m:f>
            <m:fPr>
              <m:type m:val="bar"/>
            </m:fPr>
            <m:num>
              <m:sSub>
                <m:e>
                  <m:r>
                    <m:t>α</m:t>
                  </m:r>
                </m:e>
                <m:sub>
                  <m:r>
                    <m:t>f</m:t>
                  </m:r>
                </m:sub>
              </m:sSub>
              <m:d>
                <m:dPr>
                  <m:begChr m:val="("/>
                  <m:sepChr m:val=""/>
                  <m:endChr m:val=")"/>
                  <m:grow/>
                </m:dPr>
                <m:e>
                  <m:r>
                    <m:t>1</m:t>
                  </m:r>
                  <m:r>
                    <m:rPr>
                      <m:sty m:val="p"/>
                    </m:rPr>
                    <m:t>+</m:t>
                  </m:r>
                  <m:sSub>
                    <m:e>
                      <m:r>
                        <m:t>R</m:t>
                      </m:r>
                    </m:e>
                    <m:sub>
                      <m:r>
                        <m:t>b</m:t>
                      </m:r>
                    </m:sub>
                  </m:sSub>
                  <m:r>
                    <m:rPr>
                      <m:sty m:val="p"/>
                    </m:rPr>
                    <m:t>/</m:t>
                  </m:r>
                  <m:sSub>
                    <m:e>
                      <m:r>
                        <m:t>R</m:t>
                      </m:r>
                    </m:e>
                    <m:sub>
                      <m:r>
                        <m:t>p</m:t>
                      </m:r>
                    </m:sub>
                  </m:sSub>
                </m:e>
              </m:d>
            </m:num>
            <m:den>
              <m:r>
                <m:t>1</m:t>
              </m:r>
              <m:r>
                <m:rPr>
                  <m:sty m:val="p"/>
                </m:rPr>
                <m:t>+</m:t>
              </m:r>
              <m:d>
                <m:dPr>
                  <m:begChr m:val="("/>
                  <m:sepChr m:val=""/>
                  <m:endChr m:val=")"/>
                  <m:grow/>
                </m:dPr>
                <m:e>
                  <m:sSub>
                    <m:e>
                      <m:r>
                        <m:t>α</m:t>
                      </m:r>
                    </m:e>
                    <m:sub>
                      <m:r>
                        <m:t>f</m:t>
                      </m:r>
                    </m:sub>
                  </m:sSub>
                  <m:r>
                    <m:rPr>
                      <m:sty m:val="p"/>
                    </m:rPr>
                    <m:t>/</m:t>
                  </m:r>
                  <m:sSub>
                    <m:e>
                      <m:r>
                        <m:t>α</m:t>
                      </m:r>
                    </m:e>
                    <m:sub>
                      <m:r>
                        <m:rPr>
                          <m:sty m:val="p"/>
                        </m:rPr>
                        <m:t>e</m:t>
                      </m:r>
                      <m:r>
                        <m:rPr>
                          <m:sty m:val="p"/>
                        </m:rPr>
                        <m:t>q</m:t>
                      </m:r>
                    </m:sub>
                  </m:sSub>
                </m:e>
              </m:d>
              <m:sSub>
                <m:e>
                  <m:r>
                    <m:t>R</m:t>
                  </m:r>
                </m:e>
                <m:sub>
                  <m:r>
                    <m:t>b</m:t>
                  </m:r>
                </m:sub>
              </m:sSub>
              <m:r>
                <m:rPr>
                  <m:sty m:val="p"/>
                </m:rPr>
                <m:t>/</m:t>
              </m:r>
              <m:sSub>
                <m:e>
                  <m:r>
                    <m:t>R</m:t>
                  </m:r>
                </m:e>
                <m:sub>
                  <m:r>
                    <m:t>p</m:t>
                  </m:r>
                </m:sub>
              </m:sSub>
            </m:den>
          </m:f>
          <m:r>
            <m:t>  </m:t>
          </m:r>
          <m:d>
            <m:dPr>
              <m:begChr m:val="("/>
              <m:sepChr m:val=""/>
              <m:endChr m:val=")"/>
              <m:grow/>
            </m:dPr>
            <m:e>
              <m:sSub>
                <m:e>
                  <m:r>
                    <m:t>α</m:t>
                  </m:r>
                </m:e>
                <m:sub>
                  <m:r>
                    <m:t>p</m:t>
                  </m:r>
                </m:sub>
              </m:sSub>
              <m:r>
                <m:rPr>
                  <m:sty m:val="p"/>
                </m:rPr>
                <m:t>→</m:t>
              </m:r>
              <m:sSub>
                <m:e>
                  <m:r>
                    <m:t>α</m:t>
                  </m:r>
                </m:e>
                <m:sub>
                  <m:r>
                    <m:t>f</m:t>
                  </m:r>
                </m:sub>
              </m:sSub>
              <m:r>
                <m:t> </m:t>
              </m:r>
              <m:r>
                <m:rPr>
                  <m:nor/>
                </m:rPr>
                <m:t>for</m:t>
              </m:r>
              <m:r>
                <m:t> </m:t>
              </m:r>
              <m:sSub>
                <m:e>
                  <m:r>
                    <m:t>R</m:t>
                  </m:r>
                </m:e>
                <m:sub>
                  <m:r>
                    <m:t>b</m:t>
                  </m:r>
                </m:sub>
              </m:sSub>
              <m:r>
                <m:rPr>
                  <m:sty m:val="p"/>
                </m:rPr>
                <m:t>≪</m:t>
              </m:r>
              <m:sSub>
                <m:e>
                  <m:r>
                    <m:t>R</m:t>
                  </m:r>
                </m:e>
                <m:sub>
                  <m:r>
                    <m:t>p</m:t>
                  </m:r>
                </m:sub>
              </m:sSub>
              <m:r>
                <m:rPr>
                  <m:sty m:val="p"/>
                </m:rPr>
                <m:t>,</m:t>
              </m:r>
              <m:r>
                <m:t> </m:t>
              </m:r>
              <m:sSub>
                <m:e>
                  <m:r>
                    <m:t>α</m:t>
                  </m:r>
                </m:e>
                <m:sub>
                  <m:r>
                    <m:t>p</m:t>
                  </m:r>
                </m:sub>
              </m:sSub>
              <m:r>
                <m:rPr>
                  <m:sty m:val="p"/>
                </m:rPr>
                <m:t>→</m:t>
              </m:r>
              <m:sSub>
                <m:e>
                  <m:r>
                    <m:t>α</m:t>
                  </m:r>
                </m:e>
                <m:sub>
                  <m:r>
                    <m:rPr>
                      <m:sty m:val="p"/>
                    </m:rPr>
                    <m:t>e</m:t>
                  </m:r>
                  <m:r>
                    <m:rPr>
                      <m:sty m:val="p"/>
                    </m:rPr>
                    <m:t>q</m:t>
                  </m:r>
                </m:sub>
              </m:sSub>
              <m:r>
                <m:t> </m:t>
              </m:r>
              <m:r>
                <m:rPr>
                  <m:nor/>
                </m:rPr>
                <m:t>for</m:t>
              </m:r>
              <m:r>
                <m:t> </m:t>
              </m:r>
              <m:sSub>
                <m:e>
                  <m:r>
                    <m:t>R</m:t>
                  </m:r>
                </m:e>
                <m:sub>
                  <m:r>
                    <m:t>b</m:t>
                  </m:r>
                </m:sub>
              </m:sSub>
              <m:r>
                <m:rPr>
                  <m:sty m:val="p"/>
                </m:rPr>
                <m:t>≫</m:t>
              </m:r>
              <m:sSub>
                <m:e>
                  <m:r>
                    <m:t>R</m:t>
                  </m:r>
                </m:e>
                <m:sub>
                  <m:r>
                    <m:t>p</m:t>
                  </m:r>
                </m:sub>
              </m:sSub>
            </m:e>
          </m:d>
        </m:oMath>
      </m:oMathPara>
    </w:p>
    <w:p>
      <w:pPr>
        <w:spacing w:after="120"/>
        <w:jc w:val="both"/>
      </w:pPr>
      <w:r>
        <w:t xml:space="preserve">where </w:t>
      </w:r>
      <m:oMath>
        <m:sSub>
          <m:e>
            <m:r>
              <m:t>α</m:t>
            </m:r>
          </m:e>
          <m:sub>
            <m:r>
              <m:t>f</m:t>
            </m:r>
          </m:sub>
        </m:sSub>
      </m:oMath>
      <w:r>
        <w:t xml:space="preserve"> is the kinetic fractionation of the forward reaction and </w:t>
      </w:r>
      <m:oMath>
        <m:sSub>
          <m:e>
            <m:r>
              <m:t>α</m:t>
            </m:r>
          </m:e>
          <m:sub>
            <m:r>
              <m:rPr>
                <m:sty m:val="p"/>
              </m:rPr>
              <m:t>e</m:t>
            </m:r>
            <m:r>
              <m:rPr>
                <m:sty m:val="p"/>
              </m:rPr>
              <m:t>q</m:t>
            </m:r>
          </m:sub>
        </m:sSub>
      </m:oMath>
      <w:r>
        <w:t xml:space="preserve"> the equilibrium fractionation. Isotope ratios and trace elements of carbonates, and the clumped isotopes of dissolved carbon, therefore carry information on the rates and the distance from equilibrium, which the major-element chemistry does not.</w:t>
      </w:r>
    </w:p>
    <w:p>
      <w:pPr>
        <w:spacing w:after="120"/>
        <w:jc w:val="both"/>
      </w:pPr>
      <w:r>
        <w:t xml:space="preserve">Clumped and calcium isotopes measured on the same seep carbonates separate disequilibrium from mixing of carbon sources and from fast precipitation [C6]; field pairs of calcium-isotope fractionation and precipitation rate test the surface kinetic model of this section [P2]; and noble gases with clumped isotopes detect a microbial reaction far from equilibrium in a reservoir [O7].</w:t>
      </w:r>
    </w:p>
    <w:p>
      <w:pPr>
        <w:pStyle w:val="Heading3"/>
      </w:pPr>
      <w:r>
        <w:rPr>
          <w:color w:val="1F3864"/>
        </w:rPr>
        <w:t xml:space="preserve">1.8 Nonlinear biogeochemical dynamics</w:t>
      </w:r>
    </w:p>
    <w:p>
      <w:pPr>
        <w:spacing w:after="120"/>
        <w:jc w:val="both"/>
      </w:pPr>
      <w:r>
        <w:t xml:space="preserve">Microbial reactions follow saturating kinetics, and the electron acceptors are used in sequence (the redox ladder). The Monod law with an inhibition term is the standard nonlinear form [B14]:</w:t>
      </w:r>
    </w:p>
    <w:p>
      <w:pPr>
        <w:pStyle w:val="Equation"/>
      </w:pPr>
      <m:oMathPara>
        <m:oMathParaPr>
          <m:jc m:val="center"/>
        </m:oMathParaPr>
        <m:oMath>
          <m:r>
            <m:t>r</m:t>
          </m:r>
          <m:r>
            <m:rPr>
              <m:sty m:val="p"/>
            </m:rPr>
            <m:t>=</m:t>
          </m:r>
          <m:sSub>
            <m:e>
              <m:r>
                <m:t>μ</m:t>
              </m:r>
            </m:e>
            <m:sub>
              <m:r>
                <m:rPr>
                  <m:sty m:val="p"/>
                </m:rPr>
                <m:t>max</m:t>
              </m:r>
            </m:sub>
          </m:sSub>
          <m:r>
            <m:t>X</m:t>
          </m:r>
          <m:r>
            <m:t> </m:t>
          </m:r>
          <m:f>
            <m:fPr>
              <m:type m:val="bar"/>
            </m:fPr>
            <m:num>
              <m:sSub>
                <m:e>
                  <m:r>
                    <m:t>c</m:t>
                  </m:r>
                </m:e>
                <m:sub>
                  <m:r>
                    <m:t>D</m:t>
                  </m:r>
                </m:sub>
              </m:sSub>
            </m:num>
            <m:den>
              <m:sSub>
                <m:e>
                  <m:r>
                    <m:t>K</m:t>
                  </m:r>
                </m:e>
                <m:sub>
                  <m:r>
                    <m:t>D</m:t>
                  </m:r>
                </m:sub>
              </m:sSub>
              <m:r>
                <m:rPr>
                  <m:sty m:val="p"/>
                </m:rPr>
                <m:t>+</m:t>
              </m:r>
              <m:sSub>
                <m:e>
                  <m:r>
                    <m:t>c</m:t>
                  </m:r>
                </m:e>
                <m:sub>
                  <m:r>
                    <m:t>D</m:t>
                  </m:r>
                </m:sub>
              </m:sSub>
            </m:den>
          </m:f>
          <m:r>
            <m:t> </m:t>
          </m:r>
          <m:f>
            <m:fPr>
              <m:type m:val="bar"/>
            </m:fPr>
            <m:num>
              <m:sSub>
                <m:e>
                  <m:r>
                    <m:t>c</m:t>
                  </m:r>
                </m:e>
                <m:sub>
                  <m:r>
                    <m:t>A</m:t>
                  </m:r>
                </m:sub>
              </m:sSub>
            </m:num>
            <m:den>
              <m:sSub>
                <m:e>
                  <m:r>
                    <m:t>K</m:t>
                  </m:r>
                </m:e>
                <m:sub>
                  <m:r>
                    <m:t>A</m:t>
                  </m:r>
                </m:sub>
              </m:sSub>
              <m:r>
                <m:rPr>
                  <m:sty m:val="p"/>
                </m:rPr>
                <m:t>+</m:t>
              </m:r>
              <m:sSub>
                <m:e>
                  <m:r>
                    <m:t>c</m:t>
                  </m:r>
                </m:e>
                <m:sub>
                  <m:r>
                    <m:t>A</m:t>
                  </m:r>
                </m:sub>
              </m:sSub>
            </m:den>
          </m:f>
          <m:r>
            <m:t> </m:t>
          </m:r>
          <m:f>
            <m:fPr>
              <m:type m:val="bar"/>
            </m:fPr>
            <m:num>
              <m:sSub>
                <m:e>
                  <m:r>
                    <m:t>K</m:t>
                  </m:r>
                </m:e>
                <m:sub>
                  <m:r>
                    <m:t>I</m:t>
                  </m:r>
                </m:sub>
              </m:sSub>
            </m:num>
            <m:den>
              <m:sSub>
                <m:e>
                  <m:r>
                    <m:t>K</m:t>
                  </m:r>
                </m:e>
                <m:sub>
                  <m:r>
                    <m:t>I</m:t>
                  </m:r>
                </m:sub>
              </m:sSub>
              <m:r>
                <m:rPr>
                  <m:sty m:val="p"/>
                </m:rPr>
                <m:t>+</m:t>
              </m:r>
              <m:sSub>
                <m:e>
                  <m:r>
                    <m:t>c</m:t>
                  </m:r>
                </m:e>
                <m:sub>
                  <m:r>
                    <m:t>I</m:t>
                  </m:r>
                </m:sub>
              </m:sSub>
            </m:den>
          </m:f>
        </m:oMath>
      </m:oMathPara>
    </w:p>
    <w:p>
      <w:pPr>
        <w:spacing w:after="120"/>
        <w:jc w:val="both"/>
      </w:pPr>
      <w:r>
        <w:t xml:space="preserve">where </w:t>
      </w:r>
      <m:oMath>
        <m:r>
          <m:t>X</m:t>
        </m:r>
      </m:oMath>
      <w:r>
        <w:t xml:space="preserve"> is the biomass, </w:t>
      </w:r>
      <m:oMath>
        <m:sSub>
          <m:e>
            <m:r>
              <m:t>c</m:t>
            </m:r>
          </m:e>
          <m:sub>
            <m:r>
              <m:t>D</m:t>
            </m:r>
          </m:sub>
        </m:sSub>
      </m:oMath>
      <w:r>
        <w:t xml:space="preserve">, </w:t>
      </w:r>
      <m:oMath>
        <m:sSub>
          <m:e>
            <m:r>
              <m:t>c</m:t>
            </m:r>
          </m:e>
          <m:sub>
            <m:r>
              <m:t>A</m:t>
            </m:r>
          </m:sub>
        </m:sSub>
      </m:oMath>
      <w:r>
        <w:t xml:space="preserve"> and </w:t>
      </w:r>
      <m:oMath>
        <m:sSub>
          <m:e>
            <m:r>
              <m:t>c</m:t>
            </m:r>
          </m:e>
          <m:sub>
            <m:r>
              <m:t>I</m:t>
            </m:r>
          </m:sub>
        </m:sSub>
      </m:oMath>
      <w:r>
        <w:t xml:space="preserve"> the concentrations of electron donor, acceptor and inhibitor, and </w:t>
      </w:r>
      <m:oMath>
        <m:r>
          <m:t>K</m:t>
        </m:r>
      </m:oMath>
      <w:r>
        <w:t xml:space="preserve"> the half-saturation and inhibition constants. Coupled to hydrological forcing that is itself random in time (rainfall, recharge, tides, pumping), such kinetics produce thresholds, hysteresis and bursts of reaction that average models miss; soil pH and weathering respond nonlinearly to the same forcing.</w:t>
      </w:r>
    </w:p>
    <w:p>
      <w:pPr>
        <w:spacing w:after="120"/>
        <w:jc w:val="both"/>
      </w:pPr>
      <w:r>
        <w:t xml:space="preserve">Iron reduction in soils driven by random wetting shows a resonance between hydrological forcing and redox kinetics [P3]. Anaerobic oxidation of methane by microbial consortia is limited by ohmic and activation losses of electron transfer [C7]; microbes convert stored CO₂ to methane within years [O7]; and mineral–organic interfaces are redox reactors [P6].</w:t>
      </w:r>
    </w:p>
    <w:p>
      <w:pPr>
        <w:pStyle w:val="Heading3"/>
      </w:pPr>
      <w:r>
        <w:rPr>
          <w:color w:val="1F3864"/>
        </w:rPr>
        <w:t xml:space="preserve">1.9 Coupled chemo-mechanical processes</w:t>
      </w:r>
    </w:p>
    <w:p>
      <w:pPr>
        <w:spacing w:after="120"/>
        <w:jc w:val="both"/>
      </w:pPr>
      <w:r>
        <w:t xml:space="preserve">Reactions and mechanics are coupled in both directions. Pressure solution dissolves grains at stressed contacts and reprecipitates them in pores; reaction-driven volume change, as in carbonation of reactive rocks, builds stress and fractures the rock; crystallization of salts in pores, the cause of salt weathering, depends on supersaturation, pore size and drying [B9]. In all of these the rate depends on the distance from equilibrium, which in turn depends on the mechanical state, a nonlinear loop that equilibrium models cannot represent.</w:t>
      </w:r>
    </w:p>
    <w:p>
      <w:pPr>
        <w:spacing w:after="120"/>
        <w:jc w:val="both"/>
      </w:pPr>
      <w:r>
        <w:t xml:space="preserve">Precipitation that clogs pores behind an evaporation front, the mechanism of salt efflorescence, is modeled in [O5]; the coupling of reaction with deformation of a compacting matrix and with shear appears in [O1] and [O2]; and a solid crust growing on a moving gas–water interface is treated in [C1].</w:t>
      </w:r>
    </w:p>
    <w:p>
      <w:pPr>
        <w:pStyle w:val="Heading3"/>
      </w:pPr>
      <w:r>
        <w:rPr>
          <w:color w:val="1F3864"/>
        </w:rPr>
        <w:t xml:space="preserve">1.10 From the theory to the coastal aquifer</w:t>
      </w:r>
    </w:p>
    <w:p>
      <w:pPr>
        <w:spacing w:after="120"/>
        <w:jc w:val="both"/>
      </w:pPr>
      <w:r>
        <w:t xml:space="preserve">In the mixing zone of a coastal aquifer, the waters of the two end members are close to calcite equilibrium, and their mixtures are slightly undersaturated (section 1.5). The dissolution rate there depends on a field rate prefactor that is uncertain by orders of magnitude (section 1.1), on the rate law near equilibrium, where mechanisms change (section 1.2), and on the mixing itself (section 1.4). Section 8, with speciation by PHREEQC [B18], asks which data decide whether the mixing zone is at equilibrium, laboratory rates measured far from or near equilibrium, or calcium measured in the field, and compares the goal-oriented answer with the parameter-oriented one.</w:t>
      </w:r>
    </w:p>
    <w:p>
      <w:pPr>
        <w:spacing w:after="120"/>
        <w:jc w:val="both"/>
      </w:pPr>
      <w:r>
        <w:t xml:space="preserve">The papers that bear most directly on this question are the near-equilibrium rate law of calcite in seawater [C4, O3], the gap between laboratory and field rates [P4, O6] and the mixing at density interfaces [C3].</w:t>
      </w:r>
    </w:p>
    <w:p>
      <w:pPr>
        <w:spacing w:after="200"/>
      </w:pPr>
    </w:p>
    <w:p>
      <w:pPr>
        <w:pStyle w:val="Heading1"/>
      </w:pPr>
      <w:r>
        <w:rPr>
          <w:color w:val="1F3864"/>
        </w:rPr>
        <w:t xml:space="preserve">2. Search methodology</w:t>
      </w:r>
    </w:p>
    <w:p>
      <w:pPr>
        <w:spacing w:after="120"/>
        <w:jc w:val="both"/>
      </w:pPr>
      <w:r>
        <w:t xml:space="preserve">The search covers 1 January 2020 to 20 October 2026 and three institutions, in the order of the request: Oxford (7 papers), Caltech (7) and Princeton (6). The topic was taken as hydrogeochemistry in which equilibrium and linearity are not assumed: rate laws near and far from equilibrium and changes of mechanism; the gap between laboratory and field rates; non-equilibrium thermodynamics of reacting porous media; mixing-driven reactions and convection; reactive transport with porosity–permeability and clogging feedbacks; isotopic disequilibrium; nonlinear microbial and redox dynamics under random forcing; and coupled chemo-mechanical processes.</w:t>
      </w:r>
    </w:p>
    <w:p>
      <w:pPr>
        <w:pStyle w:val="ListParagraph"/>
        <w:numPr>
          <w:ilvl w:val="0"/>
          <w:numId w:val="2"/>
        </w:numPr>
        <w:spacing w:after="60"/>
        <w:jc w:val="both"/>
      </w:pPr>
      <w:r>
        <w:rPr>
          <w:b/>
          <w:bCs/>
        </w:rPr>
        <w:t xml:space="preserve">Sources:</w:t>
      </w:r>
      <w:r>
        <w:t xml:space="preserve"> publisher pages (Oxford University Press for the RAS, Annual Reviews, the Royal Society of Chemistry, Cambridge University Press, the American Astronomical Society, Nature Portfolio, PNAS, AGU and Wiley, the American Physical Society, Elsevier and the American Society for Microbiology), arXiv, institutional repositories (Oxford's ORA, CaltechAUTHORS, the Princeton research portal, the St Andrews and Warwick repositories), PubMed Central and the pages of the research groups and departments.</w:t>
      </w:r>
    </w:p>
    <w:p>
      <w:pPr>
        <w:pStyle w:val="ListParagraph"/>
        <w:numPr>
          <w:ilvl w:val="0"/>
          <w:numId w:val="2"/>
        </w:numPr>
        <w:spacing w:after="60"/>
        <w:jc w:val="both"/>
      </w:pPr>
      <w:r>
        <w:rPr>
          <w:b/>
          <w:bCs/>
        </w:rPr>
        <w:t xml:space="preserve">Limits of verification:</w:t>
      </w:r>
      <w:r>
        <w:t xml:space="preserve"> in this environment the publisher pages, Crossref and arXiv could not be opened directly; all bibliographic data and affiliations were verified from search-engine summaries of these pages, and no full text was read. The key equations are therefore </w:t>
      </w:r>
      <w:r>
        <w:rPr>
          <w:i/>
          <w:iCs/>
        </w:rPr>
        <w:t xml:space="preserve">representative formulations</w:t>
      </w:r>
      <w:r>
        <w:t xml:space="preserve"> of each paper's framework, not quotations, and the classical references of Part I are marked as not verified. The fields that remain uncertain are listed on the cards and in the closing note.</w:t>
      </w:r>
    </w:p>
    <w:p>
      <w:pPr>
        <w:pStyle w:val="ListParagraph"/>
        <w:numPr>
          <w:ilvl w:val="0"/>
          <w:numId w:val="2"/>
        </w:numPr>
        <w:spacing w:after="60"/>
        <w:jc w:val="both"/>
      </w:pPr>
      <w:r>
        <w:rPr>
          <w:b/>
          <w:bCs/>
        </w:rPr>
        <w:t xml:space="preserve">Inclusion criteria:</w:t>
      </w:r>
      <w:r>
        <w:t xml:space="preserve"> (i) peer-reviewed journal article, 1 January 2020 – 20 October 2026 (preprints, theses and conference abstracts were excluded); (ii) at least one author from the institution at the time of the paper, documented in the affiliation, an institutional repository, a news release or a group page; (iii) a direct link to at least one of the themes above, with the non-equilibrium or nonlinear character stated in the paper; (iv) no overlap with the papers of the 29 previous literature documents of this series, checked automatically by title and DOI (no overlap was found); (v) ranking by closeness to hydrogeochemistry away from equilibrium, then by theoretical depth and by certainty of verification.</w:t>
      </w:r>
    </w:p>
    <w:p>
      <w:pPr>
        <w:pStyle w:val="ListParagraph"/>
        <w:numPr>
          <w:ilvl w:val="0"/>
          <w:numId w:val="2"/>
        </w:numPr>
        <w:spacing w:after="60"/>
        <w:jc w:val="both"/>
      </w:pPr>
      <w:r>
        <w:rPr>
          <w:b/>
          <w:bCs/>
        </w:rPr>
        <w:t xml:space="preserve">Where the gaps are:</w:t>
      </w:r>
      <w:r>
        <w:t xml:space="preserve"> no 2020–2026 paper from these three institutions was found on the kinetics of the freshwater–seawater mixing zone itself. Several papers therefore reach hydrogeochemical questions through analogous systems, and the cards say how: mantle melt channels for reactive channelization [O1, O2], mushy and evaporating porous media [O5], methane seeps and hydrates [C1, C6, C7, P2], the ocean water column [C4, C5], soils [P3, P4, P6] and planetary weathering [O6]. The in-scope theoretical output of Oxford in this window is thinner than that of the other two; two of its papers [O6, O7] were chosen for their direct bearing on kinetic versus equilibrium control. Several affiliations come through one author and are noted on the cards: [O1] and [O2] (Katz), [O3] (Compton group), [O5] (Breward, Griffiths and Please), [C1] and [C3] (Fu), [C4] and [C5] (Adkins), [C6] (Eiler), [C7] (Chadwick and Orphan), [P1] and [P6] (Bourg; also Myneni for [P6]), [P2] (Higgins) and [P3]–[P5] (Porporato). [O7] also has a Caltech coauthor (Eiler) and is counted only under Oxford; [C6] also has a Princeton coauthor (Higgins) and is counted only under Caltech.</w:t>
      </w:r>
    </w:p>
    <w:p>
      <w:pPr>
        <w:pStyle w:val="ListParagraph"/>
        <w:numPr>
          <w:ilvl w:val="0"/>
          <w:numId w:val="2"/>
        </w:numPr>
        <w:spacing w:after="60"/>
        <w:jc w:val="both"/>
      </w:pPr>
      <w:r>
        <w:rPr>
          <w:b/>
          <w:bCs/>
        </w:rPr>
        <w:t xml:space="preserve">Rating ★:</w:t>
      </w:r>
      <w:r>
        <w:t xml:space="preserve"> </w:t>
      </w:r>
      <w:r>
        <w:rPr>
          <w:b/>
          <w:bCs/>
        </w:rPr>
        <w:t xml:space="preserve">theoretical depth</w:t>
      </w:r>
      <w:r>
        <w:t xml:space="preserve"> (★★★★★ = general theory, derivation or analysis with proofs; ★ = mainly empirical or applied paper).</w:t>
      </w:r>
    </w:p>
    <w:p>
      <w:pPr>
        <w:pStyle w:val="Heading1"/>
        <w:pageBreakBefore/>
      </w:pPr>
      <w:r>
        <w:rPr>
          <w:color w:val="1F3864"/>
        </w:rPr>
        <w:t xml:space="preserve">3. Summary table of the 20 articles</w:t>
      </w:r>
    </w:p>
    <w:p>
      <w:pPr>
        <w:spacing w:after="120"/>
        <w:jc w:val="both"/>
      </w:pPr>
      <w:r>
        <w:t xml:space="preserve">The table is ordered by institution (O = Oxford, C = Caltech, P = Princeton) and, within each institution, by the order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Rees Jones, Zhang &amp; Katz (2021)</w:t>
            </w:r>
          </w:p>
        </w:tc>
        <w:tc>
          <w:tcPr>
            <w:tcW w:type="dxa" w:w="3830"/>
            <w:tcMar>
              <w:top w:type="dxa" w:w="30"/>
              <w:left w:type="dxa" w:w="90"/>
              <w:bottom w:type="dxa" w:w="30"/>
              <w:right w:type="dxa" w:w="90"/>
            </w:tcMar>
            <w:vAlign w:val="top"/>
          </w:tcPr>
          <w:p>
            <w:r>
              <w:rPr>
                <w:sz w:val="16"/>
                <w:szCs w:val="16"/>
              </w:rPr>
              <w:t xml:space="preserve">Magmatic channelization by reactive and shear-driven instabilities at mid-ocean ridges: a combined analysis</w:t>
            </w:r>
          </w:p>
        </w:tc>
        <w:tc>
          <w:tcPr>
            <w:tcW w:type="dxa" w:w="2030"/>
            <w:tcMar>
              <w:top w:type="dxa" w:w="30"/>
              <w:left w:type="dxa" w:w="90"/>
              <w:bottom w:type="dxa" w:w="30"/>
              <w:right w:type="dxa" w:w="90"/>
            </w:tcMar>
            <w:vAlign w:val="top"/>
          </w:tcPr>
          <w:p>
            <w:r>
              <w:rPr>
                <w:sz w:val="16"/>
                <w:szCs w:val="16"/>
              </w:rPr>
              <w:t xml:space="preserve">Geophys. J. Int. 226</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Katz, Rees Jones, Rudge &amp; Keller (2022)</w:t>
            </w:r>
          </w:p>
        </w:tc>
        <w:tc>
          <w:tcPr>
            <w:tcW w:type="dxa" w:w="3830"/>
            <w:shd w:fill="F7F9FC" w:color="auto" w:val="clear"/>
            <w:tcMar>
              <w:top w:type="dxa" w:w="30"/>
              <w:left w:type="dxa" w:w="90"/>
              <w:bottom w:type="dxa" w:w="30"/>
              <w:right w:type="dxa" w:w="90"/>
            </w:tcMar>
            <w:vAlign w:val="top"/>
          </w:tcPr>
          <w:p>
            <w:r>
              <w:rPr>
                <w:sz w:val="16"/>
                <w:szCs w:val="16"/>
              </w:rPr>
              <w:t xml:space="preserve">Physics of melt extraction from the mantle: speed and style</w:t>
            </w:r>
          </w:p>
        </w:tc>
        <w:tc>
          <w:tcPr>
            <w:tcW w:type="dxa" w:w="2030"/>
            <w:shd w:fill="F7F9FC" w:color="auto" w:val="clear"/>
            <w:tcMar>
              <w:top w:type="dxa" w:w="30"/>
              <w:left w:type="dxa" w:w="90"/>
              <w:bottom w:type="dxa" w:w="30"/>
              <w:right w:type="dxa" w:w="90"/>
            </w:tcMar>
            <w:vAlign w:val="top"/>
          </w:tcPr>
          <w:p>
            <w:r>
              <w:rPr>
                <w:sz w:val="16"/>
                <w:szCs w:val="16"/>
              </w:rPr>
              <w:t xml:space="preserve">Annu. Rev. Earth Planet. Sci. 50</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Yang, Tan, Batchelor-McAuley &amp; Compton (2024)</w:t>
            </w:r>
          </w:p>
        </w:tc>
        <w:tc>
          <w:tcPr>
            <w:tcW w:type="dxa" w:w="3830"/>
            <w:tcMar>
              <w:top w:type="dxa" w:w="30"/>
              <w:left w:type="dxa" w:w="90"/>
              <w:bottom w:type="dxa" w:w="30"/>
              <w:right w:type="dxa" w:w="90"/>
            </w:tcMar>
            <w:vAlign w:val="top"/>
          </w:tcPr>
          <w:p>
            <w:r>
              <w:rPr>
                <w:sz w:val="16"/>
                <w:szCs w:val="16"/>
              </w:rPr>
              <w:t xml:space="preserve">The solubility product controls the rate of calcite dissolution in pure water and seawater</w:t>
            </w:r>
          </w:p>
        </w:tc>
        <w:tc>
          <w:tcPr>
            <w:tcW w:type="dxa" w:w="2030"/>
            <w:tcMar>
              <w:top w:type="dxa" w:w="30"/>
              <w:left w:type="dxa" w:w="90"/>
              <w:bottom w:type="dxa" w:w="30"/>
              <w:right w:type="dxa" w:w="90"/>
            </w:tcMar>
            <w:vAlign w:val="top"/>
          </w:tcPr>
          <w:p>
            <w:r>
              <w:rPr>
                <w:sz w:val="16"/>
                <w:szCs w:val="16"/>
              </w:rPr>
              <w:t xml:space="preserve">Chem. Sci. 15</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Auton, Pramanik, Dalwadi, MacMinn &amp; Griffiths (2022)</w:t>
            </w:r>
          </w:p>
        </w:tc>
        <w:tc>
          <w:tcPr>
            <w:tcW w:type="dxa" w:w="3830"/>
            <w:shd w:fill="F7F9FC" w:color="auto" w:val="clear"/>
            <w:tcMar>
              <w:top w:type="dxa" w:w="30"/>
              <w:left w:type="dxa" w:w="90"/>
              <w:bottom w:type="dxa" w:w="30"/>
              <w:right w:type="dxa" w:w="90"/>
            </w:tcMar>
            <w:vAlign w:val="top"/>
          </w:tcPr>
          <w:p>
            <w:r>
              <w:rPr>
                <w:sz w:val="16"/>
                <w:szCs w:val="16"/>
              </w:rPr>
              <w:t xml:space="preserve">A homogenised model for flow, transport and sorption in a heterogeneous porous medium</w:t>
            </w:r>
          </w:p>
        </w:tc>
        <w:tc>
          <w:tcPr>
            <w:tcW w:type="dxa" w:w="2030"/>
            <w:shd w:fill="F7F9FC" w:color="auto" w:val="clear"/>
            <w:tcMar>
              <w:top w:type="dxa" w:w="30"/>
              <w:left w:type="dxa" w:w="90"/>
              <w:bottom w:type="dxa" w:w="30"/>
              <w:right w:type="dxa" w:w="90"/>
            </w:tcMar>
            <w:vAlign w:val="top"/>
          </w:tcPr>
          <w:p>
            <w:r>
              <w:rPr>
                <w:sz w:val="16"/>
                <w:szCs w:val="16"/>
              </w:rPr>
              <w:t xml:space="preserve">J. Fluid Mech. 932</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Luckins, Breward, Griffiths &amp; Please (2024)</w:t>
            </w:r>
          </w:p>
        </w:tc>
        <w:tc>
          <w:tcPr>
            <w:tcW w:type="dxa" w:w="3830"/>
            <w:tcMar>
              <w:top w:type="dxa" w:w="30"/>
              <w:left w:type="dxa" w:w="90"/>
              <w:bottom w:type="dxa" w:w="30"/>
              <w:right w:type="dxa" w:w="90"/>
            </w:tcMar>
            <w:vAlign w:val="top"/>
          </w:tcPr>
          <w:p>
            <w:r>
              <w:rPr>
                <w:sz w:val="16"/>
                <w:szCs w:val="16"/>
              </w:rPr>
              <w:t xml:space="preserve">Mathematical modelling of impurity deposition during evaporation of dirty liquid in a porous material</w:t>
            </w:r>
          </w:p>
        </w:tc>
        <w:tc>
          <w:tcPr>
            <w:tcW w:type="dxa" w:w="2030"/>
            <w:tcMar>
              <w:top w:type="dxa" w:w="30"/>
              <w:left w:type="dxa" w:w="90"/>
              <w:bottom w:type="dxa" w:w="30"/>
              <w:right w:type="dxa" w:w="90"/>
            </w:tcMar>
            <w:vAlign w:val="top"/>
          </w:tcPr>
          <w:p>
            <w:r>
              <w:rPr>
                <w:sz w:val="16"/>
                <w:szCs w:val="16"/>
              </w:rPr>
              <w:t xml:space="preserve">J. Fluid Mech. 986</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O6</w:t>
            </w:r>
          </w:p>
        </w:tc>
        <w:tc>
          <w:tcPr>
            <w:tcW w:type="dxa" w:w="2150"/>
            <w:shd w:fill="F7F9FC" w:color="auto" w:val="clear"/>
            <w:tcMar>
              <w:top w:type="dxa" w:w="30"/>
              <w:left w:type="dxa" w:w="90"/>
              <w:bottom w:type="dxa" w:w="30"/>
              <w:right w:type="dxa" w:w="90"/>
            </w:tcMar>
            <w:vAlign w:val="top"/>
          </w:tcPr>
          <w:p>
            <w:r>
              <w:rPr>
                <w:sz w:val="16"/>
                <w:szCs w:val="16"/>
              </w:rPr>
              <w:t xml:space="preserve">Graham &amp; Pierrehumbert (2020)</w:t>
            </w:r>
          </w:p>
        </w:tc>
        <w:tc>
          <w:tcPr>
            <w:tcW w:type="dxa" w:w="3830"/>
            <w:shd w:fill="F7F9FC" w:color="auto" w:val="clear"/>
            <w:tcMar>
              <w:top w:type="dxa" w:w="30"/>
              <w:left w:type="dxa" w:w="90"/>
              <w:bottom w:type="dxa" w:w="30"/>
              <w:right w:type="dxa" w:w="90"/>
            </w:tcMar>
            <w:vAlign w:val="top"/>
          </w:tcPr>
          <w:p>
            <w:r>
              <w:rPr>
                <w:sz w:val="16"/>
                <w:szCs w:val="16"/>
              </w:rPr>
              <w:t xml:space="preserve">Thermodynamic and Energetic Limits on Continental Silicate Weathering Strongly Impact the Climate and Habitability of Wet, Rocky Worlds</w:t>
            </w:r>
          </w:p>
        </w:tc>
        <w:tc>
          <w:tcPr>
            <w:tcW w:type="dxa" w:w="2030"/>
            <w:shd w:fill="F7F9FC" w:color="auto" w:val="clear"/>
            <w:tcMar>
              <w:top w:type="dxa" w:w="30"/>
              <w:left w:type="dxa" w:w="90"/>
              <w:bottom w:type="dxa" w:w="30"/>
              <w:right w:type="dxa" w:w="90"/>
            </w:tcMar>
            <w:vAlign w:val="top"/>
          </w:tcPr>
          <w:p>
            <w:r>
              <w:rPr>
                <w:sz w:val="16"/>
                <w:szCs w:val="16"/>
              </w:rPr>
              <w:t xml:space="preserve">Astrophys. J. 896</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O7</w:t>
            </w:r>
          </w:p>
        </w:tc>
        <w:tc>
          <w:tcPr>
            <w:tcW w:type="dxa" w:w="2150"/>
            <w:tcMar>
              <w:top w:type="dxa" w:w="30"/>
              <w:left w:type="dxa" w:w="90"/>
              <w:bottom w:type="dxa" w:w="30"/>
              <w:right w:type="dxa" w:w="90"/>
            </w:tcMar>
            <w:vAlign w:val="top"/>
          </w:tcPr>
          <w:p>
            <w:r>
              <w:rPr>
                <w:sz w:val="16"/>
                <w:szCs w:val="16"/>
              </w:rPr>
              <w:t xml:space="preserve">Tyne et al. (2021)</w:t>
            </w:r>
          </w:p>
        </w:tc>
        <w:tc>
          <w:tcPr>
            <w:tcW w:type="dxa" w:w="3830"/>
            <w:tcMar>
              <w:top w:type="dxa" w:w="30"/>
              <w:left w:type="dxa" w:w="90"/>
              <w:bottom w:type="dxa" w:w="30"/>
              <w:right w:type="dxa" w:w="90"/>
            </w:tcMar>
            <w:vAlign w:val="top"/>
          </w:tcPr>
          <w:p>
            <w:r>
              <w:rPr>
                <w:sz w:val="16"/>
                <w:szCs w:val="16"/>
              </w:rPr>
              <w:t xml:space="preserve">Rapid microbial methanogenesis during CO2 storage in hydrocarbon reservoirs</w:t>
            </w:r>
          </w:p>
        </w:tc>
        <w:tc>
          <w:tcPr>
            <w:tcW w:type="dxa" w:w="2030"/>
            <w:tcMar>
              <w:top w:type="dxa" w:w="30"/>
              <w:left w:type="dxa" w:w="90"/>
              <w:bottom w:type="dxa" w:w="30"/>
              <w:right w:type="dxa" w:w="90"/>
            </w:tcMar>
            <w:vAlign w:val="top"/>
          </w:tcPr>
          <w:p>
            <w:r>
              <w:rPr>
                <w:sz w:val="16"/>
                <w:szCs w:val="16"/>
              </w:rPr>
              <w:t xml:space="preserve">Nature 600</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C1</w:t>
            </w:r>
          </w:p>
        </w:tc>
        <w:tc>
          <w:tcPr>
            <w:tcW w:type="dxa" w:w="2150"/>
            <w:shd w:fill="F7F9FC" w:color="auto" w:val="clear"/>
            <w:tcMar>
              <w:top w:type="dxa" w:w="30"/>
              <w:left w:type="dxa" w:w="90"/>
              <w:bottom w:type="dxa" w:w="30"/>
              <w:right w:type="dxa" w:w="90"/>
            </w:tcMar>
            <w:vAlign w:val="top"/>
          </w:tcPr>
          <w:p>
            <w:r>
              <w:rPr>
                <w:sz w:val="16"/>
                <w:szCs w:val="16"/>
              </w:rPr>
              <w:t xml:space="preserve">Fu et al. (2020)</w:t>
            </w:r>
          </w:p>
        </w:tc>
        <w:tc>
          <w:tcPr>
            <w:tcW w:type="dxa" w:w="3830"/>
            <w:shd w:fill="F7F9FC" w:color="auto" w:val="clear"/>
            <w:tcMar>
              <w:top w:type="dxa" w:w="30"/>
              <w:left w:type="dxa" w:w="90"/>
              <w:bottom w:type="dxa" w:w="30"/>
              <w:right w:type="dxa" w:w="90"/>
            </w:tcMar>
            <w:vAlign w:val="top"/>
          </w:tcPr>
          <w:p>
            <w:r>
              <w:rPr>
                <w:sz w:val="16"/>
                <w:szCs w:val="16"/>
              </w:rPr>
              <w:t xml:space="preserve">Crustal fingering facilitates free-gas methane migration through the hydrate stability zone</w:t>
            </w:r>
          </w:p>
        </w:tc>
        <w:tc>
          <w:tcPr>
            <w:tcW w:type="dxa" w:w="2030"/>
            <w:shd w:fill="F7F9FC" w:color="auto" w:val="clear"/>
            <w:tcMar>
              <w:top w:type="dxa" w:w="30"/>
              <w:left w:type="dxa" w:w="90"/>
              <w:bottom w:type="dxa" w:w="30"/>
              <w:right w:type="dxa" w:w="90"/>
            </w:tcMar>
            <w:vAlign w:val="top"/>
          </w:tcPr>
          <w:p>
            <w:r>
              <w:rPr>
                <w:sz w:val="16"/>
                <w:szCs w:val="16"/>
              </w:rPr>
              <w:t xml:space="preserve">PNAS 117</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C2</w:t>
            </w:r>
          </w:p>
        </w:tc>
        <w:tc>
          <w:tcPr>
            <w:tcW w:type="dxa" w:w="2150"/>
            <w:tcMar>
              <w:top w:type="dxa" w:w="30"/>
              <w:left w:type="dxa" w:w="90"/>
              <w:bottom w:type="dxa" w:w="30"/>
              <w:right w:type="dxa" w:w="90"/>
            </w:tcMar>
            <w:vAlign w:val="top"/>
          </w:tcPr>
          <w:p>
            <w:r>
              <w:rPr>
                <w:sz w:val="16"/>
                <w:szCs w:val="16"/>
              </w:rPr>
              <w:t xml:space="preserve">Karimi &amp; Bhattacharya (2024)</w:t>
            </w:r>
          </w:p>
        </w:tc>
        <w:tc>
          <w:tcPr>
            <w:tcW w:type="dxa" w:w="3830"/>
            <w:tcMar>
              <w:top w:type="dxa" w:w="30"/>
              <w:left w:type="dxa" w:w="90"/>
              <w:bottom w:type="dxa" w:w="30"/>
              <w:right w:type="dxa" w:w="90"/>
            </w:tcMar>
            <w:vAlign w:val="top"/>
          </w:tcPr>
          <w:p>
            <w:r>
              <w:rPr>
                <w:sz w:val="16"/>
                <w:szCs w:val="16"/>
              </w:rPr>
              <w:t xml:space="preserve">A Learning-Based Multiscale Model for Reactive Flow in Porous Media</w:t>
            </w:r>
          </w:p>
        </w:tc>
        <w:tc>
          <w:tcPr>
            <w:tcW w:type="dxa" w:w="2030"/>
            <w:tcMar>
              <w:top w:type="dxa" w:w="30"/>
              <w:left w:type="dxa" w:w="90"/>
              <w:bottom w:type="dxa" w:w="30"/>
              <w:right w:type="dxa" w:w="90"/>
            </w:tcMar>
            <w:vAlign w:val="top"/>
          </w:tcPr>
          <w:p>
            <w:r>
              <w:rPr>
                <w:sz w:val="16"/>
                <w:szCs w:val="16"/>
              </w:rPr>
              <w:t xml:space="preserve">Water Resour. Res. 60</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C3</w:t>
            </w:r>
          </w:p>
        </w:tc>
        <w:tc>
          <w:tcPr>
            <w:tcW w:type="dxa" w:w="2150"/>
            <w:shd w:fill="F7F9FC" w:color="auto" w:val="clear"/>
            <w:tcMar>
              <w:top w:type="dxa" w:w="30"/>
              <w:left w:type="dxa" w:w="90"/>
              <w:bottom w:type="dxa" w:w="30"/>
              <w:right w:type="dxa" w:w="90"/>
            </w:tcMar>
            <w:vAlign w:val="top"/>
          </w:tcPr>
          <w:p>
            <w:r>
              <w:rPr>
                <w:sz w:val="16"/>
                <w:szCs w:val="16"/>
              </w:rPr>
              <w:t xml:space="preserve">Liyanage, Fu, Pini &amp; Juanes (2024)</w:t>
            </w:r>
          </w:p>
        </w:tc>
        <w:tc>
          <w:tcPr>
            <w:tcW w:type="dxa" w:w="3830"/>
            <w:shd w:fill="F7F9FC" w:color="auto" w:val="clear"/>
            <w:tcMar>
              <w:top w:type="dxa" w:w="30"/>
              <w:left w:type="dxa" w:w="90"/>
              <w:bottom w:type="dxa" w:w="30"/>
              <w:right w:type="dxa" w:w="90"/>
            </w:tcMar>
            <w:vAlign w:val="top"/>
          </w:tcPr>
          <w:p>
            <w:r>
              <w:rPr>
                <w:sz w:val="16"/>
                <w:szCs w:val="16"/>
              </w:rPr>
              <w:t xml:space="preserve">Direct comparison of density-driven convective mixing in a three-dimensional porous medium using experiments and simulation</w:t>
            </w:r>
          </w:p>
        </w:tc>
        <w:tc>
          <w:tcPr>
            <w:tcW w:type="dxa" w:w="2030"/>
            <w:shd w:fill="F7F9FC" w:color="auto" w:val="clear"/>
            <w:tcMar>
              <w:top w:type="dxa" w:w="30"/>
              <w:left w:type="dxa" w:w="90"/>
              <w:bottom w:type="dxa" w:w="30"/>
              <w:right w:type="dxa" w:w="90"/>
            </w:tcMar>
            <w:vAlign w:val="top"/>
          </w:tcPr>
          <w:p>
            <w:r>
              <w:rPr>
                <w:sz w:val="16"/>
                <w:szCs w:val="16"/>
              </w:rPr>
              <w:t xml:space="preserve">Phys. Rev. Fluids 9</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C4</w:t>
            </w:r>
          </w:p>
        </w:tc>
        <w:tc>
          <w:tcPr>
            <w:tcW w:type="dxa" w:w="2150"/>
            <w:tcMar>
              <w:top w:type="dxa" w:w="30"/>
              <w:left w:type="dxa" w:w="90"/>
              <w:bottom w:type="dxa" w:w="30"/>
              <w:right w:type="dxa" w:w="90"/>
            </w:tcMar>
            <w:vAlign w:val="top"/>
          </w:tcPr>
          <w:p>
            <w:r>
              <w:rPr>
                <w:sz w:val="16"/>
                <w:szCs w:val="16"/>
              </w:rPr>
              <w:t xml:space="preserve">Dong, Berelson, Adkins et al. (2020)</w:t>
            </w:r>
          </w:p>
        </w:tc>
        <w:tc>
          <w:tcPr>
            <w:tcW w:type="dxa" w:w="3830"/>
            <w:tcMar>
              <w:top w:type="dxa" w:w="30"/>
              <w:left w:type="dxa" w:w="90"/>
              <w:bottom w:type="dxa" w:w="30"/>
              <w:right w:type="dxa" w:w="90"/>
            </w:tcMar>
            <w:vAlign w:val="top"/>
          </w:tcPr>
          <w:p>
            <w:r>
              <w:rPr>
                <w:sz w:val="16"/>
                <w:szCs w:val="16"/>
              </w:rPr>
              <w:t xml:space="preserve">An atomic force microscopy study of calcite dissolution in seawater</w:t>
            </w:r>
          </w:p>
        </w:tc>
        <w:tc>
          <w:tcPr>
            <w:tcW w:type="dxa" w:w="2030"/>
            <w:tcMar>
              <w:top w:type="dxa" w:w="30"/>
              <w:left w:type="dxa" w:w="90"/>
              <w:bottom w:type="dxa" w:w="30"/>
              <w:right w:type="dxa" w:w="90"/>
            </w:tcMar>
            <w:vAlign w:val="top"/>
          </w:tcPr>
          <w:p>
            <w:r>
              <w:rPr>
                <w:sz w:val="16"/>
                <w:szCs w:val="16"/>
              </w:rPr>
              <w:t xml:space="preserve">Geochim. Cosmochim. Acta 283</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C5</w:t>
            </w:r>
          </w:p>
        </w:tc>
        <w:tc>
          <w:tcPr>
            <w:tcW w:type="dxa" w:w="2150"/>
            <w:shd w:fill="F7F9FC" w:color="auto" w:val="clear"/>
            <w:tcMar>
              <w:top w:type="dxa" w:w="30"/>
              <w:left w:type="dxa" w:w="90"/>
              <w:bottom w:type="dxa" w:w="30"/>
              <w:right w:type="dxa" w:w="90"/>
            </w:tcMar>
            <w:vAlign w:val="top"/>
          </w:tcPr>
          <w:p>
            <w:r>
              <w:rPr>
                <w:sz w:val="16"/>
                <w:szCs w:val="16"/>
              </w:rPr>
              <w:t xml:space="preserve">Subhas et al. (2022)</w:t>
            </w:r>
          </w:p>
        </w:tc>
        <w:tc>
          <w:tcPr>
            <w:tcW w:type="dxa" w:w="3830"/>
            <w:shd w:fill="F7F9FC" w:color="auto" w:val="clear"/>
            <w:tcMar>
              <w:top w:type="dxa" w:w="30"/>
              <w:left w:type="dxa" w:w="90"/>
              <w:bottom w:type="dxa" w:w="30"/>
              <w:right w:type="dxa" w:w="90"/>
            </w:tcMar>
            <w:vAlign w:val="top"/>
          </w:tcPr>
          <w:p>
            <w:r>
              <w:rPr>
                <w:sz w:val="16"/>
                <w:szCs w:val="16"/>
              </w:rPr>
              <w:t xml:space="preserve">Shallow Calcium Carbonate Cycling in the North Pacific Ocean</w:t>
            </w:r>
          </w:p>
        </w:tc>
        <w:tc>
          <w:tcPr>
            <w:tcW w:type="dxa" w:w="2030"/>
            <w:shd w:fill="F7F9FC" w:color="auto" w:val="clear"/>
            <w:tcMar>
              <w:top w:type="dxa" w:w="30"/>
              <w:left w:type="dxa" w:w="90"/>
              <w:bottom w:type="dxa" w:w="30"/>
              <w:right w:type="dxa" w:w="90"/>
            </w:tcMar>
            <w:vAlign w:val="top"/>
          </w:tcPr>
          <w:p>
            <w:r>
              <w:rPr>
                <w:sz w:val="16"/>
                <w:szCs w:val="16"/>
              </w:rPr>
              <w:t xml:space="preserve">Global Biogeochem. Cycles 36</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C6</w:t>
            </w:r>
          </w:p>
        </w:tc>
        <w:tc>
          <w:tcPr>
            <w:tcW w:type="dxa" w:w="2150"/>
            <w:tcMar>
              <w:top w:type="dxa" w:w="30"/>
              <w:left w:type="dxa" w:w="90"/>
              <w:bottom w:type="dxa" w:w="30"/>
              <w:right w:type="dxa" w:w="90"/>
            </w:tcMar>
            <w:vAlign w:val="top"/>
          </w:tcPr>
          <w:p>
            <w:r>
              <w:rPr>
                <w:sz w:val="16"/>
                <w:szCs w:val="16"/>
              </w:rPr>
              <w:t xml:space="preserve">Thiagarajan et al. (2020)</w:t>
            </w:r>
          </w:p>
        </w:tc>
        <w:tc>
          <w:tcPr>
            <w:tcW w:type="dxa" w:w="3830"/>
            <w:tcMar>
              <w:top w:type="dxa" w:w="30"/>
              <w:left w:type="dxa" w:w="90"/>
              <w:bottom w:type="dxa" w:w="30"/>
              <w:right w:type="dxa" w:w="90"/>
            </w:tcMar>
            <w:vAlign w:val="top"/>
          </w:tcPr>
          <w:p>
            <w:r>
              <w:rPr>
                <w:sz w:val="16"/>
                <w:szCs w:val="16"/>
              </w:rPr>
              <w:t xml:space="preserve">Stable and clumped isotope characterization of authigenic carbonates in methane cold seep environments</w:t>
            </w:r>
          </w:p>
        </w:tc>
        <w:tc>
          <w:tcPr>
            <w:tcW w:type="dxa" w:w="2030"/>
            <w:tcMar>
              <w:top w:type="dxa" w:w="30"/>
              <w:left w:type="dxa" w:w="90"/>
              <w:bottom w:type="dxa" w:w="30"/>
              <w:right w:type="dxa" w:w="90"/>
            </w:tcMar>
            <w:vAlign w:val="top"/>
          </w:tcPr>
          <w:p>
            <w:r>
              <w:rPr>
                <w:sz w:val="16"/>
                <w:szCs w:val="16"/>
              </w:rPr>
              <w:t xml:space="preserve">Geochim. Cosmochim. Acta 279</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C7</w:t>
            </w:r>
          </w:p>
        </w:tc>
        <w:tc>
          <w:tcPr>
            <w:tcW w:type="dxa" w:w="2150"/>
            <w:shd w:fill="F7F9FC" w:color="auto" w:val="clear"/>
            <w:tcMar>
              <w:top w:type="dxa" w:w="30"/>
              <w:left w:type="dxa" w:w="90"/>
              <w:bottom w:type="dxa" w:w="30"/>
              <w:right w:type="dxa" w:w="90"/>
            </w:tcMar>
            <w:vAlign w:val="top"/>
          </w:tcPr>
          <w:p>
            <w:r>
              <w:rPr>
                <w:sz w:val="16"/>
                <w:szCs w:val="16"/>
              </w:rPr>
              <w:t xml:space="preserve">He, Chadwick, Kempes, Orphan &amp; Meile (2021)</w:t>
            </w:r>
          </w:p>
        </w:tc>
        <w:tc>
          <w:tcPr>
            <w:tcW w:type="dxa" w:w="3830"/>
            <w:shd w:fill="F7F9FC" w:color="auto" w:val="clear"/>
            <w:tcMar>
              <w:top w:type="dxa" w:w="30"/>
              <w:left w:type="dxa" w:w="90"/>
              <w:bottom w:type="dxa" w:w="30"/>
              <w:right w:type="dxa" w:w="90"/>
            </w:tcMar>
            <w:vAlign w:val="top"/>
          </w:tcPr>
          <w:p>
            <w:r>
              <w:rPr>
                <w:sz w:val="16"/>
                <w:szCs w:val="16"/>
              </w:rPr>
              <w:t xml:space="preserve">Controls on Interspecies Electron Transport and Size Limitation of Anaerobically Methane-Oxidizing Microbial Consortia</w:t>
            </w:r>
          </w:p>
        </w:tc>
        <w:tc>
          <w:tcPr>
            <w:tcW w:type="dxa" w:w="2030"/>
            <w:shd w:fill="F7F9FC" w:color="auto" w:val="clear"/>
            <w:tcMar>
              <w:top w:type="dxa" w:w="30"/>
              <w:left w:type="dxa" w:w="90"/>
              <w:bottom w:type="dxa" w:w="30"/>
              <w:right w:type="dxa" w:w="90"/>
            </w:tcMar>
            <w:vAlign w:val="top"/>
          </w:tcPr>
          <w:p>
            <w:r>
              <w:rPr>
                <w:sz w:val="16"/>
                <w:szCs w:val="16"/>
              </w:rPr>
              <w:t xml:space="preserve">mBio 12</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Lee, Koishi, Bourg &amp; Fenter (2021)</w:t>
            </w:r>
          </w:p>
        </w:tc>
        <w:tc>
          <w:tcPr>
            <w:tcW w:type="dxa" w:w="3830"/>
            <w:tcMar>
              <w:top w:type="dxa" w:w="30"/>
              <w:left w:type="dxa" w:w="90"/>
              <w:bottom w:type="dxa" w:w="30"/>
              <w:right w:type="dxa" w:w="90"/>
            </w:tcMar>
            <w:vAlign w:val="top"/>
          </w:tcPr>
          <w:p>
            <w:r>
              <w:rPr>
                <w:sz w:val="16"/>
                <w:szCs w:val="16"/>
              </w:rPr>
              <w:t xml:space="preserve">Ion correlations drive charge overscreening and heterogeneous nucleation at solid–aqueous electrolyte interfaces</w:t>
            </w:r>
          </w:p>
        </w:tc>
        <w:tc>
          <w:tcPr>
            <w:tcW w:type="dxa" w:w="2030"/>
            <w:tcMar>
              <w:top w:type="dxa" w:w="30"/>
              <w:left w:type="dxa" w:w="90"/>
              <w:bottom w:type="dxa" w:w="30"/>
              <w:right w:type="dxa" w:w="90"/>
            </w:tcMar>
            <w:vAlign w:val="top"/>
          </w:tcPr>
          <w:p>
            <w:r>
              <w:rPr>
                <w:sz w:val="16"/>
                <w:szCs w:val="16"/>
              </w:rPr>
              <w:t xml:space="preserve">PNAS 118</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Blättler, Hong, Kirsimäe, Higgins &amp; Lepland (2021)</w:t>
            </w:r>
          </w:p>
        </w:tc>
        <w:tc>
          <w:tcPr>
            <w:tcW w:type="dxa" w:w="3830"/>
            <w:shd w:fill="F7F9FC" w:color="auto" w:val="clear"/>
            <w:tcMar>
              <w:top w:type="dxa" w:w="30"/>
              <w:left w:type="dxa" w:w="90"/>
              <w:bottom w:type="dxa" w:w="30"/>
              <w:right w:type="dxa" w:w="90"/>
            </w:tcMar>
            <w:vAlign w:val="top"/>
          </w:tcPr>
          <w:p>
            <w:r>
              <w:rPr>
                <w:sz w:val="16"/>
                <w:szCs w:val="16"/>
              </w:rPr>
              <w:t xml:space="preserve">Small calcium isotope fractionation at slow precipitation rates in methane seep authigenic carbonates</w:t>
            </w:r>
          </w:p>
        </w:tc>
        <w:tc>
          <w:tcPr>
            <w:tcW w:type="dxa" w:w="2030"/>
            <w:shd w:fill="F7F9FC" w:color="auto" w:val="clear"/>
            <w:tcMar>
              <w:top w:type="dxa" w:w="30"/>
              <w:left w:type="dxa" w:w="90"/>
              <w:bottom w:type="dxa" w:w="30"/>
              <w:right w:type="dxa" w:w="90"/>
            </w:tcMar>
            <w:vAlign w:val="top"/>
          </w:tcPr>
          <w:p>
            <w:r>
              <w:rPr>
                <w:sz w:val="16"/>
                <w:szCs w:val="16"/>
              </w:rPr>
              <w:t xml:space="preserve">Geochim. Cosmochim. Acta 298</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P3</w:t>
            </w:r>
          </w:p>
        </w:tc>
        <w:tc>
          <w:tcPr>
            <w:tcW w:type="dxa" w:w="2150"/>
            <w:tcMar>
              <w:top w:type="dxa" w:w="30"/>
              <w:left w:type="dxa" w:w="90"/>
              <w:bottom w:type="dxa" w:w="30"/>
              <w:right w:type="dxa" w:w="90"/>
            </w:tcMar>
            <w:vAlign w:val="top"/>
          </w:tcPr>
          <w:p>
            <w:r>
              <w:rPr>
                <w:sz w:val="16"/>
                <w:szCs w:val="16"/>
              </w:rPr>
              <w:t xml:space="preserve">Calabrese, Barcellos, Thompson &amp; Porporato (2020)</w:t>
            </w:r>
          </w:p>
        </w:tc>
        <w:tc>
          <w:tcPr>
            <w:tcW w:type="dxa" w:w="3830"/>
            <w:tcMar>
              <w:top w:type="dxa" w:w="30"/>
              <w:left w:type="dxa" w:w="90"/>
              <w:bottom w:type="dxa" w:w="30"/>
              <w:right w:type="dxa" w:w="90"/>
            </w:tcMar>
            <w:vAlign w:val="top"/>
          </w:tcPr>
          <w:p>
            <w:r>
              <w:rPr>
                <w:sz w:val="16"/>
                <w:szCs w:val="16"/>
              </w:rPr>
              <w:t xml:space="preserve">Theoretical constraints on Fe reduction rates in upland soils as a function of hydroclimatic conditions</w:t>
            </w:r>
          </w:p>
        </w:tc>
        <w:tc>
          <w:tcPr>
            <w:tcW w:type="dxa" w:w="2030"/>
            <w:tcMar>
              <w:top w:type="dxa" w:w="30"/>
              <w:left w:type="dxa" w:w="90"/>
              <w:bottom w:type="dxa" w:w="30"/>
              <w:right w:type="dxa" w:w="90"/>
            </w:tcMar>
            <w:vAlign w:val="top"/>
          </w:tcPr>
          <w:p>
            <w:r>
              <w:rPr>
                <w:sz w:val="16"/>
                <w:szCs w:val="16"/>
              </w:rPr>
              <w:t xml:space="preserve">J. Geophys. Res. Biogeosci. 125</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P4</w:t>
            </w:r>
          </w:p>
        </w:tc>
        <w:tc>
          <w:tcPr>
            <w:tcW w:type="dxa" w:w="2150"/>
            <w:shd w:fill="F7F9FC" w:color="auto" w:val="clear"/>
            <w:tcMar>
              <w:top w:type="dxa" w:w="30"/>
              <w:left w:type="dxa" w:w="90"/>
              <w:bottom w:type="dxa" w:w="30"/>
              <w:right w:type="dxa" w:w="90"/>
            </w:tcMar>
            <w:vAlign w:val="top"/>
          </w:tcPr>
          <w:p>
            <w:r>
              <w:rPr>
                <w:sz w:val="16"/>
                <w:szCs w:val="16"/>
              </w:rPr>
              <w:t xml:space="preserve">Bertagni, Calabrese, Cipolla, Noto &amp; Porporato (2025)</w:t>
            </w:r>
          </w:p>
        </w:tc>
        <w:tc>
          <w:tcPr>
            <w:tcW w:type="dxa" w:w="3830"/>
            <w:shd w:fill="F7F9FC" w:color="auto" w:val="clear"/>
            <w:tcMar>
              <w:top w:type="dxa" w:w="30"/>
              <w:left w:type="dxa" w:w="90"/>
              <w:bottom w:type="dxa" w:w="30"/>
              <w:right w:type="dxa" w:w="90"/>
            </w:tcMar>
            <w:vAlign w:val="top"/>
          </w:tcPr>
          <w:p>
            <w:r>
              <w:rPr>
                <w:sz w:val="16"/>
                <w:szCs w:val="16"/>
              </w:rPr>
              <w:t xml:space="preserve">Advancing Enhanced Weathering Modeling in Soils: Critical Comparison With Experimental Data</w:t>
            </w:r>
          </w:p>
        </w:tc>
        <w:tc>
          <w:tcPr>
            <w:tcW w:type="dxa" w:w="2030"/>
            <w:shd w:fill="F7F9FC" w:color="auto" w:val="clear"/>
            <w:tcMar>
              <w:top w:type="dxa" w:w="30"/>
              <w:left w:type="dxa" w:w="90"/>
              <w:bottom w:type="dxa" w:w="30"/>
              <w:right w:type="dxa" w:w="90"/>
            </w:tcMar>
            <w:vAlign w:val="top"/>
          </w:tcPr>
          <w:p>
            <w:r>
              <w:rPr>
                <w:sz w:val="16"/>
                <w:szCs w:val="16"/>
              </w:rPr>
              <w:t xml:space="preserve">J. Adv. Model. Earth Syst. 17</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P5</w:t>
            </w:r>
          </w:p>
        </w:tc>
        <w:tc>
          <w:tcPr>
            <w:tcW w:type="dxa" w:w="2150"/>
            <w:tcMar>
              <w:top w:type="dxa" w:w="30"/>
              <w:left w:type="dxa" w:w="90"/>
              <w:bottom w:type="dxa" w:w="30"/>
              <w:right w:type="dxa" w:w="90"/>
            </w:tcMar>
            <w:vAlign w:val="top"/>
          </w:tcPr>
          <w:p>
            <w:r>
              <w:rPr>
                <w:sz w:val="16"/>
                <w:szCs w:val="16"/>
              </w:rPr>
              <w:t xml:space="preserve">Bertagni &amp; Porporato (2022)</w:t>
            </w:r>
          </w:p>
        </w:tc>
        <w:tc>
          <w:tcPr>
            <w:tcW w:type="dxa" w:w="3830"/>
            <w:tcMar>
              <w:top w:type="dxa" w:w="30"/>
              <w:left w:type="dxa" w:w="90"/>
              <w:bottom w:type="dxa" w:w="30"/>
              <w:right w:type="dxa" w:w="90"/>
            </w:tcMar>
            <w:vAlign w:val="top"/>
          </w:tcPr>
          <w:p>
            <w:r>
              <w:rPr>
                <w:sz w:val="16"/>
                <w:szCs w:val="16"/>
              </w:rPr>
              <w:t xml:space="preserve">The carbon-capture efficiency of natural water alkalinization: Implications for enhanced weathering</w:t>
            </w:r>
          </w:p>
        </w:tc>
        <w:tc>
          <w:tcPr>
            <w:tcW w:type="dxa" w:w="2030"/>
            <w:tcMar>
              <w:top w:type="dxa" w:w="30"/>
              <w:left w:type="dxa" w:w="90"/>
              <w:bottom w:type="dxa" w:w="30"/>
              <w:right w:type="dxa" w:w="90"/>
            </w:tcMar>
            <w:vAlign w:val="top"/>
          </w:tcPr>
          <w:p>
            <w:r>
              <w:rPr>
                <w:sz w:val="16"/>
                <w:szCs w:val="16"/>
              </w:rPr>
              <w:t xml:space="preserve">Sci. Total Environ. 838</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P6</w:t>
            </w:r>
          </w:p>
        </w:tc>
        <w:tc>
          <w:tcPr>
            <w:tcW w:type="dxa" w:w="2150"/>
            <w:shd w:fill="F7F9FC" w:color="auto" w:val="clear"/>
            <w:tcMar>
              <w:top w:type="dxa" w:w="30"/>
              <w:left w:type="dxa" w:w="90"/>
              <w:bottom w:type="dxa" w:w="30"/>
              <w:right w:type="dxa" w:w="90"/>
            </w:tcMar>
            <w:vAlign w:val="top"/>
          </w:tcPr>
          <w:p>
            <w:r>
              <w:rPr>
                <w:sz w:val="16"/>
                <w:szCs w:val="16"/>
              </w:rPr>
              <w:t xml:space="preserve">Kleber, Bourg, Coward, Hansel, Myneni &amp; Nunan (2021)</w:t>
            </w:r>
          </w:p>
        </w:tc>
        <w:tc>
          <w:tcPr>
            <w:tcW w:type="dxa" w:w="3830"/>
            <w:shd w:fill="F7F9FC" w:color="auto" w:val="clear"/>
            <w:tcMar>
              <w:top w:type="dxa" w:w="30"/>
              <w:left w:type="dxa" w:w="90"/>
              <w:bottom w:type="dxa" w:w="30"/>
              <w:right w:type="dxa" w:w="90"/>
            </w:tcMar>
            <w:vAlign w:val="top"/>
          </w:tcPr>
          <w:p>
            <w:r>
              <w:rPr>
                <w:sz w:val="16"/>
                <w:szCs w:val="16"/>
              </w:rPr>
              <w:t xml:space="preserve">Dynamic interactions at the mineral–organic matter interface</w:t>
            </w:r>
          </w:p>
        </w:tc>
        <w:tc>
          <w:tcPr>
            <w:tcW w:type="dxa" w:w="2030"/>
            <w:shd w:fill="F7F9FC" w:color="auto" w:val="clear"/>
            <w:tcMar>
              <w:top w:type="dxa" w:w="30"/>
              <w:left w:type="dxa" w:w="90"/>
              <w:bottom w:type="dxa" w:w="30"/>
              <w:right w:type="dxa" w:w="90"/>
            </w:tcMar>
            <w:vAlign w:val="top"/>
          </w:tcPr>
          <w:p>
            <w:r>
              <w:rPr>
                <w:sz w:val="16"/>
                <w:szCs w:val="16"/>
              </w:rPr>
              <w:t xml:space="preserve">Nat. Rev. Earth Environ. 2</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bl>
    <w:p>
      <w:pPr>
        <w:spacing w:after="160"/>
      </w:pPr>
    </w:p>
    <w:p>
      <w:pPr>
        <w:pStyle w:val="Heading1"/>
        <w:pageBreakBefore/>
      </w:pPr>
      <w:r>
        <w:rPr>
          <w:color w:val="002147"/>
        </w:rPr>
        <w:t xml:space="preserve">4. University of Oxford</w:t>
      </w:r>
    </w:p>
    <w:p>
      <w:pPr>
        <w:spacing w:after="120"/>
        <w:jc w:val="both"/>
      </w:pPr>
      <w:r>
        <w:t xml:space="preserve">Oxford contributes the theory of reactive porous flow out of equilibrium, applied mathematics of transport in porous media, the physical chemistry of calcite dissolution and two field and planetary studies of kinetic versus equilibrium control. David Rees Jones, Hongliang Zhang and Richard Katz combine reactive and shear-driven channelization in one stability analysis [O1]; Katz, Rees Jones, John Rudge and Tobias Keller review the physics of melt extraction [O2]; Minjun Yang, Ling Tan, Christopher Batchelor-McAuley and Richard Compton show that the solubility product controls the dissolution rate of calcite [O3]; Lucy Auton, Satyajit Pramanik, Mohit Dalwadi, Christopher MacMinn and Ian Griffiths homogenise flow, transport and sorption in a heterogeneous medium [O4]; Ellen Luckins and coauthors model deposition behind an evaporation front [O5]; R. J. Graham and Raymond Pierrehumbert show how the thermodynamic limit of weathering changes climate [O6]; and Rebecca Tyne, Chris Ballentine and coauthors measure the microbial conversion of stored CO₂ to methane [O7].</w:t>
      </w:r>
    </w:p>
    <w:p>
      <w:pPr>
        <w:pStyle w:val="Heading2"/>
        <w:keepNext/>
      </w:pPr>
      <w:r>
        <w:rPr>
          <w:color w:val="002147"/>
        </w:rPr>
        <w:t xml:space="preserve">O1  </w:t>
      </w:r>
      <w:r>
        <w:rPr>
          <w:color w:val="1F3864"/>
        </w:rPr>
        <w:t xml:space="preserve">Magmatic channelization by reactive and shear-driven instabilities at mid-ocean ridges: a combined analysis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David W. Rees Jones, Hongliang Zhang, Richard F. Katz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Geophysical Journal International, vol. 226, no. 1, pp. 582–609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bktuvdkqvb4rgr41gmu7">
              <w:r>
                <w:rPr>
                  <w:color w:val="1D4ED8"/>
                  <w:sz w:val="18"/>
                  <w:szCs w:val="18"/>
                  <w:u w:val="single"/>
                </w:rPr>
                <w:t xml:space="preserve">https://doi.org/10.1093/gji/ggab112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F. Katz: Department of Earth Sciences, University of Oxford (paper listed on the Oxford Earth Sciences site). D. W. Rees Jones: University of St Andrews (St Andrews repository record). The affiliation block of the paper and the institution of H. Zhang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reaction-infiltration instability · shear-driven instability · compacting two-phase media · linear stability · channelized porous flow</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Two mechanisms are thought to grow high-porosity channels of melt beneath mid-ocean ridges: the reaction-infiltration instability, in which rising melt dissolves the matrix along a solubility gradient, and a shear-driven instability, in which porosity weakens the partially molten rock. They had been studied only separately. The authors develop a combined linear stability theory for a compacting, chemically reactive two-phase medium under gravity and shear and show that the two feedbacks barely interact: the total growth rate is close to the sum of the two. Reaction alone favors tube-shaped channels, but a small horizontal extension favors sheets, as seen in ophiolites. The physics, dissolution driven by disequilibrium and amplified by the porosity–permeability feedback, is the same as that of wormholes in carbonate aquifers.</w:t>
      </w:r>
    </w:p>
    <w:p>
      <w:pPr>
        <w:keepNext/>
        <w:spacing w:after="40" w:before="80"/>
      </w:pPr>
      <w:r>
        <w:rPr>
          <w:b/>
          <w:bCs/>
          <w:color w:val="002147"/>
        </w:rPr>
        <w:t xml:space="preserve">Key equation.</w:t>
      </w:r>
      <w:r>
        <w:rPr>
          <w:i/>
          <w:iCs/>
          <w:color w:val="5B6573"/>
          <w:sz w:val="18"/>
          <w:szCs w:val="18"/>
        </w:rPr>
        <w:t xml:space="preserve">  Reactive two-phase flow and the additivity of growth rates (representative formulation; the last relation states the main result schematically)</w:t>
      </w:r>
    </w:p>
    <w:p>
      <w:pPr>
        <w:pStyle w:val="Equation"/>
      </w:pPr>
      <m:oMathPara>
        <m:oMathParaPr>
          <m:jc m:val="center"/>
        </m:oMathParaPr>
        <m:oMath>
          <m:r>
            <m:t>ϕ</m:t>
          </m:r>
          <m:d>
            <m:dPr>
              <m:begChr m:val="("/>
              <m:sepChr m:val=""/>
              <m:endChr m:val=")"/>
              <m:grow/>
            </m:dPr>
            <m:e>
              <m:sSub>
                <m:e>
                  <m:r>
                    <m:rPr>
                      <m:sty m:val="b"/>
                    </m:rPr>
                    <m:t>v</m:t>
                  </m:r>
                </m:e>
                <m:sub>
                  <m:r>
                    <m:t>l</m:t>
                  </m:r>
                </m:sub>
              </m:sSub>
              <m:r>
                <m:rPr>
                  <m:sty m:val="p"/>
                </m:rPr>
                <m:t>−</m:t>
              </m:r>
              <m:sSub>
                <m:e>
                  <m:r>
                    <m:rPr>
                      <m:sty m:val="b"/>
                    </m:rPr>
                    <m:t>v</m:t>
                  </m:r>
                </m:e>
                <m:sub>
                  <m:r>
                    <m:t>s</m:t>
                  </m:r>
                </m:sub>
              </m:sSub>
            </m:e>
          </m:d>
          <m:r>
            <m:rPr>
              <m:sty m:val="p"/>
            </m:rPr>
            <m:t>=</m:t>
          </m:r>
          <m:r>
            <m:rPr>
              <m:sty m:val="p"/>
            </m:rPr>
            <m:t>−</m:t>
          </m:r>
          <m:f>
            <m:fPr>
              <m:type m:val="bar"/>
            </m:fPr>
            <m:num>
              <m:sSub>
                <m:e>
                  <m:r>
                    <m:t>k</m:t>
                  </m:r>
                </m:e>
                <m:sub>
                  <m:r>
                    <m:t>0</m:t>
                  </m:r>
                </m:sub>
              </m:sSub>
              <m:sSup>
                <m:e>
                  <m:r>
                    <m:t>ϕ</m:t>
                  </m:r>
                </m:e>
                <m:sup>
                  <m:r>
                    <m:t>n</m:t>
                  </m:r>
                </m:sup>
              </m:sSup>
            </m:num>
            <m:den>
              <m:r>
                <m:t>μ</m:t>
              </m:r>
            </m:den>
          </m:f>
          <m:d>
            <m:dPr>
              <m:begChr m:val="("/>
              <m:sepChr m:val=""/>
              <m:endChr m:val=")"/>
              <m:grow/>
            </m:dPr>
            <m:e>
              <m:r>
                <m:rPr>
                  <m:sty m:val="p"/>
                </m:rPr>
                <m:t>∇</m:t>
              </m:r>
              <m:r>
                <m:t>P</m:t>
              </m:r>
              <m:r>
                <m:rPr>
                  <m:sty m:val="p"/>
                </m:rPr>
                <m:t>−</m:t>
              </m:r>
              <m:r>
                <m:t>Δ</m:t>
              </m:r>
              <m:r>
                <m:t>ρ</m:t>
              </m:r>
              <m:r>
                <m:t> </m:t>
              </m:r>
              <m:r>
                <m:rPr>
                  <m:sty m:val="b"/>
                </m:rPr>
                <m:t>g</m:t>
              </m:r>
            </m:e>
          </m:d>
          <m:r>
            <m:rPr>
              <m:sty m:val="p"/>
            </m:rPr>
            <m:t>,</m:t>
          </m:r>
          <m:r>
            <m:t>  </m:t>
          </m:r>
          <m:r>
            <m:t>Γ</m:t>
          </m:r>
          <m:r>
            <m:rPr>
              <m:sty m:val="p"/>
            </m:rPr>
            <m:t>=</m:t>
          </m:r>
          <m:r>
            <m:t>K</m:t>
          </m:r>
          <m:d>
            <m:dPr>
              <m:begChr m:val="("/>
              <m:sepChr m:val=""/>
              <m:endChr m:val=")"/>
              <m:grow/>
            </m:dPr>
            <m:e>
              <m:sSub>
                <m:e>
                  <m:r>
                    <m:t>c</m:t>
                  </m:r>
                </m:e>
                <m:sub>
                  <m:r>
                    <m:rPr>
                      <m:sty m:val="p"/>
                    </m:rPr>
                    <m:t>e</m:t>
                  </m:r>
                  <m:r>
                    <m:rPr>
                      <m:sty m:val="p"/>
                    </m:rPr>
                    <m:t>q</m:t>
                  </m:r>
                </m:sub>
              </m:sSub>
              <m:d>
                <m:dPr>
                  <m:begChr m:val="("/>
                  <m:sepChr m:val=""/>
                  <m:endChr m:val=")"/>
                  <m:grow/>
                </m:dPr>
                <m:e>
                  <m:r>
                    <m:t>z</m:t>
                  </m:r>
                </m:e>
              </m:d>
              <m:r>
                <m:rPr>
                  <m:sty m:val="p"/>
                </m:rPr>
                <m:t>−</m:t>
              </m:r>
              <m:r>
                <m:t>c</m:t>
              </m:r>
            </m:e>
          </m:d>
          <m:r>
            <m:rPr>
              <m:sty m:val="p"/>
            </m:rPr>
            <m:t>,</m:t>
          </m:r>
          <m:r>
            <m:t>  </m:t>
          </m:r>
          <m:r>
            <m:t>s</m:t>
          </m:r>
          <m:d>
            <m:dPr>
              <m:begChr m:val="("/>
              <m:sepChr m:val=""/>
              <m:endChr m:val=")"/>
              <m:grow/>
            </m:dPr>
            <m:e>
              <m:r>
                <m:rPr>
                  <m:sty m:val="b"/>
                </m:rPr>
                <m:t>k</m:t>
              </m:r>
            </m:e>
          </m:d>
          <m:r>
            <m:rPr>
              <m:sty m:val="p"/>
            </m:rPr>
            <m:t>≈</m:t>
          </m:r>
          <m:sSub>
            <m:e>
              <m:r>
                <m:t>s</m:t>
              </m:r>
            </m:e>
            <m:sub>
              <m:r>
                <m:rPr>
                  <m:sty m:val="p"/>
                </m:rPr>
                <m:t>r</m:t>
              </m:r>
              <m:r>
                <m:rPr>
                  <m:sty m:val="p"/>
                </m:rPr>
                <m:t>e</m:t>
              </m:r>
              <m:r>
                <m:rPr>
                  <m:sty m:val="p"/>
                </m:rPr>
                <m:t>a</m:t>
              </m:r>
              <m:r>
                <m:rPr>
                  <m:sty m:val="p"/>
                </m:rPr>
                <m:t>c</m:t>
              </m:r>
              <m:r>
                <m:rPr>
                  <m:sty m:val="p"/>
                </m:rPr>
                <m:t>t</m:t>
              </m:r>
              <m:r>
                <m:rPr>
                  <m:sty m:val="p"/>
                </m:rPr>
                <m:t>i</m:t>
              </m:r>
              <m:r>
                <m:rPr>
                  <m:sty m:val="p"/>
                </m:rPr>
                <m:t>v</m:t>
              </m:r>
              <m:r>
                <m:rPr>
                  <m:sty m:val="p"/>
                </m:rPr>
                <m:t>e</m:t>
              </m:r>
            </m:sub>
          </m:sSub>
          <m:d>
            <m:dPr>
              <m:begChr m:val="("/>
              <m:sepChr m:val=""/>
              <m:endChr m:val=")"/>
              <m:grow/>
            </m:dPr>
            <m:e>
              <m:r>
                <m:rPr>
                  <m:sty m:val="b"/>
                </m:rPr>
                <m:t>k</m:t>
              </m:r>
            </m:e>
          </m:d>
          <m:r>
            <m:rPr>
              <m:sty m:val="p"/>
            </m:rPr>
            <m:t>+</m:t>
          </m:r>
          <m:sSub>
            <m:e>
              <m:r>
                <m:t>s</m:t>
              </m:r>
            </m:e>
            <m:sub>
              <m:r>
                <m:rPr>
                  <m:sty m:val="p"/>
                </m:rPr>
                <m:t>s</m:t>
              </m:r>
              <m:r>
                <m:rPr>
                  <m:sty m:val="p"/>
                </m:rPr>
                <m:t>h</m:t>
              </m:r>
              <m:r>
                <m:rPr>
                  <m:sty m:val="p"/>
                </m:rPr>
                <m:t>e</m:t>
              </m:r>
              <m:r>
                <m:rPr>
                  <m:sty m:val="p"/>
                </m:rPr>
                <m:t>a</m:t>
              </m:r>
              <m:r>
                <m:rPr>
                  <m:sty m:val="p"/>
                </m:rPr>
                <m:t>r</m:t>
              </m:r>
            </m:sub>
          </m:sSub>
          <m:d>
            <m:dPr>
              <m:begChr m:val="("/>
              <m:sepChr m:val=""/>
              <m:endChr m:val=")"/>
              <m:grow/>
            </m:dPr>
            <m:e>
              <m:r>
                <m:rPr>
                  <m:sty m:val="b"/>
                </m:rPr>
                <m:t>k</m:t>
              </m:r>
            </m:e>
          </m:d>
        </m:oMath>
      </m:oMathPara>
    </w:p>
    <w:p>
      <w:pPr>
        <w:spacing w:after="100"/>
        <w:jc w:val="both"/>
      </w:pPr>
      <w:r>
        <w:rPr>
          <w:color w:val="3A4350"/>
          <w:sz w:val="19"/>
          <w:szCs w:val="19"/>
        </w:rPr>
        <w:t xml:space="preserve">where </w:t>
      </w:r>
      <m:oMath>
        <m:sSub>
          <m:e>
            <m:r>
              <m:rPr>
                <m:sty m:val="b"/>
              </m:rPr>
              <m:t>v</m:t>
            </m:r>
          </m:e>
          <m:sub>
            <m:r>
              <m:t>l</m:t>
            </m:r>
          </m:sub>
        </m:sSub>
      </m:oMath>
      <w:r>
        <w:rPr>
          <w:color w:val="3A4350"/>
          <w:sz w:val="19"/>
          <w:szCs w:val="19"/>
        </w:rPr>
        <w:t xml:space="preserve"> and </w:t>
      </w:r>
      <m:oMath>
        <m:sSub>
          <m:e>
            <m:r>
              <m:rPr>
                <m:sty m:val="b"/>
              </m:rPr>
              <m:t>v</m:t>
            </m:r>
          </m:e>
          <m:sub>
            <m:r>
              <m:t>s</m:t>
            </m:r>
          </m:sub>
        </m:sSub>
      </m:oMath>
      <w:r>
        <w:rPr>
          <w:color w:val="3A4350"/>
          <w:sz w:val="19"/>
          <w:szCs w:val="19"/>
        </w:rPr>
        <w:t xml:space="preserve"> are the velocities of liquid and solid, </w:t>
      </w:r>
      <m:oMath>
        <m:sSub>
          <m:e>
            <m:r>
              <m:t>k</m:t>
            </m:r>
          </m:e>
          <m:sub>
            <m:r>
              <m:t>0</m:t>
            </m:r>
          </m:sub>
        </m:sSub>
        <m:sSup>
          <m:e>
            <m:r>
              <m:t>ϕ</m:t>
            </m:r>
          </m:e>
          <m:sup>
            <m:r>
              <m:t>n</m:t>
            </m:r>
          </m:sup>
        </m:sSup>
      </m:oMath>
      <w:r>
        <w:rPr>
          <w:color w:val="3A4350"/>
          <w:sz w:val="19"/>
          <w:szCs w:val="19"/>
        </w:rPr>
        <w:t xml:space="preserve"> the permeability, </w:t>
      </w:r>
      <m:oMath>
        <m:r>
          <m:t>Γ</m:t>
        </m:r>
      </m:oMath>
      <w:r>
        <w:rPr>
          <w:color w:val="3A4350"/>
          <w:sz w:val="19"/>
          <w:szCs w:val="19"/>
        </w:rPr>
        <w:t xml:space="preserve"> the melting (dissolution) rate driven by the departure from the equilibrium concentration </w:t>
      </w:r>
      <m:oMath>
        <m:sSub>
          <m:e>
            <m:r>
              <m:t>c</m:t>
            </m:r>
          </m:e>
          <m:sub>
            <m:r>
              <m:rPr>
                <m:sty m:val="p"/>
              </m:rPr>
              <m:t>e</m:t>
            </m:r>
            <m:r>
              <m:rPr>
                <m:sty m:val="p"/>
              </m:rPr>
              <m:t>q</m:t>
            </m:r>
          </m:sub>
        </m:sSub>
      </m:oMath>
      <w:r>
        <w:rPr>
          <w:color w:val="3A4350"/>
          <w:sz w:val="19"/>
          <w:szCs w:val="19"/>
        </w:rPr>
        <w:t xml:space="preserve">, and </w:t>
      </w:r>
      <m:oMath>
        <m:r>
          <m:t>s</m:t>
        </m:r>
        <m:d>
          <m:dPr>
            <m:begChr m:val="("/>
            <m:sepChr m:val=""/>
            <m:endChr m:val=")"/>
            <m:grow/>
          </m:dPr>
          <m:e>
            <m:r>
              <m:rPr>
                <m:sty m:val="b"/>
              </m:rPr>
              <m:t>k</m:t>
            </m:r>
          </m:e>
        </m:d>
      </m:oMath>
      <w:r>
        <w:rPr>
          <w:color w:val="3A4350"/>
          <w:sz w:val="19"/>
          <w:szCs w:val="19"/>
        </w:rPr>
        <w:t xml:space="preserve"> the growth rate of a perturbation with wavevector </w:t>
      </w:r>
      <m:oMath>
        <m:r>
          <m:rPr>
            <m:sty m:val="b"/>
          </m:rPr>
          <m:t>k</m:t>
        </m:r>
      </m:oMath>
      <w:r>
        <w:rPr>
          <w:color w:val="3A4350"/>
          <w:sz w:val="19"/>
          <w:szCs w:val="19"/>
        </w:rPr>
        <w:t xml:space="preserve">.</w:t>
      </w:r>
    </w:p>
    <w:p>
      <w:pPr>
        <w:spacing w:after="100" w:before="80"/>
        <w:jc w:val="both"/>
      </w:pPr>
      <w:r>
        <w:rPr>
          <w:b/>
          <w:bCs/>
          <w:color w:val="002147"/>
        </w:rPr>
        <w:t xml:space="preserve">Link to the theoretical introduction. </w:t>
      </w:r>
      <w:r>
        <w:t xml:space="preserve">Belongs to sections 1.3 and 1.6: the reaction-infiltration feedback of section 1.6 in a thermodynamically consistent two-phase medium; the mechanism of channel growth is the same that opens conduits in dissolving aquifers.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the first combined stability analysis of reactive and shear-driven channelization and shows that their growth rates add.</w:t>
      </w:r>
    </w:p>
    <w:p>
      <w:pPr>
        <w:pStyle w:val="Heading2"/>
        <w:keepNext/>
      </w:pPr>
      <w:r>
        <w:rPr>
          <w:color w:val="002147"/>
        </w:rPr>
        <w:t xml:space="preserve">O2  </w:t>
      </w:r>
      <w:r>
        <w:rPr>
          <w:color w:val="1F3864"/>
        </w:rPr>
        <w:t xml:space="preserve">Physics of melt extraction from the mantle: speed and style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Richard F. Katz, David W. Rees Jones, John F. Rudge, Tobias Keller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Annual Review of Earth and Planetary Sciences, vol. 50, pp. 507–540 (2022; the first page is given as 508 in one repository)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plygmjpxgj-ebxcvptdl">
              <w:r>
                <w:rPr>
                  <w:color w:val="1D4ED8"/>
                  <w:sz w:val="18"/>
                  <w:szCs w:val="18"/>
                  <w:u w:val="single"/>
                </w:rPr>
                <w:t xml:space="preserve">https://doi.org/10.1146/annurev-earth-032320-083704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F. Katz: Department of Earth Sciences, University of Oxford (ORA record uuid:2e18ec3d-813f-4d4d-9ce2-31f1ca1bb382).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two-phase reactive flow · compaction · reaction-infiltration instability · channelized porous flow · disequilibrium transport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review brings together about 25 years of observations, experiments and two-phase compaction theory on how buoyant melt leaves the partially molten mantle. Observations demand fast extraction, which requires channelized rather than diffuse porous flow; the authors conclude that melt rises at about 30 m per year through reactively channelized porous flow, and that this speed matters for the response of magmatism to glacial and sea-level cycles. The physics is nonlinear through the power-law dependence of permeability on porosity, the compaction rheology and the reaction-infiltration feedback, which is driven by melt that rises out of equilibrium with the rock.</w:t>
      </w:r>
    </w:p>
    <w:p>
      <w:pPr>
        <w:keepNext/>
        <w:spacing w:after="40" w:before="80"/>
      </w:pPr>
      <w:r>
        <w:rPr>
          <w:b/>
          <w:bCs/>
          <w:color w:val="002147"/>
        </w:rPr>
        <w:t xml:space="preserve">Key equation.</w:t>
      </w:r>
      <w:r>
        <w:rPr>
          <w:i/>
          <w:iCs/>
          <w:color w:val="5B6573"/>
          <w:sz w:val="18"/>
          <w:szCs w:val="18"/>
        </w:rPr>
        <w:t xml:space="preserve">  Melt velocity and porosity evolution in reactive two-phase flow (representative formulation)</w:t>
      </w:r>
    </w:p>
    <w:p>
      <w:pPr>
        <w:pStyle w:val="Equation"/>
      </w:pPr>
      <m:oMathPara>
        <m:oMathParaPr>
          <m:jc m:val="center"/>
        </m:oMathParaPr>
        <m:oMath>
          <m:sSub>
            <m:e>
              <m:r>
                <m:t>w</m:t>
              </m:r>
            </m:e>
            <m:sub>
              <m:r>
                <m:rPr>
                  <m:sty m:val="p"/>
                </m:rPr>
                <m:t>m</m:t>
              </m:r>
              <m:r>
                <m:rPr>
                  <m:sty m:val="p"/>
                </m:rPr>
                <m:t>e</m:t>
              </m:r>
              <m:r>
                <m:rPr>
                  <m:sty m:val="p"/>
                </m:rPr>
                <m:t>l</m:t>
              </m:r>
              <m:r>
                <m:rPr>
                  <m:sty m:val="p"/>
                </m:rPr>
                <m:t>t</m:t>
              </m:r>
            </m:sub>
          </m:sSub>
          <m:r>
            <m:rPr>
              <m:sty m:val="p"/>
            </m:rPr>
            <m:t>≈</m:t>
          </m:r>
          <m:f>
            <m:fPr>
              <m:type m:val="bar"/>
            </m:fPr>
            <m:num>
              <m:sSub>
                <m:e>
                  <m:r>
                    <m:t>k</m:t>
                  </m:r>
                </m:e>
                <m:sub>
                  <m:r>
                    <m:t>0</m:t>
                  </m:r>
                </m:sub>
              </m:sSub>
              <m:r>
                <m:t> </m:t>
              </m:r>
              <m:sSup>
                <m:e>
                  <m:r>
                    <m:t>ϕ</m:t>
                  </m:r>
                </m:e>
                <m:sup>
                  <m:r>
                    <m:t>n</m:t>
                  </m:r>
                  <m:r>
                    <m:rPr>
                      <m:sty m:val="p"/>
                    </m:rPr>
                    <m:t>−</m:t>
                  </m:r>
                  <m:r>
                    <m:t>1</m:t>
                  </m:r>
                </m:sup>
              </m:sSup>
              <m:r>
                <m:t>Δ</m:t>
              </m:r>
              <m:r>
                <m:t>ρ</m:t>
              </m:r>
              <m:r>
                <m:t> </m:t>
              </m:r>
              <m:r>
                <m:t>g</m:t>
              </m:r>
            </m:num>
            <m:den>
              <m:r>
                <m:t>μ</m:t>
              </m:r>
            </m:den>
          </m:f>
          <m:r>
            <m:rPr>
              <m:sty m:val="p"/>
            </m:rPr>
            <m:t>,</m:t>
          </m:r>
          <m:r>
            <m:t>  </m:t>
          </m:r>
          <m:f>
            <m:fPr>
              <m:type m:val="bar"/>
            </m:fPr>
            <m:num>
              <m:r>
                <m:rPr>
                  <m:sty m:val="p"/>
                </m:rPr>
                <m:t>∂</m:t>
              </m:r>
              <m:r>
                <m:t>ϕ</m:t>
              </m:r>
            </m:num>
            <m:den>
              <m:r>
                <m:rPr>
                  <m:sty m:val="p"/>
                </m:rPr>
                <m:t>∂</m:t>
              </m:r>
              <m:r>
                <m:t>t</m:t>
              </m:r>
            </m:den>
          </m:f>
          <m:r>
            <m:rPr>
              <m:sty m:val="p"/>
            </m:rPr>
            <m:t>+</m:t>
          </m:r>
          <m:r>
            <m:rPr>
              <m:sty m:val="p"/>
            </m:rPr>
            <m:t>∇</m:t>
          </m:r>
          <m:r>
            <m:rPr>
              <m:sty m:val="p"/>
            </m:rPr>
            <m:t>⋅</m:t>
          </m:r>
          <m:d>
            <m:dPr>
              <m:begChr m:val="("/>
              <m:sepChr m:val=""/>
              <m:endChr m:val=")"/>
              <m:grow/>
            </m:dPr>
            <m:e>
              <m:r>
                <m:t>ϕ</m:t>
              </m:r>
              <m:r>
                <m:t> </m:t>
              </m:r>
              <m:sSub>
                <m:e>
                  <m:r>
                    <m:rPr>
                      <m:sty m:val="b"/>
                    </m:rPr>
                    <m:t>v</m:t>
                  </m:r>
                </m:e>
                <m:sub>
                  <m:r>
                    <m:t>l</m:t>
                  </m:r>
                </m:sub>
              </m:sSub>
            </m:e>
          </m:d>
          <m:r>
            <m:rPr>
              <m:sty m:val="p"/>
            </m:rPr>
            <m:t>=</m:t>
          </m:r>
          <m:f>
            <m:fPr>
              <m:type m:val="bar"/>
            </m:fPr>
            <m:num>
              <m:r>
                <m:t>Γ</m:t>
              </m:r>
            </m:num>
            <m:den>
              <m:r>
                <m:t>ρ</m:t>
              </m:r>
            </m:den>
          </m:f>
        </m:oMath>
      </m:oMathPara>
    </w:p>
    <w:p>
      <w:pPr>
        <w:spacing w:after="100"/>
        <w:jc w:val="both"/>
      </w:pPr>
      <w:r>
        <w:rPr>
          <w:color w:val="3A4350"/>
          <w:sz w:val="19"/>
          <w:szCs w:val="19"/>
        </w:rPr>
        <w:t xml:space="preserve">where </w:t>
      </w:r>
      <m:oMath>
        <m:sSub>
          <m:e>
            <m:r>
              <m:t>w</m:t>
            </m:r>
          </m:e>
          <m:sub>
            <m:r>
              <m:rPr>
                <m:sty m:val="p"/>
              </m:rPr>
              <m:t>m</m:t>
            </m:r>
            <m:r>
              <m:rPr>
                <m:sty m:val="p"/>
              </m:rPr>
              <m:t>e</m:t>
            </m:r>
            <m:r>
              <m:rPr>
                <m:sty m:val="p"/>
              </m:rPr>
              <m:t>l</m:t>
            </m:r>
            <m:r>
              <m:rPr>
                <m:sty m:val="p"/>
              </m:rPr>
              <m:t>t</m:t>
            </m:r>
          </m:sub>
        </m:sSub>
      </m:oMath>
      <w:r>
        <w:rPr>
          <w:color w:val="3A4350"/>
          <w:sz w:val="19"/>
          <w:szCs w:val="19"/>
        </w:rPr>
        <w:t xml:space="preserve"> is the melt velocity, </w:t>
      </w:r>
      <m:oMath>
        <m:r>
          <m:t>ϕ</m:t>
        </m:r>
      </m:oMath>
      <w:r>
        <w:rPr>
          <w:color w:val="3A4350"/>
          <w:sz w:val="19"/>
          <w:szCs w:val="19"/>
        </w:rPr>
        <w:t xml:space="preserve"> the porosity, </w:t>
      </w:r>
      <m:oMath>
        <m:r>
          <m:t>n</m:t>
        </m:r>
      </m:oMath>
      <w:r>
        <w:rPr>
          <w:color w:val="3A4350"/>
          <w:sz w:val="19"/>
          <w:szCs w:val="19"/>
        </w:rPr>
        <w:t xml:space="preserve"> the permeability exponent and </w:t>
      </w:r>
      <m:oMath>
        <m:r>
          <m:t>Γ</m:t>
        </m:r>
      </m:oMath>
      <w:r>
        <w:rPr>
          <w:color w:val="3A4350"/>
          <w:sz w:val="19"/>
          <w:szCs w:val="19"/>
        </w:rPr>
        <w:t xml:space="preserve"> the reaction (melting) rate.</w:t>
      </w:r>
    </w:p>
    <w:p>
      <w:pPr>
        <w:spacing w:after="100" w:before="80"/>
        <w:jc w:val="both"/>
      </w:pPr>
      <w:r>
        <w:rPr>
          <w:b/>
          <w:bCs/>
          <w:color w:val="002147"/>
        </w:rPr>
        <w:t xml:space="preserve">Link to the theoretical introduction. </w:t>
      </w:r>
      <w:r>
        <w:t xml:space="preserve">Belongs to sections 1.3 and 1.6: the review states the thermodynamically consistent framework for reactive porous flow out of equilibrium, of which aquifer dissolution is the low-temperature counterpart.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Ties the speed of melt extraction to its reactive, channelized style and to climate-driven forcing in one synthesis.</w:t>
      </w:r>
    </w:p>
    <w:p>
      <w:pPr>
        <w:pStyle w:val="Heading2"/>
        <w:keepNext/>
      </w:pPr>
      <w:r>
        <w:rPr>
          <w:color w:val="002147"/>
        </w:rPr>
        <w:t xml:space="preserve">O3  </w:t>
      </w:r>
      <w:r>
        <w:rPr>
          <w:color w:val="1F3864"/>
        </w:rPr>
        <w:t xml:space="preserve">The solubility product controls the rate of calcite dissolution in pure water and seawater</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Minjun Yang, Ling Tan, Christopher Batchelor-McAuley, Richard G. Compton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Chemical Science, vol. 15, no. 7, pp. 2464–2472 (2024; published 10 January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p9wbmaicvn1n0dpntsx5">
              <w:r>
                <w:rPr>
                  <w:color w:val="1D4ED8"/>
                  <w:sz w:val="18"/>
                  <w:szCs w:val="18"/>
                  <w:u w:val="single"/>
                </w:rPr>
                <w:t xml:space="preserve">https://doi.org/10.1039/D3SC04063A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Physical and Theoretical Chemistry Laboratory, University of Oxford (article page; ORA record uuid:997e171e-236e-427f-9d1b-343a37b29ccb); one affiliation at Trinity College Dublin.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calcite dissolution · transport versus surface control · stoichiometric solubility product · ion pairing · seawater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The paper asks whether calcite dissolution is limited by surface reactions, as transition-state rate laws assume, or by transport away from the crystal. From microscopic measurements of single crystals at several NaCl concentrations, the authors explain the rate by diffusion of ions away from a saturated layer at the surface, and infer the true stoichiometric solubility product. Dissolution is therefore under thermodynamic, not kinetic, control. In seawater, ion pairs such as CaCO3(aq) change how much calcium and carbonate sit near the surface, so the rate depends on ion pairing at high ionic strength.</w:t>
      </w:r>
    </w:p>
    <w:p>
      <w:pPr>
        <w:keepNext/>
        <w:spacing w:after="40" w:before="80"/>
      </w:pPr>
      <w:r>
        <w:rPr>
          <w:b/>
          <w:bCs/>
          <w:color w:val="002147"/>
        </w:rPr>
        <w:t xml:space="preserve">Key equation.</w:t>
      </w:r>
      <w:r>
        <w:rPr>
          <w:i/>
          <w:iCs/>
          <w:color w:val="5B6573"/>
          <w:sz w:val="18"/>
          <w:szCs w:val="18"/>
        </w:rPr>
        <w:t xml:space="preserve">  Transport-controlled dissolution from a saturated surface layer, set against the surface-controlled law (representative formulation)</w:t>
      </w:r>
    </w:p>
    <w:p>
      <w:pPr>
        <w:pStyle w:val="Equation"/>
      </w:pPr>
      <m:oMathPara>
        <m:oMathParaPr>
          <m:jc m:val="center"/>
        </m:oMathParaPr>
        <m:oMath>
          <m:sSub>
            <m:e>
              <m:r>
                <m:t>J</m:t>
              </m:r>
            </m:e>
            <m:sub>
              <m:r>
                <m:rPr>
                  <m:sty m:val="p"/>
                </m:rPr>
                <m:t>C</m:t>
              </m:r>
              <m:r>
                <m:rPr>
                  <m:sty m:val="p"/>
                </m:rPr>
                <m:t>a</m:t>
              </m:r>
            </m:sub>
          </m:sSub>
          <m:r>
            <m:rPr>
              <m:sty m:val="p"/>
            </m:rPr>
            <m:t>=</m:t>
          </m:r>
          <m:f>
            <m:fPr>
              <m:type m:val="bar"/>
            </m:fPr>
            <m:num>
              <m:sSub>
                <m:e>
                  <m:r>
                    <m:t>D</m:t>
                  </m:r>
                </m:e>
                <m:sub>
                  <m:r>
                    <m:rPr>
                      <m:sty m:val="p"/>
                    </m:rPr>
                    <m:t>C</m:t>
                  </m:r>
                  <m:r>
                    <m:rPr>
                      <m:sty m:val="p"/>
                    </m:rPr>
                    <m:t>a</m:t>
                  </m:r>
                </m:sub>
              </m:sSub>
              <m:d>
                <m:dPr>
                  <m:begChr m:val="("/>
                  <m:sepChr m:val=""/>
                  <m:endChr m:val=")"/>
                  <m:grow/>
                </m:dPr>
                <m:e>
                  <m:sSub>
                    <m:e>
                      <m:d>
                        <m:dPr>
                          <m:begChr m:val="["/>
                          <m:sepChr m:val=""/>
                          <m:endChr m:val="]"/>
                          <m:grow/>
                        </m:dPr>
                        <m:e>
                          <m:r>
                            <m:rPr>
                              <m:sty m:val="p"/>
                            </m:rPr>
                            <m:t>C</m:t>
                          </m:r>
                          <m:sSup>
                            <m:e>
                              <m:r>
                                <m:rPr>
                                  <m:sty m:val="p"/>
                                </m:rPr>
                                <m:t>a</m:t>
                              </m:r>
                            </m:e>
                            <m:sup>
                              <m:r>
                                <m:rPr>
                                  <m:sty m:val="p"/>
                                </m:rPr>
                                <m:t>2</m:t>
                              </m:r>
                              <m:r>
                                <m:rPr>
                                  <m:nor/>
                                </m:rPr>
                                <m:t>+</m:t>
                              </m:r>
                            </m:sup>
                          </m:sSup>
                        </m:e>
                      </m:d>
                    </m:e>
                    <m:sub>
                      <m:r>
                        <m:t>s</m:t>
                      </m:r>
                    </m:sub>
                  </m:sSub>
                  <m:r>
                    <m:rPr>
                      <m:sty m:val="p"/>
                    </m:rPr>
                    <m:t>−</m:t>
                  </m:r>
                  <m:sSub>
                    <m:e>
                      <m:d>
                        <m:dPr>
                          <m:begChr m:val="["/>
                          <m:sepChr m:val=""/>
                          <m:endChr m:val="]"/>
                          <m:grow/>
                        </m:dPr>
                        <m:e>
                          <m:r>
                            <m:rPr>
                              <m:sty m:val="p"/>
                            </m:rPr>
                            <m:t>C</m:t>
                          </m:r>
                          <m:sSup>
                            <m:e>
                              <m:r>
                                <m:rPr>
                                  <m:sty m:val="p"/>
                                </m:rPr>
                                <m:t>a</m:t>
                              </m:r>
                            </m:e>
                            <m:sup>
                              <m:r>
                                <m:rPr>
                                  <m:sty m:val="p"/>
                                </m:rPr>
                                <m:t>2</m:t>
                              </m:r>
                              <m:r>
                                <m:rPr>
                                  <m:nor/>
                                </m:rPr>
                                <m:t>+</m:t>
                              </m:r>
                            </m:sup>
                          </m:sSup>
                        </m:e>
                      </m:d>
                    </m:e>
                    <m:sub>
                      <m:r>
                        <m:rPr>
                          <m:sty m:val="p"/>
                        </m:rPr>
                        <m:t>∞</m:t>
                      </m:r>
                    </m:sub>
                  </m:sSub>
                </m:e>
              </m:d>
            </m:num>
            <m:den>
              <m:r>
                <m:t>a</m:t>
              </m:r>
            </m:den>
          </m:f>
          <m:r>
            <m:rPr>
              <m:sty m:val="p"/>
            </m:rPr>
            <m:t>,</m:t>
          </m:r>
          <m:r>
            <m:t>  </m:t>
          </m:r>
          <m:sSub>
            <m:e>
              <m:d>
                <m:dPr>
                  <m:begChr m:val="["/>
                  <m:sepChr m:val=""/>
                  <m:endChr m:val="]"/>
                  <m:grow/>
                </m:dPr>
                <m:e>
                  <m:r>
                    <m:rPr>
                      <m:sty m:val="p"/>
                    </m:rPr>
                    <m:t>C</m:t>
                  </m:r>
                  <m:sSup>
                    <m:e>
                      <m:r>
                        <m:rPr>
                          <m:sty m:val="p"/>
                        </m:rPr>
                        <m:t>a</m:t>
                      </m:r>
                    </m:e>
                    <m:sup>
                      <m:r>
                        <m:rPr>
                          <m:sty m:val="p"/>
                        </m:rPr>
                        <m:t>2</m:t>
                      </m:r>
                      <m:r>
                        <m:rPr>
                          <m:nor/>
                        </m:rPr>
                        <m:t>+</m:t>
                      </m:r>
                    </m:sup>
                  </m:sSup>
                </m:e>
              </m:d>
            </m:e>
            <m:sub>
              <m:r>
                <m:t>s</m:t>
              </m:r>
            </m:sub>
          </m:sSub>
          <m:sSub>
            <m:e>
              <m:d>
                <m:dPr>
                  <m:begChr m:val="["/>
                  <m:sepChr m:val=""/>
                  <m:endChr m:val="]"/>
                  <m:grow/>
                </m:dPr>
                <m:e>
                  <m:r>
                    <m:rPr>
                      <m:sty m:val="p"/>
                    </m:rPr>
                    <m:t>C</m:t>
                  </m:r>
                  <m:sSubSup>
                    <m:e>
                      <m:r>
                        <m:rPr>
                          <m:sty m:val="p"/>
                        </m:rPr>
                        <m:t>O</m:t>
                      </m:r>
                    </m:e>
                    <m:sub>
                      <m:r>
                        <m:rPr>
                          <m:sty m:val="p"/>
                        </m:rPr>
                        <m:t>3</m:t>
                      </m:r>
                    </m:sub>
                    <m:sup>
                      <m:r>
                        <m:rPr>
                          <m:sty m:val="p"/>
                        </m:rPr>
                        <m:t>2</m:t>
                      </m:r>
                      <m:r>
                        <m:rPr>
                          <m:sty m:val="p"/>
                        </m:rPr>
                        <m:t>−</m:t>
                      </m:r>
                    </m:sup>
                  </m:sSubSup>
                </m:e>
              </m:d>
            </m:e>
            <m:sub>
              <m:r>
                <m:t>s</m:t>
              </m:r>
            </m:sub>
          </m:sSub>
          <m:r>
            <m:rPr>
              <m:sty m:val="p"/>
            </m:rPr>
            <m:t>=</m:t>
          </m:r>
          <m:sSubSup>
            <m:e>
              <m:r>
                <m:t>K</m:t>
              </m:r>
            </m:e>
            <m:sub>
              <m:r>
                <m:rPr>
                  <m:sty m:val="p"/>
                </m:rPr>
                <m:t>s</m:t>
              </m:r>
              <m:r>
                <m:rPr>
                  <m:sty m:val="p"/>
                </m:rPr>
                <m:t>p</m:t>
              </m:r>
            </m:sub>
            <m:sup>
              <m:r>
                <m:rPr>
                  <m:sty m:val="p"/>
                </m:rPr>
                <m:t>⋆</m:t>
              </m:r>
            </m:sup>
          </m:sSubSup>
          <m:r>
            <m:rPr>
              <m:sty m:val="p"/>
            </m:rPr>
            <m:t>,</m:t>
          </m:r>
          <m:r>
            <m:t>  </m:t>
          </m:r>
          <m:r>
            <m:rPr>
              <m:nor/>
            </m:rPr>
            <m:t>instead of</m:t>
          </m:r>
          <m:r>
            <m:t> </m:t>
          </m:r>
          <m:r>
            <m:t>R</m:t>
          </m:r>
          <m:r>
            <m:rPr>
              <m:sty m:val="p"/>
            </m:rPr>
            <m:t>=</m:t>
          </m:r>
          <m:r>
            <m:t>k</m:t>
          </m:r>
          <m:sSup>
            <m:e>
              <m:d>
                <m:dPr>
                  <m:begChr m:val="("/>
                  <m:sepChr m:val=""/>
                  <m:endChr m:val=")"/>
                  <m:grow/>
                </m:dPr>
                <m:e>
                  <m:r>
                    <m:t>1</m:t>
                  </m:r>
                  <m:r>
                    <m:rPr>
                      <m:sty m:val="p"/>
                    </m:rPr>
                    <m:t>−</m:t>
                  </m:r>
                  <m:r>
                    <m:t>Ω</m:t>
                  </m:r>
                </m:e>
              </m:d>
            </m:e>
            <m:sup>
              <m:r>
                <m:t>n</m:t>
              </m:r>
            </m:sup>
          </m:sSup>
        </m:oMath>
      </m:oMathPara>
    </w:p>
    <w:p>
      <w:pPr>
        <w:spacing w:after="100"/>
        <w:jc w:val="both"/>
      </w:pPr>
      <w:r>
        <w:rPr>
          <w:color w:val="3A4350"/>
          <w:sz w:val="19"/>
          <w:szCs w:val="19"/>
        </w:rPr>
        <w:t xml:space="preserve">where </w:t>
      </w:r>
      <m:oMath>
        <m:sSub>
          <m:e>
            <m:r>
              <m:t>J</m:t>
            </m:r>
          </m:e>
          <m:sub>
            <m:r>
              <m:rPr>
                <m:sty m:val="p"/>
              </m:rPr>
              <m:t>C</m:t>
            </m:r>
            <m:r>
              <m:rPr>
                <m:sty m:val="p"/>
              </m:rPr>
              <m:t>a</m:t>
            </m:r>
          </m:sub>
        </m:sSub>
      </m:oMath>
      <w:r>
        <w:rPr>
          <w:color w:val="3A4350"/>
          <w:sz w:val="19"/>
          <w:szCs w:val="19"/>
        </w:rPr>
        <w:t xml:space="preserve"> is the flux from a particle of radius </w:t>
      </w:r>
      <m:oMath>
        <m:r>
          <m:t>a</m:t>
        </m:r>
      </m:oMath>
      <w:r>
        <w:rPr>
          <w:color w:val="3A4350"/>
          <w:sz w:val="19"/>
          <w:szCs w:val="19"/>
        </w:rPr>
        <w:t xml:space="preserve">, the subscripts </w:t>
      </w:r>
      <m:oMath>
        <m:r>
          <m:t>s</m:t>
        </m:r>
      </m:oMath>
      <w:r>
        <w:rPr>
          <w:color w:val="3A4350"/>
          <w:sz w:val="19"/>
          <w:szCs w:val="19"/>
        </w:rPr>
        <w:t xml:space="preserve"> and </w:t>
      </w:r>
      <m:oMath>
        <m:r>
          <m:rPr>
            <m:sty m:val="p"/>
          </m:rPr>
          <m:t>∞</m:t>
        </m:r>
      </m:oMath>
      <w:r>
        <w:rPr>
          <w:color w:val="3A4350"/>
          <w:sz w:val="19"/>
          <w:szCs w:val="19"/>
        </w:rPr>
        <w:t xml:space="preserve"> denote the surface and the bulk, and </w:t>
      </w:r>
      <m:oMath>
        <m:sSubSup>
          <m:e>
            <m:r>
              <m:t>K</m:t>
            </m:r>
          </m:e>
          <m:sub>
            <m:r>
              <m:rPr>
                <m:sty m:val="p"/>
              </m:rPr>
              <m:t>s</m:t>
            </m:r>
            <m:r>
              <m:rPr>
                <m:sty m:val="p"/>
              </m:rPr>
              <m:t>p</m:t>
            </m:r>
          </m:sub>
          <m:sup>
            <m:r>
              <m:rPr>
                <m:sty m:val="p"/>
              </m:rPr>
              <m:t>⋆</m:t>
            </m:r>
          </m:sup>
        </m:sSubSup>
      </m:oMath>
      <w:r>
        <w:rPr>
          <w:color w:val="3A4350"/>
          <w:sz w:val="19"/>
          <w:szCs w:val="19"/>
        </w:rPr>
        <w:t xml:space="preserve"> is the stoichiometric solubility product.</w:t>
      </w:r>
    </w:p>
    <w:p>
      <w:pPr>
        <w:spacing w:after="100" w:before="80"/>
        <w:jc w:val="both"/>
      </w:pPr>
      <w:r>
        <w:rPr>
          <w:b/>
          <w:bCs/>
          <w:color w:val="002147"/>
        </w:rPr>
        <w:t xml:space="preserve">Link to the theoretical introduction. </w:t>
      </w:r>
      <w:r>
        <w:t xml:space="preserve">Belongs to sections 1.1 and 1.2: whether a dissolution rate is controlled by the surface or by transport is the Damköhler question of section 1.1 at the grain scale; with transport control, local equilibrium holds at the surface while the bulk stays undersaturated.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Reframes the calcite dissolution rate as set by the stoichiometric solubility product and diffusion, for pure water and seawater alike.</w:t>
      </w:r>
    </w:p>
    <w:p>
      <w:pPr>
        <w:pStyle w:val="Heading2"/>
        <w:keepNext/>
      </w:pPr>
      <w:r>
        <w:rPr>
          <w:color w:val="002147"/>
        </w:rPr>
        <w:t xml:space="preserve">O4  </w:t>
      </w:r>
      <w:r>
        <w:rPr>
          <w:color w:val="1F3864"/>
        </w:rPr>
        <w:t xml:space="preserve">A homogenised model for flow, transport and sorption in a heterogeneous porous medium</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Lucy C. Auton, Satyajit Pramanik, Mohit P. Dalwadi, Christopher W. MacMinn, Ian M. Griffiths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Fluid Mechanics, vol. 932, article A34 (2022; online December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6kgbrwct44tf4wo7_8kbu">
              <w:r>
                <w:rPr>
                  <w:color w:val="1D4ED8"/>
                  <w:sz w:val="18"/>
                  <w:szCs w:val="18"/>
                  <w:u w:val="single"/>
                </w:rPr>
                <w:t xml:space="preserve">https://doi.org/10.1017/jfm.2021.938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I. M. Griffiths, Mathematical Institute; C. W. MacMinn, Department of Engineering Science (arXiv 2101.07362 author block as summarized; the department of each author was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homogenisation · multiple scales · heterogeneous porous media · effective permeability and diffusivity · rate-limited sorption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paper upscales flow, solute transport and surface sorption through a porous medium whose microstructure varies along its length, modeled as an array of obstacles whose size and spacing change. Homogenisation by multiple scales gives macroscale equations whose coefficients, the porosity, an anisotropic permeability, an anisotropic effective diffusivity and an effective adsorption rate, are computed from local cell problems. Uptake is rate-limited rather than an instantaneous equilibrium partition, and the effective coefficients depend nonlinearly on the local microstructure, which gives a rigorous route from pore-scale kinetics to a heterogeneous macroscale model.</w:t>
      </w:r>
    </w:p>
    <w:p>
      <w:pPr>
        <w:keepNext/>
        <w:spacing w:after="40" w:before="80"/>
      </w:pPr>
      <w:r>
        <w:rPr>
          <w:b/>
          <w:bCs/>
          <w:color w:val="002147"/>
        </w:rPr>
        <w:t xml:space="preserve">Key equation.</w:t>
      </w:r>
      <w:r>
        <w:rPr>
          <w:i/>
          <w:iCs/>
          <w:color w:val="5B6573"/>
          <w:sz w:val="18"/>
          <w:szCs w:val="18"/>
        </w:rPr>
        <w:t xml:space="preserve">  Homogenised macroscale system (representative form)</w:t>
      </w:r>
    </w:p>
    <w:p>
      <w:pPr>
        <w:pStyle w:val="Equation"/>
      </w:pPr>
      <m:oMathPara>
        <m:oMathParaPr>
          <m:jc m:val="center"/>
        </m:oMathParaPr>
        <m:oMath>
          <m:r>
            <m:t>ϕ</m:t>
          </m:r>
          <m:f>
            <m:fPr>
              <m:type m:val="bar"/>
            </m:fPr>
            <m:num>
              <m:r>
                <m:rPr>
                  <m:sty m:val="p"/>
                </m:rPr>
                <m:t>∂</m:t>
              </m:r>
              <m:r>
                <m:t>c</m:t>
              </m:r>
            </m:num>
            <m:den>
              <m:r>
                <m:rPr>
                  <m:sty m:val="p"/>
                </m:rPr>
                <m:t>∂</m:t>
              </m:r>
              <m:r>
                <m:t>t</m:t>
              </m:r>
            </m:den>
          </m:f>
          <m:r>
            <m:rPr>
              <m:sty m:val="p"/>
            </m:rPr>
            <m:t>+</m:t>
          </m:r>
          <m:r>
            <m:rPr>
              <m:sty m:val="b"/>
            </m:rPr>
            <m:t>u</m:t>
          </m:r>
          <m:r>
            <m:rPr>
              <m:sty m:val="p"/>
            </m:rPr>
            <m:t>⋅</m:t>
          </m:r>
          <m:r>
            <m:rPr>
              <m:sty m:val="p"/>
            </m:rPr>
            <m:t>∇</m:t>
          </m:r>
          <m:r>
            <m:t>c</m:t>
          </m:r>
          <m:r>
            <m:rPr>
              <m:sty m:val="p"/>
            </m:rPr>
            <m:t>=</m:t>
          </m:r>
          <m:r>
            <m:rPr>
              <m:sty m:val="p"/>
            </m:rPr>
            <m:t>∇</m:t>
          </m:r>
          <m:r>
            <m:rPr>
              <m:sty m:val="p"/>
            </m:rPr>
            <m:t>⋅</m:t>
          </m:r>
          <m:d>
            <m:dPr>
              <m:begChr m:val="("/>
              <m:sepChr m:val=""/>
              <m:endChr m:val=")"/>
              <m:grow/>
            </m:dPr>
            <m:e>
              <m:r>
                <m:t>ϕ</m:t>
              </m:r>
              <m:r>
                <m:t> </m:t>
              </m:r>
              <m:sSub>
                <m:e>
                  <m:r>
                    <m:rPr>
                      <m:sty m:val="b"/>
                    </m:rPr>
                    <m:t>D</m:t>
                  </m:r>
                </m:e>
                <m:sub>
                  <m:r>
                    <m:rPr>
                      <m:sty m:val="p"/>
                    </m:rPr>
                    <m:t>e</m:t>
                  </m:r>
                  <m:r>
                    <m:rPr>
                      <m:sty m:val="p"/>
                    </m:rPr>
                    <m:t>f</m:t>
                  </m:r>
                  <m:r>
                    <m:rPr>
                      <m:sty m:val="p"/>
                    </m:rPr>
                    <m:t>f</m:t>
                  </m:r>
                </m:sub>
              </m:sSub>
              <m:d>
                <m:dPr>
                  <m:begChr m:val="("/>
                  <m:sepChr m:val=""/>
                  <m:endChr m:val=")"/>
                  <m:grow/>
                </m:dPr>
                <m:e>
                  <m:r>
                    <m:rPr>
                      <m:sty m:val="b"/>
                    </m:rPr>
                    <m:t>x</m:t>
                  </m:r>
                </m:e>
              </m:d>
              <m:r>
                <m:rPr>
                  <m:sty m:val="p"/>
                </m:rPr>
                <m:t>∇</m:t>
              </m:r>
              <m:r>
                <m:t>c</m:t>
              </m:r>
            </m:e>
          </m:d>
          <m:r>
            <m:rPr>
              <m:sty m:val="p"/>
            </m:rPr>
            <m:t>−</m:t>
          </m:r>
          <m:sSub>
            <m:e>
              <m:r>
                <m:t>k</m:t>
              </m:r>
            </m:e>
            <m:sub>
              <m:r>
                <m:rPr>
                  <m:sty m:val="p"/>
                </m:rPr>
                <m:t>e</m:t>
              </m:r>
              <m:r>
                <m:rPr>
                  <m:sty m:val="p"/>
                </m:rPr>
                <m:t>f</m:t>
              </m:r>
              <m:r>
                <m:rPr>
                  <m:sty m:val="p"/>
                </m:rPr>
                <m:t>f</m:t>
              </m:r>
            </m:sub>
          </m:sSub>
          <m:d>
            <m:dPr>
              <m:begChr m:val="("/>
              <m:sepChr m:val=""/>
              <m:endChr m:val=")"/>
              <m:grow/>
            </m:dPr>
            <m:e>
              <m:r>
                <m:rPr>
                  <m:sty m:val="b"/>
                </m:rPr>
                <m:t>x</m:t>
              </m:r>
            </m:e>
          </m:d>
          <m:r>
            <m:t> </m:t>
          </m:r>
          <m:r>
            <m:t>c</m:t>
          </m:r>
          <m:r>
            <m:rPr>
              <m:sty m:val="p"/>
            </m:rPr>
            <m:t>,</m:t>
          </m:r>
          <m:r>
            <m:t>  </m:t>
          </m:r>
          <m:r>
            <m:rPr>
              <m:sty m:val="b"/>
            </m:rPr>
            <m:t>u</m:t>
          </m:r>
          <m:r>
            <m:rPr>
              <m:sty m:val="p"/>
            </m:rPr>
            <m:t>=</m:t>
          </m:r>
          <m:r>
            <m:rPr>
              <m:sty m:val="p"/>
            </m:rPr>
            <m:t>−</m:t>
          </m:r>
          <m:f>
            <m:fPr>
              <m:type m:val="bar"/>
            </m:fPr>
            <m:num>
              <m:r>
                <m:rPr>
                  <m:sty m:val="b"/>
                </m:rPr>
                <m:t>K</m:t>
              </m:r>
              <m:d>
                <m:dPr>
                  <m:begChr m:val="("/>
                  <m:sepChr m:val=""/>
                  <m:endChr m:val=")"/>
                  <m:grow/>
                </m:dPr>
                <m:e>
                  <m:r>
                    <m:rPr>
                      <m:sty m:val="b"/>
                    </m:rPr>
                    <m:t>x</m:t>
                  </m:r>
                </m:e>
              </m:d>
            </m:num>
            <m:den>
              <m:r>
                <m:t>μ</m:t>
              </m:r>
            </m:den>
          </m:f>
          <m:r>
            <m:rPr>
              <m:sty m:val="p"/>
            </m:rPr>
            <m:t>∇</m:t>
          </m:r>
          <m:r>
            <m:t>p</m:t>
          </m:r>
        </m:oMath>
      </m:oMathPara>
    </w:p>
    <w:p>
      <w:pPr>
        <w:spacing w:after="100"/>
        <w:jc w:val="both"/>
      </w:pPr>
      <w:r>
        <w:rPr>
          <w:color w:val="3A4350"/>
          <w:sz w:val="19"/>
          <w:szCs w:val="19"/>
        </w:rPr>
        <w:t xml:space="preserve">where </w:t>
      </w:r>
      <m:oMath>
        <m:sSub>
          <m:e>
            <m:r>
              <m:rPr>
                <m:sty m:val="b"/>
              </m:rPr>
              <m:t>D</m:t>
            </m:r>
          </m:e>
          <m:sub>
            <m:r>
              <m:rPr>
                <m:sty m:val="p"/>
              </m:rPr>
              <m:t>e</m:t>
            </m:r>
            <m:r>
              <m:rPr>
                <m:sty m:val="p"/>
              </m:rPr>
              <m:t>f</m:t>
            </m:r>
            <m:r>
              <m:rPr>
                <m:sty m:val="p"/>
              </m:rPr>
              <m:t>f</m:t>
            </m:r>
          </m:sub>
        </m:sSub>
      </m:oMath>
      <w:r>
        <w:rPr>
          <w:color w:val="3A4350"/>
          <w:sz w:val="19"/>
          <w:szCs w:val="19"/>
        </w:rPr>
        <w:t xml:space="preserve">, </w:t>
      </w:r>
      <m:oMath>
        <m:r>
          <m:rPr>
            <m:sty m:val="b"/>
          </m:rPr>
          <m:t>K</m:t>
        </m:r>
      </m:oMath>
      <w:r>
        <w:rPr>
          <w:color w:val="3A4350"/>
          <w:sz w:val="19"/>
          <w:szCs w:val="19"/>
        </w:rPr>
        <w:t xml:space="preserve"> and </w:t>
      </w:r>
      <m:oMath>
        <m:sSub>
          <m:e>
            <m:r>
              <m:t>k</m:t>
            </m:r>
          </m:e>
          <m:sub>
            <m:r>
              <m:rPr>
                <m:sty m:val="p"/>
              </m:rPr>
              <m:t>e</m:t>
            </m:r>
            <m:r>
              <m:rPr>
                <m:sty m:val="p"/>
              </m:rPr>
              <m:t>f</m:t>
            </m:r>
            <m:r>
              <m:rPr>
                <m:sty m:val="p"/>
              </m:rPr>
              <m:t>f</m:t>
            </m:r>
          </m:sub>
        </m:sSub>
      </m:oMath>
      <w:r>
        <w:rPr>
          <w:color w:val="3A4350"/>
          <w:sz w:val="19"/>
          <w:szCs w:val="19"/>
        </w:rPr>
        <w:t xml:space="preserve"> are the effective diffusivity, permeability and adsorption rate, each computed from a cell problem at position </w:t>
      </w:r>
      <m:oMath>
        <m:r>
          <m:rPr>
            <m:sty m:val="b"/>
          </m:rPr>
          <m:t>x</m:t>
        </m:r>
      </m:oMath>
      <w:r>
        <w:rPr>
          <w:color w:val="3A4350"/>
          <w:sz w:val="19"/>
          <w:szCs w:val="19"/>
        </w:rPr>
        <w:t xml:space="preserve">.</w:t>
      </w:r>
    </w:p>
    <w:p>
      <w:pPr>
        <w:spacing w:after="100" w:before="80"/>
        <w:jc w:val="both"/>
      </w:pPr>
      <w:r>
        <w:rPr>
          <w:b/>
          <w:bCs/>
          <w:color w:val="002147"/>
        </w:rPr>
        <w:t xml:space="preserve">Link to the theoretical introduction. </w:t>
      </w:r>
      <w:r>
        <w:t xml:space="preserve">Belongs to sections 1.4 and 1.6: the mathematical bridge from pore-scale, rate-limited reaction to the coefficients of a Darcy-scale model, which is where the gap between laboratory and field rates of section 1.1 must be closed.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Upscales through a slowly varying, non-periodic microstructure and yields coupled effective permeability, diffusivity and sorption fields from one derivation.</w:t>
      </w:r>
    </w:p>
    <w:p>
      <w:pPr>
        <w:pStyle w:val="Heading2"/>
        <w:keepNext/>
      </w:pPr>
      <w:r>
        <w:rPr>
          <w:color w:val="002147"/>
        </w:rPr>
        <w:t xml:space="preserve">O5  </w:t>
      </w:r>
      <w:r>
        <w:rPr>
          <w:color w:val="1F3864"/>
        </w:rPr>
        <w:t xml:space="preserve">Mathematical modelling of impurity deposition during evaporation of dirty liquid in a porous material</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Ellen Luckins, Breward, Ian M. Griffiths, Please (initials of C. Breward and C. Please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Fluid Mechanics, vol. 986, article A31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22ebxlbo4n1rtybokxg7y">
              <w:r>
                <w:rPr>
                  <w:color w:val="1D4ED8"/>
                  <w:sz w:val="18"/>
                  <w:szCs w:val="18"/>
                  <w:u w:val="single"/>
                </w:rPr>
                <w:t xml:space="preserve">https://doi.org/10.1017/jfm.2024.360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Breward, Griffiths and Please: Mathematical Institute, University of Oxford; E. Luckins: University of Warwick (Warwick repository record and article page, as summarized).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evaporation fronts · deposition and clogging · moving-boundary problems · porous media · salt efflorescence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When a contaminated liquid evaporates inside a porous material, the impurity accumulates and deposits in the pores, clogging filters and textiles. The authors model an evaporation front receding through the material together with the accumulation, transport and deposition of the impurity, and identify two distinct clogging scenarios and the parameter ranges in which each occurs. It is a nonlinear moving-boundary problem in which deposition feeds back on the pore space and so on permeability and transport, the mechanism of salt efflorescence and salt weathering in salinized coastal soils.</w:t>
      </w:r>
    </w:p>
    <w:p>
      <w:pPr>
        <w:keepNext/>
        <w:spacing w:after="40" w:before="80"/>
      </w:pPr>
      <w:r>
        <w:rPr>
          <w:b/>
          <w:bCs/>
          <w:color w:val="002147"/>
        </w:rPr>
        <w:t xml:space="preserve">Key equation.</w:t>
      </w:r>
      <w:r>
        <w:rPr>
          <w:i/>
          <w:iCs/>
          <w:color w:val="5B6573"/>
          <w:sz w:val="18"/>
          <w:szCs w:val="18"/>
        </w:rPr>
        <w:t xml:space="preserve">  Solute transport with deposition and porosity loss (representative formulation)</w:t>
      </w:r>
    </w:p>
    <w:p>
      <w:pPr>
        <w:pStyle w:val="Equation"/>
      </w:pPr>
      <m:oMathPara>
        <m:oMathParaPr>
          <m:jc m:val="center"/>
        </m:oMathParaPr>
        <m:oMath>
          <m:f>
            <m:fPr>
              <m:type m:val="bar"/>
            </m:fPr>
            <m:num>
              <m:r>
                <m:rPr>
                  <m:sty m:val="p"/>
                </m:rPr>
                <m:t>∂</m:t>
              </m:r>
              <m:d>
                <m:dPr>
                  <m:begChr m:val="("/>
                  <m:sepChr m:val=""/>
                  <m:endChr m:val=")"/>
                  <m:grow/>
                </m:dPr>
                <m:e>
                  <m:r>
                    <m:t>ϕ</m:t>
                  </m:r>
                  <m:r>
                    <m:t>c</m:t>
                  </m:r>
                </m:e>
              </m:d>
            </m:num>
            <m:den>
              <m:r>
                <m:rPr>
                  <m:sty m:val="p"/>
                </m:rPr>
                <m:t>∂</m:t>
              </m:r>
              <m:r>
                <m:t>t</m:t>
              </m:r>
            </m:den>
          </m:f>
          <m:r>
            <m:rPr>
              <m:sty m:val="p"/>
            </m:rPr>
            <m:t>+</m:t>
          </m:r>
          <m:r>
            <m:rPr>
              <m:sty m:val="p"/>
            </m:rPr>
            <m:t>∇</m:t>
          </m:r>
          <m:r>
            <m:rPr>
              <m:sty m:val="p"/>
            </m:rPr>
            <m:t>⋅</m:t>
          </m:r>
          <m:d>
            <m:dPr>
              <m:begChr m:val="("/>
              <m:sepChr m:val=""/>
              <m:endChr m:val=")"/>
              <m:grow/>
            </m:dPr>
            <m:e>
              <m:r>
                <m:rPr>
                  <m:sty m:val="b"/>
                </m:rPr>
                <m:t>u</m:t>
              </m:r>
              <m:r>
                <m:t>c</m:t>
              </m:r>
              <m:r>
                <m:rPr>
                  <m:sty m:val="p"/>
                </m:rPr>
                <m:t>−</m:t>
              </m:r>
              <m:r>
                <m:t>ϕ</m:t>
              </m:r>
              <m:r>
                <m:t>D</m:t>
              </m:r>
              <m:r>
                <m:rPr>
                  <m:sty m:val="p"/>
                </m:rPr>
                <m:t>∇</m:t>
              </m:r>
              <m:r>
                <m:t>c</m:t>
              </m:r>
            </m:e>
          </m:d>
          <m:r>
            <m:rPr>
              <m:sty m:val="p"/>
            </m:rPr>
            <m:t>=</m:t>
          </m:r>
          <m:r>
            <m:rPr>
              <m:sty m:val="p"/>
            </m:rPr>
            <m:t>−</m:t>
          </m:r>
          <m:r>
            <m:t>R</m:t>
          </m:r>
          <m:d>
            <m:dPr>
              <m:begChr m:val="("/>
              <m:sepChr m:val=""/>
              <m:endChr m:val=")"/>
              <m:grow/>
            </m:dPr>
            <m:e>
              <m:r>
                <m:t>c</m:t>
              </m:r>
              <m:r>
                <m:rPr>
                  <m:sty m:val="p"/>
                </m:rPr>
                <m:t>,</m:t>
              </m:r>
              <m:r>
                <m:t>ϕ</m:t>
              </m:r>
            </m:e>
          </m:d>
          <m:r>
            <m:rPr>
              <m:sty m:val="p"/>
            </m:rPr>
            <m:t>,</m:t>
          </m:r>
          <m:r>
            <m:t>  </m:t>
          </m:r>
          <m:f>
            <m:fPr>
              <m:type m:val="bar"/>
            </m:fPr>
            <m:num>
              <m:r>
                <m:rPr>
                  <m:sty m:val="p"/>
                </m:rPr>
                <m:t>∂</m:t>
              </m:r>
              <m:r>
                <m:t>ϕ</m:t>
              </m:r>
            </m:num>
            <m:den>
              <m:r>
                <m:rPr>
                  <m:sty m:val="p"/>
                </m:rPr>
                <m:t>∂</m:t>
              </m:r>
              <m:r>
                <m:t>t</m:t>
              </m:r>
            </m:den>
          </m:f>
          <m:r>
            <m:rPr>
              <m:sty m:val="p"/>
            </m:rPr>
            <m:t>=</m:t>
          </m:r>
          <m:r>
            <m:rPr>
              <m:sty m:val="p"/>
            </m:rPr>
            <m:t>−</m:t>
          </m:r>
          <m:f>
            <m:fPr>
              <m:type m:val="bar"/>
            </m:fPr>
            <m:num>
              <m:r>
                <m:t>R</m:t>
              </m:r>
              <m:d>
                <m:dPr>
                  <m:begChr m:val="("/>
                  <m:sepChr m:val=""/>
                  <m:endChr m:val=")"/>
                  <m:grow/>
                </m:dPr>
                <m:e>
                  <m:r>
                    <m:t>c</m:t>
                  </m:r>
                  <m:r>
                    <m:rPr>
                      <m:sty m:val="p"/>
                    </m:rPr>
                    <m:t>,</m:t>
                  </m:r>
                  <m:r>
                    <m:t>ϕ</m:t>
                  </m:r>
                </m:e>
              </m:d>
            </m:num>
            <m:den>
              <m:sSub>
                <m:e>
                  <m:r>
                    <m:t>ρ</m:t>
                  </m:r>
                </m:e>
                <m:sub>
                  <m:r>
                    <m:t>d</m:t>
                  </m:r>
                </m:sub>
              </m:sSub>
            </m:den>
          </m:f>
        </m:oMath>
      </m:oMathPara>
    </w:p>
    <w:p>
      <w:pPr>
        <w:spacing w:after="100"/>
        <w:jc w:val="both"/>
      </w:pPr>
      <w:r>
        <w:rPr>
          <w:color w:val="3A4350"/>
          <w:sz w:val="19"/>
          <w:szCs w:val="19"/>
        </w:rPr>
        <w:t xml:space="preserve">where </w:t>
      </w:r>
      <m:oMath>
        <m:r>
          <m:t>R</m:t>
        </m:r>
        <m:d>
          <m:dPr>
            <m:begChr m:val="("/>
            <m:sepChr m:val=""/>
            <m:endChr m:val=")"/>
            <m:grow/>
          </m:dPr>
          <m:e>
            <m:r>
              <m:t>c</m:t>
            </m:r>
            <m:r>
              <m:rPr>
                <m:sty m:val="p"/>
              </m:rPr>
              <m:t>,</m:t>
            </m:r>
            <m:r>
              <m:t>ϕ</m:t>
            </m:r>
          </m:e>
        </m:d>
      </m:oMath>
      <w:r>
        <w:rPr>
          <w:color w:val="3A4350"/>
          <w:sz w:val="19"/>
          <w:szCs w:val="19"/>
        </w:rPr>
        <w:t xml:space="preserve"> is the deposition rate and </w:t>
      </w:r>
      <m:oMath>
        <m:sSub>
          <m:e>
            <m:r>
              <m:t>ρ</m:t>
            </m:r>
          </m:e>
          <m:sub>
            <m:r>
              <m:t>d</m:t>
            </m:r>
          </m:sub>
        </m:sSub>
      </m:oMath>
      <w:r>
        <w:rPr>
          <w:color w:val="3A4350"/>
          <w:sz w:val="19"/>
          <w:szCs w:val="19"/>
        </w:rPr>
        <w:t xml:space="preserve"> the density of the deposit.</w:t>
      </w:r>
    </w:p>
    <w:p>
      <w:pPr>
        <w:spacing w:after="100" w:before="80"/>
        <w:jc w:val="both"/>
      </w:pPr>
      <w:r>
        <w:rPr>
          <w:b/>
          <w:bCs/>
          <w:color w:val="002147"/>
        </w:rPr>
        <w:t xml:space="preserve">Link to the theoretical introduction. </w:t>
      </w:r>
      <w:r>
        <w:t xml:space="preserve">Belongs to sections 1.6 and 1.9: precipitation that clogs pores and feeds back on transport; with dissolved salts, the same structure describes salt crystallization near the evaporating surface of salinized coastal land.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Links a moving evaporation front to impurity accumulation and deposition and derives a regime map of two clogging scenarios.</w:t>
      </w:r>
    </w:p>
    <w:p>
      <w:pPr>
        <w:pStyle w:val="Heading2"/>
        <w:keepNext/>
      </w:pPr>
      <w:r>
        <w:rPr>
          <w:color w:val="002147"/>
        </w:rPr>
        <w:t xml:space="preserve">O6  </w:t>
      </w:r>
      <w:r>
        <w:rPr>
          <w:color w:val="1F3864"/>
        </w:rPr>
        <w:t xml:space="preserve">Thermodynamic and Energetic Limits on Continental Silicate Weathering Strongly Impact the Climate and Habitability of Wet, Rocky Worlds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 J. Graham, Raymond Pierrehumbert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Astrophysical Journal, vol. 896, no. 2, article 115 (2020); DOI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vqh5uzv_pfom47ullo9e">
              <w:r>
                <w:rPr>
                  <w:color w:val="1D4ED8"/>
                  <w:sz w:val="18"/>
                  <w:szCs w:val="18"/>
                  <w:u w:val="single"/>
                </w:rPr>
                <w:t xml:space="preserve">https://ora.ox.ac.uk/objects/uuid:aac7ee7f-c4a8-4120-92e9-8e8cd1cf32c9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Physics, University of Oxford (ORA record; Oxford Physics publications listing; arXiv 2004.14058).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silicate weathering · kinetic versus thermodynamic limits · clay precipitation · runoff · Damköhler control · climate feedback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Most climate–weathering models assume that silicate weathering is limited by dissolution kinetics. The authors add two neglected limits to an idealized climate–weathering model: a thermodynamic limit on the concentration of weathering products in runoff, set by clay precipitation, and an energetic limit on precipitation. With the thermodynamic limit, the steady climate becomes insensitive to dissolution kinetics and responds to temperature mainly through runoff and to CO₂ through pH-dependent solute concentrations; the decoupling of temperature and precipitation also creates warm states at the outer edge of the habitable zone. The control is a switch, measured by a Damköhler-type ratio, between a kinetically limited regime far from equilibrium and a flow-limited regime near equilibrium.</w:t>
      </w:r>
    </w:p>
    <w:p>
      <w:pPr>
        <w:keepNext/>
        <w:spacing w:after="40" w:before="80"/>
      </w:pPr>
      <w:r>
        <w:rPr>
          <w:b/>
          <w:bCs/>
          <w:color w:val="002147"/>
        </w:rPr>
        <w:t xml:space="preserve">Key equation.</w:t>
      </w:r>
      <w:r>
        <w:rPr>
          <w:i/>
          <w:iCs/>
          <w:color w:val="5B6573"/>
          <w:sz w:val="18"/>
          <w:szCs w:val="18"/>
        </w:rPr>
        <w:t xml:space="preserve">  Solute production limited by kinetics or by flow (representative formulation of the weathering framework used)</w:t>
      </w:r>
    </w:p>
    <w:p>
      <w:pPr>
        <w:pStyle w:val="Equation"/>
      </w:pPr>
      <m:oMathPara>
        <m:oMathParaPr>
          <m:jc m:val="center"/>
        </m:oMathParaPr>
        <m:oMath>
          <m:r>
            <m:t>w</m:t>
          </m:r>
          <m:r>
            <m:rPr>
              <m:sty m:val="p"/>
            </m:rPr>
            <m:t>=</m:t>
          </m:r>
          <m:r>
            <m:t>q</m:t>
          </m:r>
          <m:r>
            <m:t> </m:t>
          </m:r>
          <m:r>
            <m:t>C</m:t>
          </m:r>
          <m:r>
            <m:rPr>
              <m:sty m:val="p"/>
            </m:rPr>
            <m:t>,</m:t>
          </m:r>
          <m:r>
            <m:t>  </m:t>
          </m:r>
          <m:r>
            <m:t>C</m:t>
          </m:r>
          <m:r>
            <m:rPr>
              <m:sty m:val="p"/>
            </m:rPr>
            <m:t>=</m:t>
          </m:r>
          <m:sSub>
            <m:e>
              <m:r>
                <m:t>C</m:t>
              </m:r>
            </m:e>
            <m:sub>
              <m:r>
                <m:rPr>
                  <m:sty m:val="p"/>
                </m:rPr>
                <m:t>e</m:t>
              </m:r>
              <m:r>
                <m:rPr>
                  <m:sty m:val="p"/>
                </m:rPr>
                <m:t>q</m:t>
              </m:r>
            </m:sub>
          </m:sSub>
          <m:r>
            <m:t> </m:t>
          </m:r>
          <m:f>
            <m:fPr>
              <m:type m:val="bar"/>
            </m:fPr>
            <m:num>
              <m:sSub>
                <m:e>
                  <m:r>
                    <m:t>D</m:t>
                  </m:r>
                </m:e>
                <m:sub>
                  <m:r>
                    <m:t>w</m:t>
                  </m:r>
                </m:sub>
              </m:sSub>
              <m:r>
                <m:rPr>
                  <m:sty m:val="p"/>
                </m:rPr>
                <m:t>/</m:t>
              </m:r>
              <m:r>
                <m:t>q</m:t>
              </m:r>
            </m:num>
            <m:den>
              <m:r>
                <m:t>1</m:t>
              </m:r>
              <m:r>
                <m:rPr>
                  <m:sty m:val="p"/>
                </m:rPr>
                <m:t>+</m:t>
              </m:r>
              <m:sSub>
                <m:e>
                  <m:r>
                    <m:t>D</m:t>
                  </m:r>
                </m:e>
                <m:sub>
                  <m:r>
                    <m:t>w</m:t>
                  </m:r>
                </m:sub>
              </m:sSub>
              <m:r>
                <m:rPr>
                  <m:sty m:val="p"/>
                </m:rPr>
                <m:t>/</m:t>
              </m:r>
              <m:r>
                <m:t>q</m:t>
              </m:r>
            </m:den>
          </m:f>
          <m:r>
            <m:rPr>
              <m:sty m:val="p"/>
            </m:rPr>
            <m:t>,</m:t>
          </m:r>
          <m:r>
            <m:t>  </m:t>
          </m:r>
          <m:r>
            <m:t>w</m:t>
          </m:r>
          <m:r>
            <m:rPr>
              <m:sty m:val="p"/>
            </m:rPr>
            <m:t>→</m:t>
          </m:r>
          <m:sSub>
            <m:e>
              <m:r>
                <m:t>C</m:t>
              </m:r>
            </m:e>
            <m:sub>
              <m:r>
                <m:rPr>
                  <m:sty m:val="p"/>
                </m:rPr>
                <m:t>e</m:t>
              </m:r>
              <m:r>
                <m:rPr>
                  <m:sty m:val="p"/>
                </m:rPr>
                <m:t>q</m:t>
              </m:r>
            </m:sub>
          </m:sSub>
          <m:sSub>
            <m:e>
              <m:r>
                <m:t>D</m:t>
              </m:r>
            </m:e>
            <m:sub>
              <m:r>
                <m:t>w</m:t>
              </m:r>
            </m:sub>
          </m:sSub>
          <m:r>
            <m:t> </m:t>
          </m:r>
          <m:d>
            <m:dPr>
              <m:begChr m:val="("/>
              <m:sepChr m:val=""/>
              <m:endChr m:val=")"/>
              <m:grow/>
            </m:dPr>
            <m:e>
              <m:sSub>
                <m:e>
                  <m:r>
                    <m:t>D</m:t>
                  </m:r>
                </m:e>
                <m:sub>
                  <m:r>
                    <m:t>w</m:t>
                  </m:r>
                </m:sub>
              </m:sSub>
              <m:r>
                <m:rPr>
                  <m:sty m:val="p"/>
                </m:rPr>
                <m:t>≪</m:t>
              </m:r>
              <m:r>
                <m:t>q</m:t>
              </m:r>
            </m:e>
          </m:d>
          <m:r>
            <m:rPr>
              <m:sty m:val="p"/>
            </m:rPr>
            <m:t>,</m:t>
          </m:r>
          <m:r>
            <m:t>  </m:t>
          </m:r>
          <m:r>
            <m:t>w</m:t>
          </m:r>
          <m:r>
            <m:rPr>
              <m:sty m:val="p"/>
            </m:rPr>
            <m:t>→</m:t>
          </m:r>
          <m:r>
            <m:t>q</m:t>
          </m:r>
          <m:r>
            <m:t> </m:t>
          </m:r>
          <m:sSub>
            <m:e>
              <m:r>
                <m:t>C</m:t>
              </m:r>
            </m:e>
            <m:sub>
              <m:r>
                <m:rPr>
                  <m:sty m:val="p"/>
                </m:rPr>
                <m:t>e</m:t>
              </m:r>
              <m:r>
                <m:rPr>
                  <m:sty m:val="p"/>
                </m:rPr>
                <m:t>q</m:t>
              </m:r>
            </m:sub>
          </m:sSub>
          <m:r>
            <m:t> </m:t>
          </m:r>
          <m:d>
            <m:dPr>
              <m:begChr m:val="("/>
              <m:sepChr m:val=""/>
              <m:endChr m:val=")"/>
              <m:grow/>
            </m:dPr>
            <m:e>
              <m:sSub>
                <m:e>
                  <m:r>
                    <m:t>D</m:t>
                  </m:r>
                </m:e>
                <m:sub>
                  <m:r>
                    <m:t>w</m:t>
                  </m:r>
                </m:sub>
              </m:sSub>
              <m:r>
                <m:rPr>
                  <m:sty m:val="p"/>
                </m:rPr>
                <m:t>≫</m:t>
              </m:r>
              <m:r>
                <m:t>q</m:t>
              </m:r>
            </m:e>
          </m:d>
        </m:oMath>
      </m:oMathPara>
    </w:p>
    <w:p>
      <w:pPr>
        <w:spacing w:after="100"/>
        <w:jc w:val="both"/>
      </w:pPr>
      <w:r>
        <w:rPr>
          <w:color w:val="3A4350"/>
          <w:sz w:val="19"/>
          <w:szCs w:val="19"/>
        </w:rPr>
        <w:t xml:space="preserve">where </w:t>
      </w:r>
      <m:oMath>
        <m:r>
          <m:t>w</m:t>
        </m:r>
      </m:oMath>
      <w:r>
        <w:rPr>
          <w:color w:val="3A4350"/>
          <w:sz w:val="19"/>
          <w:szCs w:val="19"/>
        </w:rPr>
        <w:t xml:space="preserve"> is the weathering flux, </w:t>
      </w:r>
      <m:oMath>
        <m:r>
          <m:t>q</m:t>
        </m:r>
      </m:oMath>
      <w:r>
        <w:rPr>
          <w:color w:val="3A4350"/>
          <w:sz w:val="19"/>
          <w:szCs w:val="19"/>
        </w:rPr>
        <w:t xml:space="preserve"> the runoff, </w:t>
      </w:r>
      <m:oMath>
        <m:r>
          <m:t>C</m:t>
        </m:r>
      </m:oMath>
      <w:r>
        <w:rPr>
          <w:color w:val="3A4350"/>
          <w:sz w:val="19"/>
          <w:szCs w:val="19"/>
        </w:rPr>
        <w:t xml:space="preserve"> the solute concentration, </w:t>
      </w:r>
      <m:oMath>
        <m:sSub>
          <m:e>
            <m:r>
              <m:t>C</m:t>
            </m:r>
          </m:e>
          <m:sub>
            <m:r>
              <m:rPr>
                <m:sty m:val="p"/>
              </m:rPr>
              <m:t>e</m:t>
            </m:r>
            <m:r>
              <m:rPr>
                <m:sty m:val="p"/>
              </m:rPr>
              <m:t>q</m:t>
            </m:r>
          </m:sub>
        </m:sSub>
      </m:oMath>
      <w:r>
        <w:rPr>
          <w:color w:val="3A4350"/>
          <w:sz w:val="19"/>
          <w:szCs w:val="19"/>
        </w:rPr>
        <w:t xml:space="preserve"> its thermodynamic maximum and </w:t>
      </w:r>
      <m:oMath>
        <m:sSub>
          <m:e>
            <m:r>
              <m:t>D</m:t>
            </m:r>
          </m:e>
          <m:sub>
            <m:r>
              <m:t>w</m:t>
            </m:r>
          </m:sub>
        </m:sSub>
      </m:oMath>
      <w:r>
        <w:rPr>
          <w:color w:val="3A4350"/>
          <w:sz w:val="19"/>
          <w:szCs w:val="19"/>
        </w:rPr>
        <w:t xml:space="preserve"> a reaction-rate parameter with the units of runoff (a Damköhler coefficient).</w:t>
      </w:r>
    </w:p>
    <w:p>
      <w:pPr>
        <w:spacing w:after="100" w:before="80"/>
        <w:jc w:val="both"/>
      </w:pPr>
      <w:r>
        <w:rPr>
          <w:b/>
          <w:bCs/>
          <w:color w:val="002147"/>
        </w:rPr>
        <w:t xml:space="preserve">Link to the theoretical introduction. </w:t>
      </w:r>
      <w:r>
        <w:t xml:space="preserve">Belongs to section 1.1: the same switch between kinetic and equilibrium (flow) control decides whether the solute export of an aquifer depends on rate laws at all, the question that section 8 asks for the coastal mixing zone.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that the thermodynamic limit removes the dependence of climate on weathering kinetics and creates new warm states at the outer habitable-zone edge.</w:t>
      </w:r>
    </w:p>
    <w:p>
      <w:pPr>
        <w:pStyle w:val="Heading2"/>
        <w:keepNext/>
      </w:pPr>
      <w:r>
        <w:rPr>
          <w:color w:val="002147"/>
        </w:rPr>
        <w:t xml:space="preserve">O7  </w:t>
      </w:r>
      <w:r>
        <w:rPr>
          <w:color w:val="1F3864"/>
        </w:rPr>
        <w:t xml:space="preserve">Rapid microbial methanogenesis during CO2 storage in hydrocarbon reservoirs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 L. Tyne, P. H. Barry, M. Lawson, D. J. Byrne, O. Warr, H. Xie, D. J. Hillegonds, M. Formolo, Z. M. Summers, B. Skinner, J. M. Eiler, C. J. Ballentine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vol. 600, no. 7890, pp. 670–674 (2021; published 22 December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yiszmtbw8xtp4tavty4o">
              <w:r>
                <w:rPr>
                  <w:color w:val="1D4ED8"/>
                  <w:sz w:val="18"/>
                  <w:szCs w:val="18"/>
                  <w:u w:val="single"/>
                </w:rPr>
                <w:t xml:space="preserve">https://doi.org/10.1038/s41586-021-04153-3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L. Tyne and C. J. Ballentine: Department of Earth Sciences, University of Oxford (Oxford news release of 22 December 2021). J. M. Eiler: Caltech (CaltechAUTHORS record).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CO2 storage · microbial methanogenesis · noble gases · clumped isotopes · groundwater dissolution of CO2 · kinetic biogeochemistry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2147"/>
        </w:rPr>
        <w:t xml:space="preserve">Summary. </w:t>
      </w:r>
      <w:r>
        <w:t xml:space="preserve">The study follows CO₂ injected for enhanced oil recovery in the Olla Field, Louisiana, and compares it with a neighboring field that never received CO₂, using noble gases, stable and clumped isotopes and gene sequencing. Up to 13–19% of the injected CO₂ was converted to methane by microbes and up to a further 74% dissolved in the groundwater, at a methane production rate of 73–109 mmol per cubic meter (STP) per year. Similar trends in natural CO₂ fields suggest that microbial methanogenesis is a widespread subsurface CO₂ sink. The conversion is a kinetically controlled, biologically mediated redox reaction far from equilibrium, identified through its isotopic signatures.</w:t>
      </w:r>
    </w:p>
    <w:p>
      <w:pPr>
        <w:keepNext/>
        <w:spacing w:after="40" w:before="80"/>
      </w:pPr>
      <w:r>
        <w:rPr>
          <w:b/>
          <w:bCs/>
          <w:color w:val="002147"/>
        </w:rPr>
        <w:t xml:space="preserve">Key equation.</w:t>
      </w:r>
      <w:r>
        <w:rPr>
          <w:i/>
          <w:iCs/>
          <w:color w:val="5B6573"/>
          <w:sz w:val="18"/>
          <w:szCs w:val="18"/>
        </w:rPr>
        <w:t xml:space="preserve">  Stoichiometry of CO₂-reducing methanogenesis and the conversion fraction (representative; the pathway and electron donor of the paper were not verified)</w:t>
      </w:r>
    </w:p>
    <w:p>
      <w:pPr>
        <w:pStyle w:val="Equation"/>
      </w:pPr>
      <m:oMathPara>
        <m:oMathParaPr>
          <m:jc m:val="center"/>
        </m:oMathParaPr>
        <m:oMath>
          <m:r>
            <m:rPr>
              <m:sty m:val="p"/>
            </m:rPr>
            <m:t>C</m:t>
          </m:r>
          <m:sSub>
            <m:e>
              <m:r>
                <m:rPr>
                  <m:sty m:val="p"/>
                </m:rPr>
                <m:t>O</m:t>
              </m:r>
            </m:e>
            <m:sub>
              <m:r>
                <m:rPr>
                  <m:sty m:val="p"/>
                </m:rPr>
                <m:t>2</m:t>
              </m:r>
            </m:sub>
          </m:sSub>
          <m:r>
            <m:rPr>
              <m:sty m:val="p"/>
            </m:rPr>
            <m:t>+</m:t>
          </m:r>
          <m:r>
            <m:t>4</m:t>
          </m:r>
          <m:r>
            <m:t> </m:t>
          </m:r>
          <m:sSub>
            <m:e>
              <m:r>
                <m:rPr>
                  <m:sty m:val="p"/>
                </m:rPr>
                <m:t>H</m:t>
              </m:r>
            </m:e>
            <m:sub>
              <m:r>
                <m:rPr>
                  <m:sty m:val="p"/>
                </m:rPr>
                <m:t>2</m:t>
              </m:r>
            </m:sub>
          </m:sSub>
          <m:r>
            <m:rPr>
              <m:sty m:val="p"/>
            </m:rPr>
            <m:t>→</m:t>
          </m:r>
          <m:r>
            <m:rPr>
              <m:sty m:val="p"/>
            </m:rPr>
            <m:t>C</m:t>
          </m:r>
          <m:sSub>
            <m:e>
              <m:r>
                <m:rPr>
                  <m:sty m:val="p"/>
                </m:rPr>
                <m:t>H</m:t>
              </m:r>
            </m:e>
            <m:sub>
              <m:r>
                <m:rPr>
                  <m:sty m:val="p"/>
                </m:rPr>
                <m:t>4</m:t>
              </m:r>
            </m:sub>
          </m:sSub>
          <m:r>
            <m:rPr>
              <m:sty m:val="p"/>
            </m:rPr>
            <m:t>+</m:t>
          </m:r>
          <m:r>
            <m:t>2</m:t>
          </m:r>
          <m:r>
            <m:t> </m:t>
          </m:r>
          <m:sSub>
            <m:e>
              <m:r>
                <m:rPr>
                  <m:sty m:val="p"/>
                </m:rPr>
                <m:t>H</m:t>
              </m:r>
            </m:e>
            <m:sub>
              <m:r>
                <m:rPr>
                  <m:sty m:val="p"/>
                </m:rPr>
                <m:t>2</m:t>
              </m:r>
            </m:sub>
          </m:sSub>
          <m:r>
            <m:rPr>
              <m:sty m:val="p"/>
            </m:rPr>
            <m:t>O</m:t>
          </m:r>
          <m:r>
            <m:rPr>
              <m:sty m:val="p"/>
            </m:rPr>
            <m:t>,</m:t>
          </m:r>
          <m:r>
            <m:t>  </m:t>
          </m:r>
          <m:r>
            <m:t>0.13</m:t>
          </m:r>
          <m:r>
            <m:rPr>
              <m:sty m:val="p"/>
            </m:rPr>
            <m:t>≤</m:t>
          </m:r>
          <m:sSub>
            <m:e>
              <m:r>
                <m:t>f</m:t>
              </m:r>
            </m:e>
            <m:sub>
              <m:r>
                <m:rPr>
                  <m:sty m:val="p"/>
                </m:rPr>
                <m:t>C</m:t>
              </m:r>
              <m:sSub>
                <m:e>
                  <m:r>
                    <m:rPr>
                      <m:sty m:val="p"/>
                    </m:rPr>
                    <m:t>H</m:t>
                  </m:r>
                </m:e>
                <m:sub>
                  <m:r>
                    <m:rPr>
                      <m:sty m:val="p"/>
                    </m:rPr>
                    <m:t>4</m:t>
                  </m:r>
                </m:sub>
              </m:sSub>
            </m:sub>
          </m:sSub>
          <m:r>
            <m:rPr>
              <m:sty m:val="p"/>
            </m:rPr>
            <m:t>=</m:t>
          </m:r>
          <m:f>
            <m:fPr>
              <m:type m:val="bar"/>
            </m:fPr>
            <m:num>
              <m:sSub>
                <m:e>
                  <m:r>
                    <m:t>n</m:t>
                  </m:r>
                </m:e>
                <m:sub>
                  <m:r>
                    <m:rPr>
                      <m:sty m:val="p"/>
                    </m:rPr>
                    <m:t>C</m:t>
                  </m:r>
                  <m:sSub>
                    <m:e>
                      <m:r>
                        <m:rPr>
                          <m:sty m:val="p"/>
                        </m:rPr>
                        <m:t>H</m:t>
                      </m:r>
                    </m:e>
                    <m:sub>
                      <m:r>
                        <m:rPr>
                          <m:sty m:val="p"/>
                        </m:rPr>
                        <m:t>4</m:t>
                      </m:r>
                    </m:sub>
                  </m:sSub>
                </m:sub>
              </m:sSub>
            </m:num>
            <m:den>
              <m:sSub>
                <m:e>
                  <m:r>
                    <m:t>n</m:t>
                  </m:r>
                </m:e>
                <m:sub>
                  <m:r>
                    <m:rPr>
                      <m:sty m:val="p"/>
                    </m:rPr>
                    <m:t>C</m:t>
                  </m:r>
                  <m:sSub>
                    <m:e>
                      <m:r>
                        <m:rPr>
                          <m:sty m:val="p"/>
                        </m:rPr>
                        <m:t>O</m:t>
                      </m:r>
                    </m:e>
                    <m:sub>
                      <m:r>
                        <m:rPr>
                          <m:sty m:val="p"/>
                        </m:rPr>
                        <m:t>2</m:t>
                      </m:r>
                    </m:sub>
                  </m:sSub>
                  <m:r>
                    <m:rPr>
                      <m:sty m:val="p"/>
                    </m:rPr>
                    <m:t>,</m:t>
                  </m:r>
                  <m:r>
                    <m:rPr>
                      <m:sty m:val="p"/>
                    </m:rPr>
                    <m:t>i</m:t>
                  </m:r>
                  <m:r>
                    <m:rPr>
                      <m:sty m:val="p"/>
                    </m:rPr>
                    <m:t>n</m:t>
                  </m:r>
                  <m:r>
                    <m:rPr>
                      <m:sty m:val="p"/>
                    </m:rPr>
                    <m:t>j</m:t>
                  </m:r>
                </m:sub>
              </m:sSub>
            </m:den>
          </m:f>
          <m:r>
            <m:rPr>
              <m:sty m:val="p"/>
            </m:rPr>
            <m:t>≤</m:t>
          </m:r>
          <m:r>
            <m:t>0.19</m:t>
          </m:r>
        </m:oMath>
      </m:oMathPara>
    </w:p>
    <w:p>
      <w:pPr>
        <w:spacing w:after="100"/>
        <w:jc w:val="both"/>
      </w:pPr>
      <w:r>
        <w:rPr>
          <w:color w:val="3A4350"/>
          <w:sz w:val="19"/>
          <w:szCs w:val="19"/>
        </w:rPr>
        <w:t xml:space="preserve">where </w:t>
      </w:r>
      <m:oMath>
        <m:sSub>
          <m:e>
            <m:r>
              <m:t>f</m:t>
            </m:r>
          </m:e>
          <m:sub>
            <m:r>
              <m:rPr>
                <m:sty m:val="p"/>
              </m:rPr>
              <m:t>C</m:t>
            </m:r>
            <m:sSub>
              <m:e>
                <m:r>
                  <m:rPr>
                    <m:sty m:val="p"/>
                  </m:rPr>
                  <m:t>H</m:t>
                </m:r>
              </m:e>
              <m:sub>
                <m:r>
                  <m:rPr>
                    <m:sty m:val="p"/>
                  </m:rPr>
                  <m:t>4</m:t>
                </m:r>
              </m:sub>
            </m:sSub>
          </m:sub>
        </m:sSub>
      </m:oMath>
      <w:r>
        <w:rPr>
          <w:color w:val="3A4350"/>
          <w:sz w:val="19"/>
          <w:szCs w:val="19"/>
        </w:rPr>
        <w:t xml:space="preserve"> is the largest fraction of injected CO₂ converted to methane.</w:t>
      </w:r>
    </w:p>
    <w:p>
      <w:pPr>
        <w:spacing w:after="100" w:before="80"/>
        <w:jc w:val="both"/>
      </w:pPr>
      <w:r>
        <w:rPr>
          <w:b/>
          <w:bCs/>
          <w:color w:val="002147"/>
        </w:rPr>
        <w:t xml:space="preserve">Link to the theoretical introduction. </w:t>
      </w:r>
      <w:r>
        <w:t xml:space="preserve">Belongs to sections 1.7 and 1.8: a field system in which a biological redox reaction proceeds far from equilibrium and is detected by noble-gas and isotope tracers, the kind of evidence that equilibrium speciation cannot provide.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Quantifies, with multiple tracers at field scale, the microbial conversion of stored CO₂ to methane over years.</w:t>
      </w:r>
    </w:p>
    <w:p>
      <w:pPr>
        <w:pStyle w:val="Heading1"/>
        <w:pageBreakBefore/>
      </w:pPr>
      <w:r>
        <w:rPr>
          <w:color w:val="B4410C"/>
        </w:rPr>
        <w:t xml:space="preserve">5. California Institute of Technology (Caltech)</w:t>
      </w:r>
    </w:p>
    <w:p>
      <w:pPr>
        <w:spacing w:after="120"/>
        <w:jc w:val="both"/>
      </w:pPr>
      <w:r>
        <w:t xml:space="preserve">Caltech brings reaction–flow instabilities, multiscale modeling, the kinetics of calcium carbonate in seawater and the isotope and microbial records of disequilibrium. Xiaojing Fu and coauthors discover crustal fingering of methane through the hydrate zone [C1]; Mina Karimi and Kaushik Bhattacharya learn the history-dependent closures of reactive flow [C2]; Rebecca Liyanage, Fu, Ronny Pini and Ruben Juanes compare three-dimensional convective mixing in experiment and simulation [C3]; Sijia Dong, Jess Adkins and coauthors image calcite dissolution in seawater [C4]; Adam Subhas, Adkins and coauthors close the shallow carbonate budget of the North Pacific [C5]; Nivedita Thiagarajan, John Eiler and coauthors combine clumped and calcium isotopes in seep carbonates [C6]; and Xiaojia He, Grayson Chadwick, Victoria Orphan and coauthors model electron transfer in methane-oxidizing consortia [C7].</w:t>
      </w:r>
    </w:p>
    <w:p>
      <w:pPr>
        <w:pStyle w:val="Heading2"/>
        <w:keepNext/>
      </w:pPr>
      <w:r>
        <w:rPr>
          <w:color w:val="B4410C"/>
        </w:rPr>
        <w:t xml:space="preserve">C1  </w:t>
      </w:r>
      <w:r>
        <w:rPr>
          <w:color w:val="1F3864"/>
        </w:rPr>
        <w:t xml:space="preserve">Crustal fingering facilitates free-gas methane migration through the hydrate stability zone</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Xiaojing Fu, Jimenez-Martinez, Nguyen, Carey, Viswanathan, Cueto-Felgueroso, Ruben Juanes (initials of the middle five authors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vol. 117, no. 50, pp. 31660–31664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3xaxgo67-4vygoykgnjs">
              <w:r>
                <w:rPr>
                  <w:color w:val="1D4ED8"/>
                  <w:sz w:val="18"/>
                  <w:szCs w:val="18"/>
                  <w:u w:val="single"/>
                </w:rPr>
                <w:t xml:space="preserve">https://doi.org/10.1073/pnas.2011064117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X. Fu: Department of Mechanical and Civil Engineering, Caltech, and Department of Earth and Planetary Science, UC Berkeley (PNAS affiliation block in PMC7749334; CaltechAUTHORS record 106845).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hydrate growth far from equilibrium · reactive fingering · two-phase flow · self-organization · methane seeps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Free methane gas migrates through the hydrate stability zone of marine sediments, although equilibrium thermodynamics predicts that it should be converted into immobile hydrate. With experiments and computations of gas percolation under hydrate-forming conditions, the authors identify a new instability, crustal fingering: a solid hydrate crust grows on the moving gas–liquid interface, and the gas keeps invading as fingers instead of being sealed off. The pattern arises from the feedback between the kinetics of a phase transition away from equilibrium and two-phase flow, a self-organized state that an equilibrium seal model cannot produce.</w:t>
      </w:r>
    </w:p>
    <w:p>
      <w:pPr>
        <w:keepNext/>
        <w:spacing w:after="40" w:before="80"/>
      </w:pPr>
      <w:r>
        <w:rPr>
          <w:b/>
          <w:bCs/>
          <w:color w:val="B4410C"/>
        </w:rPr>
        <w:t xml:space="preserve">Key equation.</w:t>
      </w:r>
      <w:r>
        <w:rPr>
          <w:i/>
          <w:iCs/>
          <w:color w:val="5B6573"/>
          <w:sz w:val="18"/>
          <w:szCs w:val="18"/>
        </w:rPr>
        <w:t xml:space="preserve">  Driving-force rate law for hydrate growth at the gas–water interface (representative; not the paper's own equation)</w:t>
      </w:r>
    </w:p>
    <w:p>
      <w:pPr>
        <w:pStyle w:val="Equation"/>
      </w:pPr>
      <m:oMathPara>
        <m:oMathParaPr>
          <m:jc m:val="center"/>
        </m:oMathParaPr>
        <m:oMath>
          <m:f>
            <m:fPr>
              <m:type m:val="bar"/>
            </m:fPr>
            <m:num>
              <m:r>
                <m:rPr>
                  <m:sty m:val="p"/>
                </m:rPr>
                <m:t>∂</m:t>
              </m:r>
              <m:sSub>
                <m:e>
                  <m:r>
                    <m:t>ϕ</m:t>
                  </m:r>
                </m:e>
                <m:sub>
                  <m:r>
                    <m:t>h</m:t>
                  </m:r>
                </m:sub>
              </m:sSub>
            </m:num>
            <m:den>
              <m:r>
                <m:rPr>
                  <m:sty m:val="p"/>
                </m:rPr>
                <m:t>∂</m:t>
              </m:r>
              <m:r>
                <m:t>t</m:t>
              </m:r>
            </m:den>
          </m:f>
          <m:r>
            <m:rPr>
              <m:sty m:val="p"/>
            </m:rPr>
            <m:t>=</m:t>
          </m:r>
          <m:sSub>
            <m:e>
              <m:r>
                <m:t>k</m:t>
              </m:r>
            </m:e>
            <m:sub>
              <m:r>
                <m:t>f</m:t>
              </m:r>
            </m:sub>
          </m:sSub>
          <m:r>
            <m:t> </m:t>
          </m:r>
          <m:sSub>
            <m:e>
              <m:r>
                <m:t>a</m:t>
              </m:r>
            </m:e>
            <m:sub>
              <m:r>
                <m:t>g</m:t>
              </m:r>
              <m:r>
                <m:t>w</m:t>
              </m:r>
            </m:sub>
          </m:sSub>
          <m:d>
            <m:dPr>
              <m:begChr m:val="("/>
              <m:sepChr m:val=""/>
              <m:endChr m:val=")"/>
              <m:grow/>
            </m:dPr>
            <m:e>
              <m:sSub>
                <m:e>
                  <m:r>
                    <m:t>f</m:t>
                  </m:r>
                </m:e>
                <m:sub>
                  <m:r>
                    <m:t>g</m:t>
                  </m:r>
                </m:sub>
              </m:sSub>
              <m:r>
                <m:rPr>
                  <m:sty m:val="p"/>
                </m:rPr>
                <m:t>−</m:t>
              </m:r>
              <m:sSub>
                <m:e>
                  <m:r>
                    <m:t>f</m:t>
                  </m:r>
                </m:e>
                <m:sub>
                  <m:r>
                    <m:rPr>
                      <m:sty m:val="p"/>
                    </m:rPr>
                    <m:t>e</m:t>
                  </m:r>
                  <m:r>
                    <m:rPr>
                      <m:sty m:val="p"/>
                    </m:rPr>
                    <m:t>q</m:t>
                  </m:r>
                </m:sub>
              </m:sSub>
              <m:d>
                <m:dPr>
                  <m:begChr m:val="("/>
                  <m:sepChr m:val=""/>
                  <m:endChr m:val=")"/>
                  <m:grow/>
                </m:dPr>
                <m:e>
                  <m:r>
                    <m:t>T</m:t>
                  </m:r>
                  <m:r>
                    <m:rPr>
                      <m:sty m:val="p"/>
                    </m:rPr>
                    <m:t>,</m:t>
                  </m:r>
                  <m:r>
                    <m:t>p</m:t>
                  </m:r>
                </m:e>
              </m:d>
            </m:e>
          </m:d>
        </m:oMath>
      </m:oMathPara>
    </w:p>
    <w:p>
      <w:pPr>
        <w:spacing w:after="100"/>
        <w:jc w:val="both"/>
      </w:pPr>
      <w:r>
        <w:rPr>
          <w:color w:val="3A4350"/>
          <w:sz w:val="19"/>
          <w:szCs w:val="19"/>
        </w:rPr>
        <w:t xml:space="preserve">where </w:t>
      </w:r>
      <m:oMath>
        <m:sSub>
          <m:e>
            <m:r>
              <m:t>ϕ</m:t>
            </m:r>
          </m:e>
          <m:sub>
            <m:r>
              <m:t>h</m:t>
            </m:r>
          </m:sub>
        </m:sSub>
      </m:oMath>
      <w:r>
        <w:rPr>
          <w:color w:val="3A4350"/>
          <w:sz w:val="19"/>
          <w:szCs w:val="19"/>
        </w:rPr>
        <w:t xml:space="preserve"> is the hydrate fraction, </w:t>
      </w:r>
      <m:oMath>
        <m:sSub>
          <m:e>
            <m:r>
              <m:t>a</m:t>
            </m:r>
          </m:e>
          <m:sub>
            <m:r>
              <m:t>g</m:t>
            </m:r>
            <m:r>
              <m:t>w</m:t>
            </m:r>
          </m:sub>
        </m:sSub>
      </m:oMath>
      <w:r>
        <w:rPr>
          <w:color w:val="3A4350"/>
          <w:sz w:val="19"/>
          <w:szCs w:val="19"/>
        </w:rPr>
        <w:t xml:space="preserve"> the gas–water interfacial area per unit volume, </w:t>
      </w:r>
      <m:oMath>
        <m:sSub>
          <m:e>
            <m:r>
              <m:t>f</m:t>
            </m:r>
          </m:e>
          <m:sub>
            <m:r>
              <m:t>g</m:t>
            </m:r>
          </m:sub>
        </m:sSub>
      </m:oMath>
      <w:r>
        <w:rPr>
          <w:color w:val="3A4350"/>
          <w:sz w:val="19"/>
          <w:szCs w:val="19"/>
        </w:rPr>
        <w:t xml:space="preserve"> the gas fugacity and </w:t>
      </w:r>
      <m:oMath>
        <m:sSub>
          <m:e>
            <m:r>
              <m:t>f</m:t>
            </m:r>
          </m:e>
          <m:sub>
            <m:r>
              <m:rPr>
                <m:sty m:val="p"/>
              </m:rPr>
              <m:t>e</m:t>
            </m:r>
            <m:r>
              <m:rPr>
                <m:sty m:val="p"/>
              </m:rPr>
              <m:t>q</m:t>
            </m:r>
          </m:sub>
        </m:sSub>
      </m:oMath>
      <w:r>
        <w:rPr>
          <w:color w:val="3A4350"/>
          <w:sz w:val="19"/>
          <w:szCs w:val="19"/>
        </w:rPr>
        <w:t xml:space="preserve"> the fugacity at three-phase equilibrium.</w:t>
      </w:r>
    </w:p>
    <w:p>
      <w:pPr>
        <w:spacing w:after="100" w:before="80"/>
        <w:jc w:val="both"/>
      </w:pPr>
      <w:r>
        <w:rPr>
          <w:b/>
          <w:bCs/>
          <w:color w:val="B4410C"/>
        </w:rPr>
        <w:t xml:space="preserve">Link to the theoretical introduction. </w:t>
      </w:r>
      <w:r>
        <w:t xml:space="preserve">Belongs to sections 1.2 and 1.6: growth of a solid phase away from equilibrium coupled to flow produces a pattern instead of a seal, the precipitation side of the reaction–transport feedbacks of section 1.6.</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Identifies crustal fingering, a reaction–flow instability in which a growing solid on a moving interface promotes rather than blocks gas migration.</w:t>
      </w:r>
    </w:p>
    <w:p>
      <w:pPr>
        <w:pStyle w:val="Heading2"/>
        <w:keepNext/>
      </w:pPr>
      <w:r>
        <w:rPr>
          <w:color w:val="B4410C"/>
        </w:rPr>
        <w:t xml:space="preserve">C2  </w:t>
      </w:r>
      <w:r>
        <w:rPr>
          <w:color w:val="1F3864"/>
        </w:rPr>
        <w:t xml:space="preserve">A Learning-Based Multiscale Model for Reactive Flow in Porous Media</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Mina Karimi, Kaushik Bhattacharya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Water Resources Research, vol. 60, no. 9, article e2023WR036303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q3dynhubrhf6z-g1cyvi">
              <w:r>
                <w:rPr>
                  <w:color w:val="1D4ED8"/>
                  <w:sz w:val="18"/>
                  <w:szCs w:val="18"/>
                  <w:u w:val="single"/>
                </w:rPr>
                <w:t xml:space="preserve">https://doi.org/10.1029/2023WR036303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Caltech (arXiv 2309.10933 author block; CaltechDATA training-data record 10.22002/yd0c5-q5s36). The author block of the Wiley version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reactive transport · evolving pore geometry · two-scale (FE²) homogenization · recurrent neural operators · history-dependent closures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Reactive flow changes the morphology, transport properties and material properties of a porous formation as the fluid passes, and concurrent two-scale methods that solve a pore-scale problem at every macroscopic point and time are very expensive. The authors build a two-scale framework for reactive transport with volume reactions in which a recurrent neural operator, trained offline on pore-scale simulations, replaces the history-dependent lower-scale solution operator. The accuracy is comparable to concurrent multiscale methods at a cost close to that of a constitutive relation. The effective permeability, diffusivity and reaction rate depend on the whole past evolution of the pores, and the method learns this memory instead of assuming an equilibrium closure.</w:t>
      </w:r>
    </w:p>
    <w:p>
      <w:pPr>
        <w:keepNext/>
        <w:spacing w:after="40" w:before="80"/>
      </w:pPr>
      <w:r>
        <w:rPr>
          <w:b/>
          <w:bCs/>
          <w:color w:val="B4410C"/>
        </w:rPr>
        <w:t xml:space="preserve">Key equation.</w:t>
      </w:r>
      <w:r>
        <w:rPr>
          <w:i/>
          <w:iCs/>
          <w:color w:val="5B6573"/>
          <w:sz w:val="18"/>
          <w:szCs w:val="18"/>
        </w:rPr>
        <w:t xml:space="preserve">  Two-scale reactive transport with a learned closure with memory (representative formulation)</w:t>
      </w:r>
    </w:p>
    <w:p>
      <w:pPr>
        <w:pStyle w:val="Equation"/>
      </w:pPr>
      <m:oMathPara>
        <m:oMathParaPr>
          <m:jc m:val="center"/>
        </m:oMathParaPr>
        <m:oMath>
          <m:f>
            <m:fPr>
              <m:type m:val="bar"/>
            </m:fPr>
            <m:num>
              <m:r>
                <m:rPr>
                  <m:sty m:val="p"/>
                </m:rPr>
                <m:t>∂</m:t>
              </m:r>
              <m:d>
                <m:dPr>
                  <m:begChr m:val="("/>
                  <m:sepChr m:val=""/>
                  <m:endChr m:val=")"/>
                  <m:grow/>
                </m:dPr>
                <m:e>
                  <m:r>
                    <m:t>ϕ</m:t>
                  </m:r>
                  <m:r>
                    <m:t>c</m:t>
                  </m:r>
                </m:e>
              </m:d>
            </m:num>
            <m:den>
              <m:r>
                <m:rPr>
                  <m:sty m:val="p"/>
                </m:rPr>
                <m:t>∂</m:t>
              </m:r>
              <m:r>
                <m:t>t</m:t>
              </m:r>
            </m:den>
          </m:f>
          <m:r>
            <m:rPr>
              <m:sty m:val="p"/>
            </m:rPr>
            <m:t>+</m:t>
          </m:r>
          <m:r>
            <m:rPr>
              <m:sty m:val="p"/>
            </m:rPr>
            <m:t>∇</m:t>
          </m:r>
          <m:r>
            <m:rPr>
              <m:sty m:val="p"/>
            </m:rPr>
            <m:t>⋅</m:t>
          </m:r>
          <m:d>
            <m:dPr>
              <m:begChr m:val="("/>
              <m:sepChr m:val=""/>
              <m:endChr m:val=")"/>
              <m:grow/>
            </m:dPr>
            <m:e>
              <m:r>
                <m:rPr>
                  <m:sty m:val="b"/>
                </m:rPr>
                <m:t>u</m:t>
              </m:r>
              <m:r>
                <m:t>c</m:t>
              </m:r>
            </m:e>
          </m:d>
          <m:r>
            <m:rPr>
              <m:sty m:val="p"/>
            </m:rPr>
            <m:t>−</m:t>
          </m:r>
          <m:r>
            <m:rPr>
              <m:sty m:val="p"/>
            </m:rPr>
            <m:t>∇</m:t>
          </m:r>
          <m:r>
            <m:rPr>
              <m:sty m:val="p"/>
            </m:rPr>
            <m:t>⋅</m:t>
          </m:r>
          <m:d>
            <m:dPr>
              <m:begChr m:val="("/>
              <m:sepChr m:val=""/>
              <m:endChr m:val=")"/>
              <m:grow/>
            </m:dPr>
            <m:e>
              <m:sSup>
                <m:e>
                  <m:r>
                    <m:rPr>
                      <m:sty m:val="b"/>
                    </m:rPr>
                    <m:t>D</m:t>
                  </m:r>
                </m:e>
                <m:sup>
                  <m:r>
                    <m:rPr>
                      <m:sty m:val="p"/>
                    </m:rPr>
                    <m:t>e</m:t>
                  </m:r>
                  <m:r>
                    <m:rPr>
                      <m:sty m:val="p"/>
                    </m:rPr>
                    <m:t>f</m:t>
                  </m:r>
                  <m:r>
                    <m:rPr>
                      <m:sty m:val="p"/>
                    </m:rPr>
                    <m:t>f</m:t>
                  </m:r>
                </m:sup>
              </m:sSup>
              <m:r>
                <m:rPr>
                  <m:sty m:val="p"/>
                </m:rPr>
                <m:t>∇</m:t>
              </m:r>
              <m:r>
                <m:t>c</m:t>
              </m:r>
            </m:e>
          </m:d>
          <m:r>
            <m:rPr>
              <m:sty m:val="p"/>
            </m:rPr>
            <m:t>=</m:t>
          </m:r>
          <m:r>
            <m:rPr>
              <m:sty m:val="p"/>
            </m:rPr>
            <m:t>−</m:t>
          </m:r>
          <m:sSup>
            <m:e>
              <m:r>
                <m:t>R</m:t>
              </m:r>
            </m:e>
            <m:sup>
              <m:r>
                <m:rPr>
                  <m:sty m:val="p"/>
                </m:rPr>
                <m:t>e</m:t>
              </m:r>
              <m:r>
                <m:rPr>
                  <m:sty m:val="p"/>
                </m:rPr>
                <m:t>f</m:t>
              </m:r>
              <m:r>
                <m:rPr>
                  <m:sty m:val="p"/>
                </m:rPr>
                <m:t>f</m:t>
              </m:r>
            </m:sup>
          </m:sSup>
          <m:r>
            <m:rPr>
              <m:sty m:val="p"/>
            </m:rPr>
            <m:t>,</m:t>
          </m:r>
          <m:r>
            <m:t>  </m:t>
          </m:r>
          <m:d>
            <m:dPr>
              <m:begChr m:val="("/>
              <m:sepChr m:val=""/>
              <m:endChr m:val=")"/>
              <m:grow/>
            </m:dPr>
            <m:e>
              <m:r>
                <m:rPr>
                  <m:sty m:val="b"/>
                </m:rPr>
                <m:t>K</m:t>
              </m:r>
              <m:r>
                <m:rPr>
                  <m:sty m:val="p"/>
                </m:rPr>
                <m:t>,</m:t>
              </m:r>
              <m:sSup>
                <m:e>
                  <m:r>
                    <m:rPr>
                      <m:sty m:val="b"/>
                    </m:rPr>
                    <m:t>D</m:t>
                  </m:r>
                </m:e>
                <m:sup>
                  <m:r>
                    <m:rPr>
                      <m:sty m:val="p"/>
                    </m:rPr>
                    <m:t>e</m:t>
                  </m:r>
                  <m:r>
                    <m:rPr>
                      <m:sty m:val="p"/>
                    </m:rPr>
                    <m:t>f</m:t>
                  </m:r>
                  <m:r>
                    <m:rPr>
                      <m:sty m:val="p"/>
                    </m:rPr>
                    <m:t>f</m:t>
                  </m:r>
                </m:sup>
              </m:sSup>
              <m:r>
                <m:rPr>
                  <m:sty m:val="p"/>
                </m:rPr>
                <m:t>,</m:t>
              </m:r>
              <m:sSup>
                <m:e>
                  <m:r>
                    <m:t>R</m:t>
                  </m:r>
                </m:e>
                <m:sup>
                  <m:r>
                    <m:rPr>
                      <m:sty m:val="p"/>
                    </m:rPr>
                    <m:t>e</m:t>
                  </m:r>
                  <m:r>
                    <m:rPr>
                      <m:sty m:val="p"/>
                    </m:rPr>
                    <m:t>f</m:t>
                  </m:r>
                  <m:r>
                    <m:rPr>
                      <m:sty m:val="p"/>
                    </m:rPr>
                    <m:t>f</m:t>
                  </m:r>
                </m:sup>
              </m:sSup>
            </m:e>
          </m:d>
          <m:d>
            <m:dPr>
              <m:begChr m:val="("/>
              <m:sepChr m:val=""/>
              <m:endChr m:val=")"/>
              <m:grow/>
            </m:dPr>
            <m:e>
              <m:r>
                <m:t>t</m:t>
              </m:r>
            </m:e>
          </m:d>
          <m:r>
            <m:rPr>
              <m:sty m:val="p"/>
            </m:rPr>
            <m:t>=</m:t>
          </m:r>
          <m:sSub>
            <m:e>
              <m:r>
                <m:t>Ψ</m:t>
              </m:r>
            </m:e>
            <m:sub>
              <m:r>
                <m:t>θ</m:t>
              </m:r>
            </m:sub>
          </m:sSub>
          <m:d>
            <m:dPr>
              <m:begChr m:val="["/>
              <m:sepChr m:val=""/>
              <m:endChr m:val="]"/>
              <m:grow/>
            </m:dPr>
            <m:e>
              <m:sSub>
                <m:e>
                  <m:d>
                    <m:dPr>
                      <m:begChr m:val="{"/>
                      <m:sepChr m:val=""/>
                      <m:endChr m:val="}"/>
                      <m:grow/>
                    </m:dPr>
                    <m:e>
                      <m:r>
                        <m:t>c</m:t>
                      </m:r>
                      <m:d>
                        <m:dPr>
                          <m:begChr m:val="("/>
                          <m:sepChr m:val=""/>
                          <m:endChr m:val=")"/>
                          <m:grow/>
                        </m:dPr>
                        <m:e>
                          <m:r>
                            <m:t>τ</m:t>
                          </m:r>
                        </m:e>
                      </m:d>
                      <m:r>
                        <m:rPr>
                          <m:sty m:val="p"/>
                        </m:rPr>
                        <m:t>,</m:t>
                      </m:r>
                      <m:r>
                        <m:rPr>
                          <m:sty m:val="p"/>
                        </m:rPr>
                        <m:t>∇</m:t>
                      </m:r>
                      <m:r>
                        <m:t>p</m:t>
                      </m:r>
                      <m:d>
                        <m:dPr>
                          <m:begChr m:val="("/>
                          <m:sepChr m:val=""/>
                          <m:endChr m:val=")"/>
                          <m:grow/>
                        </m:dPr>
                        <m:e>
                          <m:r>
                            <m:t>τ</m:t>
                          </m:r>
                        </m:e>
                      </m:d>
                    </m:e>
                  </m:d>
                </m:e>
                <m:sub>
                  <m:r>
                    <m:t>τ</m:t>
                  </m:r>
                  <m:r>
                    <m:rPr>
                      <m:sty m:val="p"/>
                    </m:rPr>
                    <m:t>≤</m:t>
                  </m:r>
                  <m:r>
                    <m:t>t</m:t>
                  </m:r>
                </m:sub>
              </m:sSub>
            </m:e>
          </m:d>
        </m:oMath>
      </m:oMathPara>
    </w:p>
    <w:p>
      <w:pPr>
        <w:spacing w:after="100"/>
        <w:jc w:val="both"/>
      </w:pPr>
      <w:r>
        <w:rPr>
          <w:color w:val="3A4350"/>
          <w:sz w:val="19"/>
          <w:szCs w:val="19"/>
        </w:rPr>
        <w:t xml:space="preserve">where </w:t>
      </w:r>
      <m:oMath>
        <m:sSub>
          <m:e>
            <m:r>
              <m:t>Ψ</m:t>
            </m:r>
          </m:e>
          <m:sub>
            <m:r>
              <m:t>θ</m:t>
            </m:r>
          </m:sub>
        </m:sSub>
      </m:oMath>
      <w:r>
        <w:rPr>
          <w:color w:val="3A4350"/>
          <w:sz w:val="19"/>
          <w:szCs w:val="19"/>
        </w:rPr>
        <w:t xml:space="preserve"> is the recurrent neural operator that maps the history of the macroscopic state to the current effective properties.</w:t>
      </w:r>
    </w:p>
    <w:p>
      <w:pPr>
        <w:spacing w:after="100" w:before="80"/>
        <w:jc w:val="both"/>
      </w:pPr>
      <w:r>
        <w:rPr>
          <w:b/>
          <w:bCs/>
          <w:color w:val="B4410C"/>
        </w:rPr>
        <w:t xml:space="preserve">Link to the theoretical introduction. </w:t>
      </w:r>
      <w:r>
        <w:t xml:space="preserve">Belongs to section 1.6: the porosity–permeability feedback of section 1.6 with the full pore-scale history kept, which a closed-form Kozeny–Carman law cannot do.</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Replaces the pore-scale solve inside two-scale homogenization with a recurrent neural operator that learns path-dependent effective properties.</w:t>
      </w:r>
    </w:p>
    <w:p>
      <w:pPr>
        <w:pStyle w:val="Heading2"/>
        <w:keepNext/>
      </w:pPr>
      <w:r>
        <w:rPr>
          <w:color w:val="B4410C"/>
        </w:rPr>
        <w:t xml:space="preserve">C3  </w:t>
      </w:r>
      <w:r>
        <w:rPr>
          <w:color w:val="1F3864"/>
        </w:rPr>
        <w:t xml:space="preserve">Direct comparison of density-driven convective mixing in a three-dimensional porous medium using experiments and simulation</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Rebecca Liyanage, Xiaojing Fu, Ronny Pini, Ruben Juanes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Fluids, vol. 9, article 043802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ewof19j1gtzr3lqrqrls">
              <w:r>
                <w:rPr>
                  <w:color w:val="1D4ED8"/>
                  <w:sz w:val="18"/>
                  <w:szCs w:val="18"/>
                  <w:u w:val="single"/>
                </w:rPr>
                <w:t xml:space="preserve">https://doi.org/10.1103/PhysRevFluids.9.043802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X. Fu: Department of Mechanical and Civil Engineering, Caltech (CaltechAUTHORS record q0y7q-yye94; Fu laboratory news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density-driven convection · Rayleigh–Darcy fingering · scalar dissipation · convective dissolution of CO₂ · three-dimensional experiments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paper tests whether Darcy-scale simulations of density-driven convective mixing, the mechanism of convective dissolution of CO₂ in brine, reproduce a three-dimensional experiment. Experiment and simulation are compared through the fingering pattern, the mean concentration, its variance, the scalar dissipation rate and the dissolution flux, and agree well. The experiment shows columnar plumes that self-organize into a reticular pattern, seen before only in simulations, and a relation between scalar dissipation and dissolution flux gives a three-dimensional flux about 30% higher than the two-dimensional one. Mixing is controlled by the nonlinear, self-organized plume structure, not by Fickian dispersion; the system itself is non-reactive.</w:t>
      </w:r>
    </w:p>
    <w:p>
      <w:pPr>
        <w:keepNext/>
        <w:spacing w:after="40" w:before="80"/>
      </w:pPr>
      <w:r>
        <w:rPr>
          <w:b/>
          <w:bCs/>
          <w:color w:val="B4410C"/>
        </w:rPr>
        <w:t xml:space="preserve">Key equation.</w:t>
      </w:r>
      <w:r>
        <w:rPr>
          <w:i/>
          <w:iCs/>
          <w:color w:val="5B6573"/>
          <w:sz w:val="18"/>
          <w:szCs w:val="18"/>
        </w:rPr>
        <w:t xml:space="preserve">  Darcy–Boussinesq convection and the Rayleigh number (representative formulation)</w:t>
      </w:r>
    </w:p>
    <w:p>
      <w:pPr>
        <w:pStyle w:val="Equation"/>
      </w:pPr>
      <m:oMathPara>
        <m:oMathParaPr>
          <m:jc m:val="center"/>
        </m:oMathParaPr>
        <m:oMath>
          <m:r>
            <m:rPr>
              <m:sty m:val="p"/>
            </m:rPr>
            <m:t>∇</m:t>
          </m:r>
          <m:r>
            <m:rPr>
              <m:sty m:val="p"/>
            </m:rPr>
            <m:t>⋅</m:t>
          </m:r>
          <m:r>
            <m:rPr>
              <m:sty m:val="b"/>
            </m:rPr>
            <m:t>u</m:t>
          </m:r>
          <m:r>
            <m:rPr>
              <m:sty m:val="p"/>
            </m:rPr>
            <m:t>=</m:t>
          </m:r>
          <m:r>
            <m:t>0</m:t>
          </m:r>
          <m:r>
            <m:rPr>
              <m:sty m:val="p"/>
            </m:rPr>
            <m:t>,</m:t>
          </m:r>
          <m:r>
            <m:t>  </m:t>
          </m:r>
          <m:r>
            <m:rPr>
              <m:sty m:val="b"/>
            </m:rPr>
            <m:t>u</m:t>
          </m:r>
          <m:r>
            <m:rPr>
              <m:sty m:val="p"/>
            </m:rPr>
            <m:t>=</m:t>
          </m:r>
          <m:r>
            <m:rPr>
              <m:sty m:val="p"/>
            </m:rPr>
            <m:t>−</m:t>
          </m:r>
          <m:f>
            <m:fPr>
              <m:type m:val="bar"/>
            </m:fPr>
            <m:num>
              <m:r>
                <m:t>k</m:t>
              </m:r>
            </m:num>
            <m:den>
              <m:r>
                <m:t>μ</m:t>
              </m:r>
            </m:den>
          </m:f>
          <m:d>
            <m:dPr>
              <m:begChr m:val="("/>
              <m:sepChr m:val=""/>
              <m:endChr m:val=")"/>
              <m:grow/>
            </m:dPr>
            <m:e>
              <m:r>
                <m:rPr>
                  <m:sty m:val="p"/>
                </m:rPr>
                <m:t>∇</m:t>
              </m:r>
              <m:r>
                <m:t>p</m:t>
              </m:r>
              <m:r>
                <m:rPr>
                  <m:sty m:val="p"/>
                </m:rPr>
                <m:t>−</m:t>
              </m:r>
              <m:r>
                <m:t>ρ</m:t>
              </m:r>
              <m:d>
                <m:dPr>
                  <m:begChr m:val="("/>
                  <m:sepChr m:val=""/>
                  <m:endChr m:val=")"/>
                  <m:grow/>
                </m:dPr>
                <m:e>
                  <m:r>
                    <m:t>c</m:t>
                  </m:r>
                </m:e>
              </m:d>
              <m:r>
                <m:t> </m:t>
              </m:r>
              <m:r>
                <m:rPr>
                  <m:sty m:val="b"/>
                </m:rPr>
                <m:t>g</m:t>
              </m:r>
            </m:e>
          </m:d>
          <m:r>
            <m:rPr>
              <m:sty m:val="p"/>
            </m:rPr>
            <m:t>,</m:t>
          </m:r>
          <m:r>
            <m:t>  </m:t>
          </m:r>
          <m:r>
            <m:t>ϕ</m:t>
          </m:r>
          <m:f>
            <m:fPr>
              <m:type m:val="bar"/>
            </m:fPr>
            <m:num>
              <m:r>
                <m:rPr>
                  <m:sty m:val="p"/>
                </m:rPr>
                <m:t>∂</m:t>
              </m:r>
              <m:r>
                <m:t>c</m:t>
              </m:r>
            </m:num>
            <m:den>
              <m:r>
                <m:rPr>
                  <m:sty m:val="p"/>
                </m:rPr>
                <m:t>∂</m:t>
              </m:r>
              <m:r>
                <m:t>t</m:t>
              </m:r>
            </m:den>
          </m:f>
          <m:r>
            <m:rPr>
              <m:sty m:val="p"/>
            </m:rPr>
            <m:t>+</m:t>
          </m:r>
          <m:r>
            <m:rPr>
              <m:sty m:val="b"/>
            </m:rPr>
            <m:t>u</m:t>
          </m:r>
          <m:r>
            <m:rPr>
              <m:sty m:val="p"/>
            </m:rPr>
            <m:t>⋅</m:t>
          </m:r>
          <m:r>
            <m:rPr>
              <m:sty m:val="p"/>
            </m:rPr>
            <m:t>∇</m:t>
          </m:r>
          <m:r>
            <m:t>c</m:t>
          </m:r>
          <m:r>
            <m:rPr>
              <m:sty m:val="p"/>
            </m:rPr>
            <m:t>=</m:t>
          </m:r>
          <m:r>
            <m:t>ϕ</m:t>
          </m:r>
          <m:r>
            <m:t>D</m:t>
          </m:r>
          <m:sSup>
            <m:e>
              <m:r>
                <m:rPr>
                  <m:sty m:val="p"/>
                </m:rPr>
                <m:t>∇</m:t>
              </m:r>
            </m:e>
            <m:sup>
              <m:r>
                <m:t>2</m:t>
              </m:r>
            </m:sup>
          </m:sSup>
          <m:r>
            <m:t>c</m:t>
          </m:r>
          <m:r>
            <m:rPr>
              <m:sty m:val="p"/>
            </m:rPr>
            <m:t>,</m:t>
          </m:r>
          <m:r>
            <m:t>  </m:t>
          </m:r>
          <m:r>
            <m:rPr>
              <m:sty m:val="p"/>
            </m:rPr>
            <m:t>R</m:t>
          </m:r>
          <m:r>
            <m:rPr>
              <m:sty m:val="p"/>
            </m:rPr>
            <m:t>a</m:t>
          </m:r>
          <m:r>
            <m:rPr>
              <m:sty m:val="p"/>
            </m:rPr>
            <m:t>=</m:t>
          </m:r>
          <m:f>
            <m:fPr>
              <m:type m:val="bar"/>
            </m:fPr>
            <m:num>
              <m:r>
                <m:t>k</m:t>
              </m:r>
              <m:r>
                <m:t> </m:t>
              </m:r>
              <m:r>
                <m:t>Δ</m:t>
              </m:r>
              <m:r>
                <m:t>ρ</m:t>
              </m:r>
              <m:r>
                <m:t> </m:t>
              </m:r>
              <m:r>
                <m:t>g</m:t>
              </m:r>
              <m:r>
                <m:t> </m:t>
              </m:r>
              <m:r>
                <m:t>H</m:t>
              </m:r>
            </m:num>
            <m:den>
              <m:r>
                <m:t>ϕ</m:t>
              </m:r>
              <m:r>
                <m:t> </m:t>
              </m:r>
              <m:r>
                <m:t>μ</m:t>
              </m:r>
              <m:r>
                <m:t> </m:t>
              </m:r>
              <m:r>
                <m:t>D</m:t>
              </m:r>
            </m:den>
          </m:f>
        </m:oMath>
      </m:oMathPara>
    </w:p>
    <w:p>
      <w:pPr>
        <w:spacing w:after="100"/>
        <w:jc w:val="both"/>
      </w:pPr>
      <w:r>
        <w:rPr>
          <w:color w:val="3A4350"/>
          <w:sz w:val="19"/>
          <w:szCs w:val="19"/>
        </w:rPr>
        <w:t xml:space="preserve">where </w:t>
      </w:r>
      <m:oMath>
        <m:r>
          <m:t>ρ</m:t>
        </m:r>
        <m:d>
          <m:dPr>
            <m:begChr m:val="("/>
            <m:sepChr m:val=""/>
            <m:endChr m:val=")"/>
            <m:grow/>
          </m:dPr>
          <m:e>
            <m:r>
              <m:t>c</m:t>
            </m:r>
          </m:e>
        </m:d>
      </m:oMath>
      <w:r>
        <w:rPr>
          <w:color w:val="3A4350"/>
          <w:sz w:val="19"/>
          <w:szCs w:val="19"/>
        </w:rPr>
        <w:t xml:space="preserve"> is the density of the fluid as a function of concentration, </w:t>
      </w:r>
      <m:oMath>
        <m:r>
          <m:t>H</m:t>
        </m:r>
      </m:oMath>
      <w:r>
        <w:rPr>
          <w:color w:val="3A4350"/>
          <w:sz w:val="19"/>
          <w:szCs w:val="19"/>
        </w:rPr>
        <w:t xml:space="preserve"> the height of the domain and </w:t>
      </w:r>
      <m:oMath>
        <m:r>
          <m:rPr>
            <m:sty m:val="p"/>
          </m:rPr>
          <m:t>R</m:t>
        </m:r>
        <m:r>
          <m:rPr>
            <m:sty m:val="p"/>
          </m:rPr>
          <m:t>a</m:t>
        </m:r>
      </m:oMath>
      <w:r>
        <w:rPr>
          <w:color w:val="3A4350"/>
          <w:sz w:val="19"/>
          <w:szCs w:val="19"/>
        </w:rPr>
        <w:t xml:space="preserve"> the Rayleigh number.</w:t>
      </w:r>
    </w:p>
    <w:p>
      <w:pPr>
        <w:spacing w:after="100" w:before="80"/>
        <w:jc w:val="both"/>
      </w:pPr>
      <w:r>
        <w:rPr>
          <w:b/>
          <w:bCs/>
          <w:color w:val="B4410C"/>
        </w:rPr>
        <w:t xml:space="preserve">Link to the theoretical introduction. </w:t>
      </w:r>
      <w:r>
        <w:t xml:space="preserve">Belongs to sections 1.4 and 1.5: density-driven fingering at a freshwater–seawater or brine interface sets the scalar dissipation rate that drives mixing-controlled reactions (section 1.4); the measured dissipation–flux relation is what such reactions need.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the first direct quantitative comparison of three-dimensional convective mixing in experiment and simulation, and the first experimental observation of the reticular plume pattern.</w:t>
      </w:r>
    </w:p>
    <w:p>
      <w:pPr>
        <w:pStyle w:val="Heading2"/>
        <w:keepNext/>
      </w:pPr>
      <w:r>
        <w:rPr>
          <w:color w:val="B4410C"/>
        </w:rPr>
        <w:t xml:space="preserve">C4  </w:t>
      </w:r>
      <w:r>
        <w:rPr>
          <w:color w:val="1F3864"/>
        </w:rPr>
        <w:t xml:space="preserve">An atomic force microscopy study of calcite dissolution in seawater</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Sijia Dong, William M. Berelson, Jess F. Adkins, Nick E. Rollins, John D. Naviaux, Sahand Pirbadian, Mohamed Y. El-Naggar, H. Henry Teng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Geochimica et Cosmochimica Acta, vol. 283, pp. 40–53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ilqnuuwpuf9_wt08plb7">
              <w:r>
                <w:rPr>
                  <w:color w:val="1D4ED8"/>
                  <w:sz w:val="18"/>
                  <w:szCs w:val="18"/>
                  <w:u w:val="single"/>
                </w:rPr>
                <w:t xml:space="preserve">https://doi.org/10.1016/j.gca.2020.05.031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F. Adkins: Division of Geological and Planetary Sciences, Caltech (CaltechAUTHORS:20200609-071637828).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calcite dissolution · atomic force microscopy · step retreat · etch-pit nucleation · nonlinear rate laws · seawater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Calcite dissolution in seawater depends strongly and nonlinearly on undersaturation, and this first atomic force microscopy study of calcite in seawater looks for the surface mechanism. Step retreat and etch-pit density are compared in seawater and in low-ionic-strength water. In seawater, defect-assisted etch pits begin to open at a saturation ratio of about 0.85, against 0.54 in low-ionic-strength water, and below about 0.7 the pit density rises abruptly, pointing to a switch from defect-assisted to homogeneous dissolution. Step-retreat velocity is not linear in undersaturation. The rate law therefore changes regime at critical saturation states, and a linear transition-state law fails.</w:t>
      </w:r>
    </w:p>
    <w:p>
      <w:pPr>
        <w:keepNext/>
        <w:spacing w:after="40" w:before="80"/>
      </w:pPr>
      <w:r>
        <w:rPr>
          <w:b/>
          <w:bCs/>
          <w:color w:val="B4410C"/>
        </w:rPr>
        <w:t xml:space="preserve">Key equation.</w:t>
      </w:r>
      <w:r>
        <w:rPr>
          <w:i/>
          <w:iCs/>
          <w:color w:val="5B6573"/>
          <w:sz w:val="18"/>
          <w:szCs w:val="18"/>
        </w:rPr>
        <w:t xml:space="preserve">  Empirical rate law and critical radius of a dissolution pit (representative formulation)</w:t>
      </w:r>
    </w:p>
    <w:p>
      <w:pPr>
        <w:pStyle w:val="Equation"/>
      </w:pPr>
      <m:oMathPara>
        <m:oMathParaPr>
          <m:jc m:val="center"/>
        </m:oMathParaPr>
        <m:oMath>
          <m:r>
            <m:t>R</m:t>
          </m:r>
          <m:r>
            <m:rPr>
              <m:sty m:val="p"/>
            </m:rPr>
            <m:t>=</m:t>
          </m:r>
          <m:r>
            <m:t>k</m:t>
          </m:r>
          <m:sSup>
            <m:e>
              <m:d>
                <m:dPr>
                  <m:begChr m:val="("/>
                  <m:sepChr m:val=""/>
                  <m:endChr m:val=")"/>
                  <m:grow/>
                </m:dPr>
                <m:e>
                  <m:r>
                    <m:t>1</m:t>
                  </m:r>
                  <m:r>
                    <m:rPr>
                      <m:sty m:val="p"/>
                    </m:rPr>
                    <m:t>−</m:t>
                  </m:r>
                  <m:r>
                    <m:t>Ω</m:t>
                  </m:r>
                </m:e>
              </m:d>
            </m:e>
            <m:sup>
              <m:r>
                <m:t>n</m:t>
              </m:r>
            </m:sup>
          </m:sSup>
          <m:r>
            <m:rPr>
              <m:sty m:val="p"/>
            </m:rPr>
            <m:t>,</m:t>
          </m:r>
          <m:r>
            <m:t>  </m:t>
          </m:r>
          <m:sSup>
            <m:e>
              <m:r>
                <m:t>r</m:t>
              </m:r>
            </m:e>
            <m:sup>
              <m:r>
                <m:rPr>
                  <m:sty m:val="p"/>
                </m:rPr>
                <m:t>⋆</m:t>
              </m:r>
            </m:sup>
          </m:sSup>
          <m:r>
            <m:rPr>
              <m:sty m:val="p"/>
            </m:rPr>
            <m:t>=</m:t>
          </m:r>
          <m:f>
            <m:fPr>
              <m:type m:val="bar"/>
            </m:fPr>
            <m:num>
              <m:r>
                <m:t>γ</m:t>
              </m:r>
              <m:r>
                <m:t> </m:t>
              </m:r>
              <m:r>
                <m:t>ω</m:t>
              </m:r>
            </m:num>
            <m:den>
              <m:sSub>
                <m:e>
                  <m:r>
                    <m:t>k</m:t>
                  </m:r>
                </m:e>
                <m:sub>
                  <m:r>
                    <m:t>B</m:t>
                  </m:r>
                </m:sub>
              </m:sSub>
              <m:r>
                <m:t>T</m:t>
              </m:r>
              <m:d>
                <m:dPr>
                  <m:begChr m:val="|"/>
                  <m:sepChr m:val=""/>
                  <m:endChr m:val="|"/>
                  <m:grow/>
                </m:dPr>
                <m:e>
                  <m:r>
                    <m:rPr>
                      <m:sty m:val="p"/>
                    </m:rPr>
                    <m:t>ln</m:t>
                  </m:r>
                  <m:r>
                    <m:t>Ω</m:t>
                  </m:r>
                </m:e>
              </m:d>
            </m:den>
          </m:f>
        </m:oMath>
      </m:oMathPara>
    </w:p>
    <w:p>
      <w:pPr>
        <w:spacing w:after="100"/>
        <w:jc w:val="both"/>
      </w:pPr>
      <w:r>
        <w:rPr>
          <w:color w:val="3A4350"/>
          <w:sz w:val="19"/>
          <w:szCs w:val="19"/>
        </w:rPr>
        <w:t xml:space="preserve">where </w:t>
      </w:r>
      <m:oMath>
        <m:r>
          <m:t>γ</m:t>
        </m:r>
      </m:oMath>
      <w:r>
        <w:rPr>
          <w:color w:val="3A4350"/>
          <w:sz w:val="19"/>
          <w:szCs w:val="19"/>
        </w:rPr>
        <w:t xml:space="preserve"> is the step-edge free energy and </w:t>
      </w:r>
      <m:oMath>
        <m:r>
          <m:t>ω</m:t>
        </m:r>
      </m:oMath>
      <w:r>
        <w:rPr>
          <w:color w:val="3A4350"/>
          <w:sz w:val="19"/>
          <w:szCs w:val="19"/>
        </w:rPr>
        <w:t xml:space="preserve"> the molecular area; a pit opens only where the strain field of a defect lets it exceed the critical radius </w:t>
      </w:r>
      <m:oMath>
        <m:sSup>
          <m:e>
            <m:r>
              <m:t>r</m:t>
            </m:r>
          </m:e>
          <m:sup>
            <m:r>
              <m:rPr>
                <m:sty m:val="p"/>
              </m:rPr>
              <m:t>⋆</m:t>
            </m:r>
          </m:sup>
        </m:sSup>
      </m:oMath>
      <w:r>
        <w:rPr>
          <w:color w:val="3A4350"/>
          <w:sz w:val="19"/>
          <w:szCs w:val="19"/>
        </w:rPr>
        <w:t xml:space="preserve">.</w:t>
      </w:r>
    </w:p>
    <w:p>
      <w:pPr>
        <w:spacing w:after="100" w:before="80"/>
        <w:jc w:val="both"/>
      </w:pPr>
      <w:r>
        <w:rPr>
          <w:b/>
          <w:bCs/>
          <w:color w:val="B4410C"/>
        </w:rPr>
        <w:t xml:space="preserve">Link to the theoretical introduction. </w:t>
      </w:r>
      <w:r>
        <w:t xml:space="preserve">Belongs to section 1.2 and to section 8: the measured onsets of etch-pit opening are the mechanistic basis of a kinked rate law near equilibrium, and they fall in the range of saturation that mixing creates in a coastal aquifer.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Links the kink in the seawater rate law of calcite to a measured onset of etch-pit opening at the nanoscale.</w:t>
      </w:r>
    </w:p>
    <w:p>
      <w:pPr>
        <w:pStyle w:val="Heading2"/>
        <w:keepNext/>
      </w:pPr>
      <w:r>
        <w:rPr>
          <w:color w:val="B4410C"/>
        </w:rPr>
        <w:t xml:space="preserve">C5  </w:t>
      </w:r>
      <w:r>
        <w:rPr>
          <w:color w:val="1F3864"/>
        </w:rPr>
        <w:t xml:space="preserve">Shallow Calcium Carbonate Cycling in the North Pacific Ocean</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Adam V. Subhas, Sijia Dong, John D. Naviaux, Nick E. Rollins and 19 coauthors, William M. Berelson, Jess F. Adkins (24 authors; the order of the middle authors was not verified on the publisher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Global Biogeochemical Cycles, vol. 36, no. 5, article e2022GB007388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8dxlv9pqho0wdwitudvh">
              <w:r>
                <w:rPr>
                  <w:color w:val="1D4ED8"/>
                  <w:sz w:val="18"/>
                  <w:szCs w:val="18"/>
                  <w:u w:val="single"/>
                </w:rPr>
                <w:t xml:space="preserve">https://doi.org/10.1029/2022GB007388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F. Adkins: Division of Geological and Planetary Sciences, Caltech (CaltechAUTHORS record 9b972-53863).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CaCO₃ dissolution above the saturation horizon · mineral-specific kinetics · microenvironments · alkalinity regeneration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B4410C"/>
        </w:rPr>
        <w:t xml:space="preserve">Summary. </w:t>
      </w:r>
      <w:r>
        <w:t xml:space="preserve">In the upper ocean, calcium carbonate disappears from sinking particles and alkalinity is regenerated above the depth where seawater becomes undersaturated, which equilibrium thermodynamics does not predict. Measured dissolution rates of coccoliths, foraminifera and pteropods are compared with flux observations in the North Pacific. The rates in bulk water are too slow to explain the loss, coccolith dissolution depends nonlinearly on saturation, and a dissolution signal appears in water supersaturated with calcite. The authors attribute it to grazing and to respiration inside sinking particles, which create undersaturated microenvironments: the bulk saturation state is not the right control variable.</w:t>
      </w:r>
    </w:p>
    <w:p>
      <w:pPr>
        <w:keepNext/>
        <w:spacing w:after="40" w:before="80"/>
      </w:pPr>
      <w:r>
        <w:rPr>
          <w:b/>
          <w:bCs/>
          <w:color w:val="B4410C"/>
        </w:rPr>
        <w:t xml:space="preserve">Key equation.</w:t>
      </w:r>
      <w:r>
        <w:rPr>
          <w:i/>
          <w:iCs/>
          <w:color w:val="5B6573"/>
          <w:sz w:val="18"/>
          <w:szCs w:val="18"/>
        </w:rPr>
        <w:t xml:space="preserve">  Saturation state and nonlinear rate law (representative formulation)</w:t>
      </w:r>
    </w:p>
    <w:p>
      <w:pPr>
        <w:pStyle w:val="Equation"/>
      </w:pPr>
      <m:oMathPara>
        <m:oMathParaPr>
          <m:jc m:val="center"/>
        </m:oMathParaPr>
        <m:oMath>
          <m:r>
            <m:t>Ω</m:t>
          </m:r>
          <m:r>
            <m:rPr>
              <m:sty m:val="p"/>
            </m:rPr>
            <m:t>=</m:t>
          </m:r>
          <m:f>
            <m:fPr>
              <m:type m:val="bar"/>
            </m:fPr>
            <m:num>
              <m:d>
                <m:dPr>
                  <m:begChr m:val="["/>
                  <m:sepChr m:val=""/>
                  <m:endChr m:val="]"/>
                  <m:grow/>
                </m:dPr>
                <m:e>
                  <m:r>
                    <m:rPr>
                      <m:sty m:val="p"/>
                    </m:rPr>
                    <m:t>C</m:t>
                  </m:r>
                  <m:sSup>
                    <m:e>
                      <m:r>
                        <m:rPr>
                          <m:sty m:val="p"/>
                        </m:rPr>
                        <m:t>a</m:t>
                      </m:r>
                    </m:e>
                    <m:sup>
                      <m:r>
                        <m:rPr>
                          <m:sty m:val="p"/>
                        </m:rPr>
                        <m:t>2</m:t>
                      </m:r>
                      <m:r>
                        <m:rPr>
                          <m:nor/>
                        </m:rPr>
                        <m:t>+</m:t>
                      </m:r>
                    </m:sup>
                  </m:sSup>
                </m:e>
              </m:d>
              <m:d>
                <m:dPr>
                  <m:begChr m:val="["/>
                  <m:sepChr m:val=""/>
                  <m:endChr m:val="]"/>
                  <m:grow/>
                </m:dPr>
                <m:e>
                  <m:r>
                    <m:rPr>
                      <m:sty m:val="p"/>
                    </m:rPr>
                    <m:t>C</m:t>
                  </m:r>
                  <m:sSubSup>
                    <m:e>
                      <m:r>
                        <m:rPr>
                          <m:sty m:val="p"/>
                        </m:rPr>
                        <m:t>O</m:t>
                      </m:r>
                    </m:e>
                    <m:sub>
                      <m:r>
                        <m:rPr>
                          <m:sty m:val="p"/>
                        </m:rPr>
                        <m:t>3</m:t>
                      </m:r>
                    </m:sub>
                    <m:sup>
                      <m:r>
                        <m:rPr>
                          <m:sty m:val="p"/>
                        </m:rPr>
                        <m:t>2</m:t>
                      </m:r>
                      <m:r>
                        <m:rPr>
                          <m:sty m:val="p"/>
                        </m:rPr>
                        <m:t>−</m:t>
                      </m:r>
                    </m:sup>
                  </m:sSubSup>
                </m:e>
              </m:d>
            </m:num>
            <m:den>
              <m:r>
                <m:t>K</m:t>
              </m:r>
              <m:sSub>
                <m:e>
                  <m:r>
                    <m:rPr>
                      <m:sty m:val="p"/>
                    </m:rPr>
                    <m:t>′</m:t>
                  </m:r>
                </m:e>
                <m:sub>
                  <m:r>
                    <m:rPr>
                      <m:sty m:val="p"/>
                    </m:rPr>
                    <m:t>s</m:t>
                  </m:r>
                  <m:r>
                    <m:rPr>
                      <m:sty m:val="p"/>
                    </m:rPr>
                    <m:t>p</m:t>
                  </m:r>
                </m:sub>
              </m:sSub>
            </m:den>
          </m:f>
          <m:r>
            <m:rPr>
              <m:sty m:val="p"/>
            </m:rPr>
            <m:t>,</m:t>
          </m:r>
          <m:r>
            <m:t>  </m:t>
          </m:r>
          <m:r>
            <m:t>R</m:t>
          </m:r>
          <m:r>
            <m:rPr>
              <m:sty m:val="p"/>
            </m:rPr>
            <m:t>=</m:t>
          </m:r>
          <m:r>
            <m:t>k</m:t>
          </m:r>
          <m:sSup>
            <m:e>
              <m:d>
                <m:dPr>
                  <m:begChr m:val="("/>
                  <m:sepChr m:val=""/>
                  <m:endChr m:val=")"/>
                  <m:grow/>
                </m:dPr>
                <m:e>
                  <m:r>
                    <m:t>1</m:t>
                  </m:r>
                  <m:r>
                    <m:rPr>
                      <m:sty m:val="p"/>
                    </m:rPr>
                    <m:t>−</m:t>
                  </m:r>
                  <m:r>
                    <m:t>Ω</m:t>
                  </m:r>
                </m:e>
              </m:d>
            </m:e>
            <m:sup>
              <m:r>
                <m:t>n</m:t>
              </m:r>
            </m:sup>
          </m:sSup>
          <m:r>
            <m:t> </m:t>
          </m:r>
          <m:d>
            <m:dPr>
              <m:begChr m:val="("/>
              <m:sepChr m:val=""/>
              <m:endChr m:val=")"/>
              <m:grow/>
            </m:dPr>
            <m:e>
              <m:r>
                <m:t>Ω</m:t>
              </m:r>
              <m:r>
                <m:rPr>
                  <m:sty m:val="p"/>
                </m:rPr>
                <m:t>&lt;</m:t>
              </m:r>
              <m:r>
                <m:t>1</m:t>
              </m:r>
            </m:e>
          </m:d>
        </m:oMath>
      </m:oMathPara>
    </w:p>
    <w:p>
      <w:pPr>
        <w:spacing w:after="100"/>
        <w:jc w:val="both"/>
      </w:pPr>
      <w:r>
        <w:rPr>
          <w:color w:val="3A4350"/>
          <w:sz w:val="19"/>
          <w:szCs w:val="19"/>
        </w:rPr>
        <w:t xml:space="preserve">where </w:t>
      </w:r>
      <m:oMath>
        <m:r>
          <m:t>K</m:t>
        </m:r>
        <m:sSub>
          <m:e>
            <m:r>
              <m:rPr>
                <m:sty m:val="p"/>
              </m:rPr>
              <m:t>′</m:t>
            </m:r>
          </m:e>
          <m:sub>
            <m:r>
              <m:rPr>
                <m:sty m:val="p"/>
              </m:rPr>
              <m:t>s</m:t>
            </m:r>
            <m:r>
              <m:rPr>
                <m:sty m:val="p"/>
              </m:rPr>
              <m:t>p</m:t>
            </m:r>
          </m:sub>
        </m:sSub>
      </m:oMath>
      <w:r>
        <w:rPr>
          <w:color w:val="3A4350"/>
          <w:sz w:val="19"/>
          <w:szCs w:val="19"/>
        </w:rPr>
        <w:t xml:space="preserve"> is the stoichiometric solubility product in seawater.</w:t>
      </w:r>
    </w:p>
    <w:p>
      <w:pPr>
        <w:spacing w:after="100" w:before="80"/>
        <w:jc w:val="both"/>
      </w:pPr>
      <w:r>
        <w:rPr>
          <w:b/>
          <w:bCs/>
          <w:color w:val="B4410C"/>
        </w:rPr>
        <w:t xml:space="preserve">Link to the theoretical introduction. </w:t>
      </w:r>
      <w:r>
        <w:t xml:space="preserve">Belongs to sections 1.2 and 1.8: local disequilibrium in microenvironments created by biology controls dissolution where the bulk water is at or above saturation, a warning for any equilibrium reading of bulk porewater chemistry.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with mineral-specific kinetics that bulk-water dissolution cannot close the shallow carbonate budget, pointing to biological microenvironments out of equilibrium.</w:t>
      </w:r>
    </w:p>
    <w:p>
      <w:pPr>
        <w:pStyle w:val="Heading2"/>
        <w:keepNext/>
      </w:pPr>
      <w:r>
        <w:rPr>
          <w:color w:val="B4410C"/>
        </w:rPr>
        <w:t xml:space="preserve">C6  </w:t>
      </w:r>
      <w:r>
        <w:rPr>
          <w:color w:val="1F3864"/>
        </w:rPr>
        <w:t xml:space="preserve">Stable and clumped isotope characterization of authigenic carbonates in methane cold seep environments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Nivedita Thiagarajan, Crémière, Blättler, Lepland, Kirsimäe, Higgins, Brunstad, John M. Eiler (initials of the middle six authors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Geochimica et Cosmochimica Acta, vol. 279, pp. 204–219 (2020; volume and pages from a secondary listing)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8fde-kawd_gxuevnju143">
              <w:r>
                <w:rPr>
                  <w:color w:val="1D4ED8"/>
                  <w:sz w:val="18"/>
                  <w:szCs w:val="18"/>
                  <w:u w:val="single"/>
                </w:rPr>
                <w:t xml:space="preserve">https://doi.org/10.1016/j.gca.2020.03.015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M. Eiler: Division of Geological and Planetary Sciences, Caltech (CaltechAUTHORS record 102006). J. A. Higgins (Princeton) is a coauthor.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clumped isotopes · calcium isotopes · authigenic carbonates · methane seeps · kinetic isotope effects · mixing of carbon sources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The paper asks whether carbonates precipitated at North Sea and Barents Sea methane seeps record their formation temperature and fluid sources. Carbon, oxygen, calcium and clumped isotopes are measured on micritic Mg-calcite and aragonite cements. The micritic Mg-calcite gives clumped-isotope temperatures consistent with equilibrium precipitation in the shallow subseafloor, while the aragonite cements span equilibrium and disequilibrium values. The disequilibrium is attributed to incomplete isotopic equilibration among dissolved carbon pools of different origin and to fast, irreversible precipitation that fractionates calcium isotopes: isotopic disequilibrium becomes a measure of rate and of mixing.</w:t>
      </w:r>
    </w:p>
    <w:p>
      <w:pPr>
        <w:keepNext/>
        <w:spacing w:after="40" w:before="80"/>
      </w:pPr>
      <w:r>
        <w:rPr>
          <w:b/>
          <w:bCs/>
          <w:color w:val="B4410C"/>
        </w:rPr>
        <w:t xml:space="preserve">Key equation.</w:t>
      </w:r>
      <w:r>
        <w:rPr>
          <w:i/>
          <w:iCs/>
          <w:color w:val="5B6573"/>
          <w:sz w:val="18"/>
          <w:szCs w:val="18"/>
        </w:rPr>
        <w:t xml:space="preserve">  Surface kinetic model of fractionation during precipitation (representative; the framework, not the paper's own equation)</w:t>
      </w:r>
    </w:p>
    <w:p>
      <w:pPr>
        <w:pStyle w:val="Equation"/>
      </w:pPr>
      <m:oMathPara>
        <m:oMathParaPr>
          <m:jc m:val="center"/>
        </m:oMathParaPr>
        <m:oMath>
          <m:sSub>
            <m:e>
              <m:r>
                <m:t>α</m:t>
              </m:r>
            </m:e>
            <m:sub>
              <m:r>
                <m:t>p</m:t>
              </m:r>
            </m:sub>
          </m:sSub>
          <m:r>
            <m:rPr>
              <m:sty m:val="p"/>
            </m:rPr>
            <m:t>=</m:t>
          </m:r>
          <m:f>
            <m:fPr>
              <m:type m:val="bar"/>
            </m:fPr>
            <m:num>
              <m:sSub>
                <m:e>
                  <m:r>
                    <m:t>α</m:t>
                  </m:r>
                </m:e>
                <m:sub>
                  <m:r>
                    <m:t>f</m:t>
                  </m:r>
                </m:sub>
              </m:sSub>
            </m:num>
            <m:den>
              <m:r>
                <m:t>1</m:t>
              </m:r>
              <m:r>
                <m:rPr>
                  <m:sty m:val="p"/>
                </m:rPr>
                <m:t>+</m:t>
              </m:r>
              <m:f>
                <m:fPr>
                  <m:type m:val="bar"/>
                </m:fPr>
                <m:num>
                  <m:sSub>
                    <m:e>
                      <m:r>
                        <m:t>R</m:t>
                      </m:r>
                    </m:e>
                    <m:sub>
                      <m:r>
                        <m:t>b</m:t>
                      </m:r>
                    </m:sub>
                  </m:sSub>
                </m:num>
                <m:den>
                  <m:sSub>
                    <m:e>
                      <m:r>
                        <m:t>R</m:t>
                      </m:r>
                    </m:e>
                    <m:sub>
                      <m:r>
                        <m:t>p</m:t>
                      </m:r>
                    </m:sub>
                  </m:sSub>
                  <m:r>
                    <m:rPr>
                      <m:sty m:val="p"/>
                    </m:rPr>
                    <m:t>+</m:t>
                  </m:r>
                  <m:sSub>
                    <m:e>
                      <m:r>
                        <m:t>R</m:t>
                      </m:r>
                    </m:e>
                    <m:sub>
                      <m:r>
                        <m:t>b</m:t>
                      </m:r>
                    </m:sub>
                  </m:sSub>
                </m:den>
              </m:f>
              <m:d>
                <m:dPr>
                  <m:begChr m:val="("/>
                  <m:sepChr m:val=""/>
                  <m:endChr m:val=")"/>
                  <m:grow/>
                </m:dPr>
                <m:e>
                  <m:f>
                    <m:fPr>
                      <m:type m:val="bar"/>
                    </m:fPr>
                    <m:num>
                      <m:sSub>
                        <m:e>
                          <m:r>
                            <m:t>α</m:t>
                          </m:r>
                        </m:e>
                        <m:sub>
                          <m:r>
                            <m:t>f</m:t>
                          </m:r>
                        </m:sub>
                      </m:sSub>
                    </m:num>
                    <m:den>
                      <m:sSub>
                        <m:e>
                          <m:r>
                            <m:t>α</m:t>
                          </m:r>
                        </m:e>
                        <m:sub>
                          <m:r>
                            <m:rPr>
                              <m:sty m:val="p"/>
                            </m:rPr>
                            <m:t>e</m:t>
                          </m:r>
                          <m:r>
                            <m:rPr>
                              <m:sty m:val="p"/>
                            </m:rPr>
                            <m:t>q</m:t>
                          </m:r>
                        </m:sub>
                      </m:sSub>
                    </m:den>
                  </m:f>
                  <m:r>
                    <m:rPr>
                      <m:sty m:val="p"/>
                    </m:rPr>
                    <m:t>−</m:t>
                  </m:r>
                  <m:r>
                    <m:t>1</m:t>
                  </m:r>
                </m:e>
              </m:d>
            </m:den>
          </m:f>
        </m:oMath>
      </m:oMathPara>
    </w:p>
    <w:p>
      <w:pPr>
        <w:spacing w:after="100"/>
        <w:jc w:val="both"/>
      </w:pPr>
      <w:r>
        <w:rPr>
          <w:color w:val="3A4350"/>
          <w:sz w:val="19"/>
          <w:szCs w:val="19"/>
        </w:rPr>
        <w:t xml:space="preserve">where </w:t>
      </w:r>
      <m:oMath>
        <m:sSub>
          <m:e>
            <m:r>
              <m:t>R</m:t>
            </m:r>
          </m:e>
          <m:sub>
            <m:r>
              <m:t>p</m:t>
            </m:r>
          </m:sub>
        </m:sSub>
      </m:oMath>
      <w:r>
        <w:rPr>
          <w:color w:val="3A4350"/>
          <w:sz w:val="19"/>
          <w:szCs w:val="19"/>
        </w:rPr>
        <w:t xml:space="preserve"> is the net precipitation rate, </w:t>
      </w:r>
      <m:oMath>
        <m:sSub>
          <m:e>
            <m:r>
              <m:t>R</m:t>
            </m:r>
          </m:e>
          <m:sub>
            <m:r>
              <m:t>b</m:t>
            </m:r>
          </m:sub>
        </m:sSub>
      </m:oMath>
      <w:r>
        <w:rPr>
          <w:color w:val="3A4350"/>
          <w:sz w:val="19"/>
          <w:szCs w:val="19"/>
        </w:rPr>
        <w:t xml:space="preserve"> the backward flux, </w:t>
      </w:r>
      <m:oMath>
        <m:sSub>
          <m:e>
            <m:r>
              <m:t>α</m:t>
            </m:r>
          </m:e>
          <m:sub>
            <m:r>
              <m:t>f</m:t>
            </m:r>
          </m:sub>
        </m:sSub>
      </m:oMath>
      <w:r>
        <w:rPr>
          <w:color w:val="3A4350"/>
          <w:sz w:val="19"/>
          <w:szCs w:val="19"/>
        </w:rPr>
        <w:t xml:space="preserve"> the kinetic and </w:t>
      </w:r>
      <m:oMath>
        <m:sSub>
          <m:e>
            <m:r>
              <m:t>α</m:t>
            </m:r>
          </m:e>
          <m:sub>
            <m:r>
              <m:rPr>
                <m:sty m:val="p"/>
              </m:rPr>
              <m:t>e</m:t>
            </m:r>
            <m:r>
              <m:rPr>
                <m:sty m:val="p"/>
              </m:rPr>
              <m:t>q</m:t>
            </m:r>
          </m:sub>
        </m:sSub>
      </m:oMath>
      <w:r>
        <w:rPr>
          <w:color w:val="3A4350"/>
          <w:sz w:val="19"/>
          <w:szCs w:val="19"/>
        </w:rPr>
        <w:t xml:space="preserve"> the equilibrium fractionation factor; it is the same model as in section 1.7, written with </w:t>
      </w:r>
      <m:oMath>
        <m:sSub>
          <m:e>
            <m:r>
              <m:t>R</m:t>
            </m:r>
          </m:e>
          <m:sub>
            <m:r>
              <m:t>f</m:t>
            </m:r>
          </m:sub>
        </m:sSub>
        <m:r>
          <m:rPr>
            <m:sty m:val="p"/>
          </m:rPr>
          <m:t>=</m:t>
        </m:r>
        <m:sSub>
          <m:e>
            <m:r>
              <m:t>R</m:t>
            </m:r>
          </m:e>
          <m:sub>
            <m:r>
              <m:t>p</m:t>
            </m:r>
          </m:sub>
        </m:sSub>
        <m:r>
          <m:rPr>
            <m:sty m:val="p"/>
          </m:rPr>
          <m:t>+</m:t>
        </m:r>
        <m:sSub>
          <m:e>
            <m:r>
              <m:t>R</m:t>
            </m:r>
          </m:e>
          <m:sub>
            <m:r>
              <m:t>b</m:t>
            </m:r>
          </m:sub>
        </m:sSub>
      </m:oMath>
      <w:r>
        <w:rPr>
          <w:color w:val="3A4350"/>
          <w:sz w:val="19"/>
          <w:szCs w:val="19"/>
        </w:rPr>
        <w:t xml:space="preserve">.</w:t>
      </w:r>
    </w:p>
    <w:p>
      <w:pPr>
        <w:spacing w:after="100" w:before="80"/>
        <w:jc w:val="both"/>
      </w:pPr>
      <w:r>
        <w:rPr>
          <w:b/>
          <w:bCs/>
          <w:color w:val="B4410C"/>
        </w:rPr>
        <w:t xml:space="preserve">Link to the theoretical introduction. </w:t>
      </w:r>
      <w:r>
        <w:t xml:space="preserve">Belongs to section 1.7: clumped and calcium isotopes measured together separate disequilibrium caused by mixing of carbon sources from disequilibrium caused by fast precipitation.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Combines clumped and calcium isotopes on the same seep cements to separate source-mixing disequilibrium from rate-driven disequilibrium.</w:t>
      </w:r>
    </w:p>
    <w:p>
      <w:pPr>
        <w:pStyle w:val="Heading2"/>
        <w:keepNext/>
      </w:pPr>
      <w:r>
        <w:rPr>
          <w:color w:val="B4410C"/>
        </w:rPr>
        <w:t xml:space="preserve">C7  </w:t>
      </w:r>
      <w:r>
        <w:rPr>
          <w:color w:val="1F3864"/>
        </w:rPr>
        <w:t xml:space="preserve">Controls on Interspecies Electron Transport and Size Limitation of Anaerobically Methane-Oxidizing Microbial Consortia</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Xiaojia He, Grayson L. Chadwick, Christopher P. Kempes, Victoria J. Orphan, Christof Meile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mBio, vol. 12, no. 3, article e03620-20 (2021; the article number is inferred from the DOI)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n4u5xhpnn42tdjmxdppm">
              <w:r>
                <w:rPr>
                  <w:color w:val="1D4ED8"/>
                  <w:sz w:val="18"/>
                  <w:szCs w:val="18"/>
                  <w:u w:val="single"/>
                </w:rPr>
                <w:t xml:space="preserve">https://doi.org/10.1128/mBio.03620-20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G. L. Chadwick and V. J. Orphan: Caltech (CaltechAUTHORS:20210517-093742807; PMC8263020); X. He and C. Meile: University of Georgia; C. P. Kempes: Santa Fe Institute.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anaerobic oxidation of methane · direct interspecies electron transfer · reaction–transport modeling · activation and ohmic losses · thermodynamically limited metabolism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Anaerobic oxidation of methane at seeps is carried out by consortia of archaea and sulfate-reducing bacteria that exchange electrons directly. Combining nanoSIMS maps of activity in large consortia with a process-based reaction–transport model, the authors show that ohmic resistance and activation losses are the two main reasons that activity falls with distance from the interface between the partners; activation loss dominates within about 8 μm, and bacteria can remain active up to about 30 μm away. A hybrid of direct electron transfer with a small diffusive exchange of electron donor is energetically advantageous. The rates are limited by thermodynamics and electrochemistry at small free-energy yields, coupled to diffusion and conduction.</w:t>
      </w:r>
    </w:p>
    <w:p>
      <w:pPr>
        <w:keepNext/>
        <w:spacing w:after="40" w:before="80"/>
      </w:pPr>
      <w:r>
        <w:rPr>
          <w:b/>
          <w:bCs/>
          <w:color w:val="B4410C"/>
        </w:rPr>
        <w:t xml:space="preserve">Key equation.</w:t>
      </w:r>
      <w:r>
        <w:rPr>
          <w:i/>
          <w:iCs/>
          <w:color w:val="5B6573"/>
          <w:sz w:val="18"/>
          <w:szCs w:val="18"/>
        </w:rPr>
        <w:t xml:space="preserve">  Activation kinetics and ohmic loss of electron transfer (representative formulation)</w:t>
      </w:r>
    </w:p>
    <w:p>
      <w:pPr>
        <w:pStyle w:val="Equation"/>
      </w:pPr>
      <m:oMathPara>
        <m:oMathParaPr>
          <m:jc m:val="center"/>
        </m:oMathParaPr>
        <m:oMath>
          <m:r>
            <m:t>i</m:t>
          </m:r>
          <m:r>
            <m:rPr>
              <m:sty m:val="p"/>
            </m:rPr>
            <m:t>=</m:t>
          </m:r>
          <m:sSub>
            <m:e>
              <m:r>
                <m:t>i</m:t>
              </m:r>
            </m:e>
            <m:sub>
              <m:r>
                <m:t>0</m:t>
              </m:r>
            </m:sub>
          </m:sSub>
          <m:d>
            <m:dPr>
              <m:begChr m:val="["/>
              <m:sepChr m:val=""/>
              <m:endChr m:val="]"/>
              <m:grow/>
            </m:dPr>
            <m:e>
              <m:r>
                <m:rPr>
                  <m:sty m:val="p"/>
                </m:rPr>
                <m:t>exp</m:t>
              </m:r>
              <m:d>
                <m:dPr>
                  <m:begChr m:val="("/>
                  <m:sepChr m:val=""/>
                  <m:endChr m:val=")"/>
                  <m:grow/>
                </m:dPr>
                <m:e>
                  <m:f>
                    <m:fPr>
                      <m:type m:val="bar"/>
                    </m:fPr>
                    <m:num>
                      <m:sSub>
                        <m:e>
                          <m:r>
                            <m:t>α</m:t>
                          </m:r>
                        </m:e>
                        <m:sub>
                          <m:r>
                            <m:t>a</m:t>
                          </m:r>
                        </m:sub>
                      </m:sSub>
                      <m:r>
                        <m:t>F</m:t>
                      </m:r>
                      <m:r>
                        <m:t>η</m:t>
                      </m:r>
                    </m:num>
                    <m:den>
                      <m:r>
                        <m:t>R</m:t>
                      </m:r>
                      <m:r>
                        <m:t>T</m:t>
                      </m:r>
                    </m:den>
                  </m:f>
                </m:e>
              </m:d>
              <m:r>
                <m:rPr>
                  <m:sty m:val="p"/>
                </m:rPr>
                <m:t>−</m:t>
              </m:r>
              <m:r>
                <m:rPr>
                  <m:sty m:val="p"/>
                </m:rPr>
                <m:t>exp</m:t>
              </m:r>
              <m:d>
                <m:dPr>
                  <m:begChr m:val="("/>
                  <m:sepChr m:val=""/>
                  <m:endChr m:val=")"/>
                  <m:grow/>
                </m:dPr>
                <m:e>
                  <m:r>
                    <m:rPr>
                      <m:sty m:val="p"/>
                    </m:rPr>
                    <m:t>−</m:t>
                  </m:r>
                  <m:f>
                    <m:fPr>
                      <m:type m:val="bar"/>
                    </m:fPr>
                    <m:num>
                      <m:sSub>
                        <m:e>
                          <m:r>
                            <m:t>α</m:t>
                          </m:r>
                        </m:e>
                        <m:sub>
                          <m:r>
                            <m:t>c</m:t>
                          </m:r>
                        </m:sub>
                      </m:sSub>
                      <m:r>
                        <m:t>F</m:t>
                      </m:r>
                      <m:r>
                        <m:t>η</m:t>
                      </m:r>
                    </m:num>
                    <m:den>
                      <m:r>
                        <m:t>R</m:t>
                      </m:r>
                      <m:r>
                        <m:t>T</m:t>
                      </m:r>
                    </m:den>
                  </m:f>
                </m:e>
              </m:d>
            </m:e>
          </m:d>
          <m:r>
            <m:rPr>
              <m:sty m:val="p"/>
            </m:rPr>
            <m:t>,</m:t>
          </m:r>
          <m:r>
            <m:t>  </m:t>
          </m:r>
          <m:r>
            <m:t>Δ</m:t>
          </m:r>
          <m:sSub>
            <m:e>
              <m:r>
                <m:t>E</m:t>
              </m:r>
            </m:e>
            <m:sub>
              <m:r>
                <m:rPr>
                  <m:sty m:val="p"/>
                </m:rPr>
                <m:t>l</m:t>
              </m:r>
              <m:r>
                <m:rPr>
                  <m:sty m:val="p"/>
                </m:rPr>
                <m:t>o</m:t>
              </m:r>
              <m:r>
                <m:rPr>
                  <m:sty m:val="p"/>
                </m:rPr>
                <m:t>s</m:t>
              </m:r>
              <m:r>
                <m:rPr>
                  <m:sty m:val="p"/>
                </m:rPr>
                <m:t>s</m:t>
              </m:r>
            </m:sub>
          </m:sSub>
          <m:r>
            <m:rPr>
              <m:sty m:val="p"/>
            </m:rPr>
            <m:t>=</m:t>
          </m:r>
          <m:sSub>
            <m:e>
              <m:r>
                <m:t>η</m:t>
              </m:r>
            </m:e>
            <m:sub>
              <m:r>
                <m:rPr>
                  <m:sty m:val="p"/>
                </m:rPr>
                <m:t>a</m:t>
              </m:r>
              <m:r>
                <m:rPr>
                  <m:sty m:val="p"/>
                </m:rPr>
                <m:t>c</m:t>
              </m:r>
              <m:r>
                <m:rPr>
                  <m:sty m:val="p"/>
                </m:rPr>
                <m:t>t</m:t>
              </m:r>
            </m:sub>
          </m:sSub>
          <m:r>
            <m:rPr>
              <m:sty m:val="p"/>
            </m:rPr>
            <m:t>+</m:t>
          </m:r>
          <m:r>
            <m:t>I</m:t>
          </m:r>
          <m:r>
            <m:t> </m:t>
          </m:r>
          <m:sSub>
            <m:e>
              <m:r>
                <m:t>R</m:t>
              </m:r>
            </m:e>
            <m:sub>
              <m:r>
                <m:rPr>
                  <m:sty m:val="p"/>
                </m:rPr>
                <m:t>o</m:t>
              </m:r>
              <m:r>
                <m:rPr>
                  <m:sty m:val="p"/>
                </m:rPr>
                <m:t>h</m:t>
              </m:r>
              <m:r>
                <m:rPr>
                  <m:sty m:val="p"/>
                </m:rPr>
                <m:t>m</m:t>
              </m:r>
            </m:sub>
          </m:sSub>
        </m:oMath>
      </m:oMathPara>
    </w:p>
    <w:p>
      <w:pPr>
        <w:spacing w:after="100"/>
        <w:jc w:val="both"/>
      </w:pPr>
      <w:r>
        <w:rPr>
          <w:color w:val="3A4350"/>
          <w:sz w:val="19"/>
          <w:szCs w:val="19"/>
        </w:rPr>
        <w:t xml:space="preserve">where </w:t>
      </w:r>
      <m:oMath>
        <m:r>
          <m:t>i</m:t>
        </m:r>
      </m:oMath>
      <w:r>
        <w:rPr>
          <w:color w:val="3A4350"/>
          <w:sz w:val="19"/>
          <w:szCs w:val="19"/>
        </w:rPr>
        <w:t xml:space="preserve"> is the current density, </w:t>
      </w:r>
      <m:oMath>
        <m:sSub>
          <m:e>
            <m:r>
              <m:t>i</m:t>
            </m:r>
          </m:e>
          <m:sub>
            <m:r>
              <m:t>0</m:t>
            </m:r>
          </m:sub>
        </m:sSub>
      </m:oMath>
      <w:r>
        <w:rPr>
          <w:color w:val="3A4350"/>
          <w:sz w:val="19"/>
          <w:szCs w:val="19"/>
        </w:rPr>
        <w:t xml:space="preserve"> the exchange current density, </w:t>
      </w:r>
      <m:oMath>
        <m:r>
          <m:t>η</m:t>
        </m:r>
      </m:oMath>
      <w:r>
        <w:rPr>
          <w:color w:val="3A4350"/>
          <w:sz w:val="19"/>
          <w:szCs w:val="19"/>
        </w:rPr>
        <w:t xml:space="preserve"> the overpotential, </w:t>
      </w:r>
      <m:oMath>
        <m:sSub>
          <m:e>
            <m:r>
              <m:t>α</m:t>
            </m:r>
          </m:e>
          <m:sub>
            <m:r>
              <m:t>a</m:t>
            </m:r>
          </m:sub>
        </m:sSub>
      </m:oMath>
      <w:r>
        <w:rPr>
          <w:color w:val="3A4350"/>
          <w:sz w:val="19"/>
          <w:szCs w:val="19"/>
        </w:rPr>
        <w:t xml:space="preserve"> and </w:t>
      </w:r>
      <m:oMath>
        <m:sSub>
          <m:e>
            <m:r>
              <m:t>α</m:t>
            </m:r>
          </m:e>
          <m:sub>
            <m:r>
              <m:t>c</m:t>
            </m:r>
          </m:sub>
        </m:sSub>
      </m:oMath>
      <w:r>
        <w:rPr>
          <w:color w:val="3A4350"/>
          <w:sz w:val="19"/>
          <w:szCs w:val="19"/>
        </w:rPr>
        <w:t xml:space="preserve"> the transfer coefficients and </w:t>
      </w:r>
      <m:oMath>
        <m:sSub>
          <m:e>
            <m:r>
              <m:t>R</m:t>
            </m:r>
          </m:e>
          <m:sub>
            <m:r>
              <m:rPr>
                <m:sty m:val="p"/>
              </m:rPr>
              <m:t>o</m:t>
            </m:r>
            <m:r>
              <m:rPr>
                <m:sty m:val="p"/>
              </m:rPr>
              <m:t>h</m:t>
            </m:r>
            <m:r>
              <m:rPr>
                <m:sty m:val="p"/>
              </m:rPr>
              <m:t>m</m:t>
            </m:r>
          </m:sub>
        </m:sSub>
      </m:oMath>
      <w:r>
        <w:rPr>
          <w:color w:val="3A4350"/>
          <w:sz w:val="19"/>
          <w:szCs w:val="19"/>
        </w:rPr>
        <w:t xml:space="preserve"> the ohmic resistance.</w:t>
      </w:r>
    </w:p>
    <w:p>
      <w:pPr>
        <w:spacing w:after="100" w:before="80"/>
        <w:jc w:val="both"/>
      </w:pPr>
      <w:r>
        <w:rPr>
          <w:b/>
          <w:bCs/>
          <w:color w:val="B4410C"/>
        </w:rPr>
        <w:t xml:space="preserve">Link to the theoretical introduction. </w:t>
      </w:r>
      <w:r>
        <w:t xml:space="preserve">Belongs to sections 1.3 and 1.8: a reaction that runs close to its thermodynamic limit, so that the rate depends on the small available free energy; the same physics limits sulfate reduction where seawater meets organic matter in coastal sediments.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Separates, with a model constrained by nanoSIMS activity maps, the ohmic and activation losses that limit electron transfer in methane-oxidizing consortia.</w:t>
      </w:r>
    </w:p>
    <w:p>
      <w:pPr>
        <w:pStyle w:val="Heading1"/>
        <w:pageBreakBefore/>
      </w:pPr>
      <w:r>
        <w:rPr>
          <w:color w:val="C25E00"/>
        </w:rPr>
        <w:t xml:space="preserve">6. Princeton University</w:t>
      </w:r>
    </w:p>
    <w:p>
      <w:pPr>
        <w:spacing w:after="120"/>
        <w:jc w:val="both"/>
      </w:pPr>
      <w:r>
        <w:t xml:space="preserve">Princeton contributes interfacial geochemistry from the group of Ian Bourg, isotope geochemistry from the group of John Higgins and stochastic ecohydrology from the group of Amilcare Porporato. Sang Soo Lee, Ayumi Koishi, Bourg and Paul Fenter show that ion correlations at interfaces trigger nucleation below bulk saturation [P1]; Clara Blättler, Higgins and coauthors pair calcium-isotope fractionation with precipitation rate [P2]; Salvatore Calabrese, Porporato and coauthors bound iron-reduction rates under random soil moisture [P3]; Matteo Bertagni, Calabrese, Porporato and coauthors test an enhanced-weathering soil model against experiments [P4]; Bertagni and Porporato derive the carbon-capture efficiency of alkalinization [P5]; and Markus Kleber, Bourg, Satish Myneni and coauthors review mineral–organic interfaces as reactive systems [P6].</w:t>
      </w:r>
    </w:p>
    <w:p>
      <w:pPr>
        <w:pStyle w:val="Heading2"/>
        <w:keepNext/>
      </w:pPr>
      <w:r>
        <w:rPr>
          <w:color w:val="C25E00"/>
        </w:rPr>
        <w:t xml:space="preserve">P1  </w:t>
      </w:r>
      <w:r>
        <w:rPr>
          <w:color w:val="1F3864"/>
        </w:rPr>
        <w:t xml:space="preserve">Ion correlations drive charge overscreening and heterogeneous nucleation at solid–aqueous electrolyte interfaces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Sang Soo Lee, Ayumi Koishi, Ian C. Bourg, Paul Fenter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vol. 118, article e2105154118 (2021); issue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tbylkmrxpvctbogjs-qa">
              <w:r>
                <w:rPr>
                  <w:color w:val="1D4ED8"/>
                  <w:sz w:val="18"/>
                  <w:szCs w:val="18"/>
                  <w:u w:val="single"/>
                </w:rPr>
                <w:t xml:space="preserve">https://doi.org/10.1073/pnas.2105154118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I. C. Bourg: Department of Civil and Environmental Engineering and High Meadows Environmental Institute, Princeton University (Princeton research portal; Bourg laboratory page). The affiliations of the other authors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electrical double layer · ion correlations · overscreening · heterogeneous nucleation below bulk solubility · X-ray reflectivity · molecular dynamics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paper asks how the double layer at a charged mineral–water interface changes as salinity rises from dilute water to brine. X-ray reflectivity combined with molecular dynamics at mica–water interfaces shows a transition from Langmuir-type charge compensation to nonclassical overscreening driven by ion–ion correlations. At high salinity the ions of the double layer grow spontaneously into nanocrystalline nuclei at concentrations well below the bulk solubility limit. Nucleation is therefore a nonlinear interfacial process, and bulk saturation indices misjudge where precipitation begins, which matters for brines and seawater-intruded aquifers.</w:t>
      </w:r>
    </w:p>
    <w:p>
      <w:pPr>
        <w:keepNext/>
        <w:spacing w:after="40" w:before="80"/>
      </w:pPr>
      <w:r>
        <w:rPr>
          <w:b/>
          <w:bCs/>
          <w:color w:val="C25E00"/>
        </w:rPr>
        <w:t xml:space="preserve">Key equation.</w:t>
      </w:r>
      <w:r>
        <w:rPr>
          <w:i/>
          <w:iCs/>
          <w:color w:val="5B6573"/>
          <w:sz w:val="18"/>
          <w:szCs w:val="18"/>
        </w:rPr>
        <w:t xml:space="preserve">  Supersaturation in the double layer and classical nucleation barrier (representative; the paper uses reflectivity and simulation)</w:t>
      </w:r>
    </w:p>
    <w:p>
      <w:pPr>
        <w:pStyle w:val="Equation"/>
      </w:pPr>
      <m:oMathPara>
        <m:oMathParaPr>
          <m:jc m:val="center"/>
        </m:oMathParaPr>
        <m:oMath>
          <m:sSub>
            <m:e>
              <m:r>
                <m:t>Ω</m:t>
              </m:r>
            </m:e>
            <m:sub>
              <m:r>
                <m:rPr>
                  <m:sty m:val="p"/>
                </m:rPr>
                <m:t>E</m:t>
              </m:r>
              <m:r>
                <m:rPr>
                  <m:sty m:val="p"/>
                </m:rPr>
                <m:t>D</m:t>
              </m:r>
              <m:r>
                <m:rPr>
                  <m:sty m:val="p"/>
                </m:rPr>
                <m:t>L</m:t>
              </m:r>
            </m:sub>
          </m:sSub>
          <m:r>
            <m:rPr>
              <m:sty m:val="p"/>
            </m:rPr>
            <m:t>=</m:t>
          </m:r>
          <m:f>
            <m:fPr>
              <m:type m:val="bar"/>
            </m:fPr>
            <m:num>
              <m:sSubSup>
                <m:e>
                  <m:r>
                    <m:t>a</m:t>
                  </m:r>
                </m:e>
                <m:sub>
                  <m:r>
                    <m:rPr>
                      <m:nor/>
                    </m:rPr>
                    <m:t>+</m:t>
                  </m:r>
                </m:sub>
                <m:sup>
                  <m:r>
                    <m:rPr>
                      <m:sty m:val="p"/>
                    </m:rPr>
                    <m:t>E</m:t>
                  </m:r>
                  <m:r>
                    <m:rPr>
                      <m:sty m:val="p"/>
                    </m:rPr>
                    <m:t>D</m:t>
                  </m:r>
                  <m:r>
                    <m:rPr>
                      <m:sty m:val="p"/>
                    </m:rPr>
                    <m:t>L</m:t>
                  </m:r>
                </m:sup>
              </m:sSubSup>
              <m:sSubSup>
                <m:e>
                  <m:r>
                    <m:t>a</m:t>
                  </m:r>
                </m:e>
                <m:sub>
                  <m:r>
                    <m:rPr>
                      <m:sty m:val="p"/>
                    </m:rPr>
                    <m:t>−</m:t>
                  </m:r>
                </m:sub>
                <m:sup>
                  <m:r>
                    <m:rPr>
                      <m:sty m:val="p"/>
                    </m:rPr>
                    <m:t>E</m:t>
                  </m:r>
                  <m:r>
                    <m:rPr>
                      <m:sty m:val="p"/>
                    </m:rPr>
                    <m:t>D</m:t>
                  </m:r>
                  <m:r>
                    <m:rPr>
                      <m:sty m:val="p"/>
                    </m:rPr>
                    <m:t>L</m:t>
                  </m:r>
                </m:sup>
              </m:sSubSup>
            </m:num>
            <m:den>
              <m:sSub>
                <m:e>
                  <m:r>
                    <m:t>K</m:t>
                  </m:r>
                </m:e>
                <m:sub>
                  <m:r>
                    <m:rPr>
                      <m:sty m:val="p"/>
                    </m:rPr>
                    <m:t>s</m:t>
                  </m:r>
                  <m:r>
                    <m:rPr>
                      <m:sty m:val="p"/>
                    </m:rPr>
                    <m:t>p</m:t>
                  </m:r>
                </m:sub>
              </m:sSub>
            </m:den>
          </m:f>
          <m:r>
            <m:rPr>
              <m:sty m:val="p"/>
            </m:rPr>
            <m:t>&gt;</m:t>
          </m:r>
          <m:r>
            <m:t>1</m:t>
          </m:r>
          <m:r>
            <m:t> </m:t>
          </m:r>
          <m:r>
            <m:t> </m:t>
          </m:r>
          <m:r>
            <m:rPr>
              <m:nor/>
            </m:rPr>
            <m:t>while</m:t>
          </m:r>
          <m:r>
            <m:t> </m:t>
          </m:r>
          <m:r>
            <m:t> </m:t>
          </m:r>
          <m:sSub>
            <m:e>
              <m:r>
                <m:t>Ω</m:t>
              </m:r>
            </m:e>
            <m:sub>
              <m:r>
                <m:rPr>
                  <m:sty m:val="p"/>
                </m:rPr>
                <m:t>b</m:t>
              </m:r>
              <m:r>
                <m:rPr>
                  <m:sty m:val="p"/>
                </m:rPr>
                <m:t>u</m:t>
              </m:r>
              <m:r>
                <m:rPr>
                  <m:sty m:val="p"/>
                </m:rPr>
                <m:t>l</m:t>
              </m:r>
              <m:r>
                <m:rPr>
                  <m:sty m:val="p"/>
                </m:rPr>
                <m:t>k</m:t>
              </m:r>
            </m:sub>
          </m:sSub>
          <m:r>
            <m:rPr>
              <m:sty m:val="p"/>
            </m:rPr>
            <m:t>=</m:t>
          </m:r>
          <m:f>
            <m:fPr>
              <m:type m:val="bar"/>
            </m:fPr>
            <m:num>
              <m:sSub>
                <m:e>
                  <m:r>
                    <m:t>a</m:t>
                  </m:r>
                </m:e>
                <m:sub>
                  <m:r>
                    <m:rPr>
                      <m:nor/>
                    </m:rPr>
                    <m:t>+</m:t>
                  </m:r>
                </m:sub>
              </m:sSub>
              <m:sSub>
                <m:e>
                  <m:r>
                    <m:t>a</m:t>
                  </m:r>
                </m:e>
                <m:sub>
                  <m:r>
                    <m:rPr>
                      <m:sty m:val="p"/>
                    </m:rPr>
                    <m:t>−</m:t>
                  </m:r>
                </m:sub>
              </m:sSub>
            </m:num>
            <m:den>
              <m:sSub>
                <m:e>
                  <m:r>
                    <m:t>K</m:t>
                  </m:r>
                </m:e>
                <m:sub>
                  <m:r>
                    <m:rPr>
                      <m:sty m:val="p"/>
                    </m:rPr>
                    <m:t>s</m:t>
                  </m:r>
                  <m:r>
                    <m:rPr>
                      <m:sty m:val="p"/>
                    </m:rPr>
                    <m:t>p</m:t>
                  </m:r>
                </m:sub>
              </m:sSub>
            </m:den>
          </m:f>
          <m:r>
            <m:rPr>
              <m:sty m:val="p"/>
            </m:rPr>
            <m:t>&lt;</m:t>
          </m:r>
          <m:r>
            <m:t>1</m:t>
          </m:r>
          <m:r>
            <m:rPr>
              <m:sty m:val="p"/>
            </m:rPr>
            <m:t>,</m:t>
          </m:r>
          <m:r>
            <m:t>  </m:t>
          </m:r>
          <m:r>
            <m:t>Δ</m:t>
          </m:r>
          <m:sSup>
            <m:e>
              <m:r>
                <m:t>G</m:t>
              </m:r>
            </m:e>
            <m:sup>
              <m:r>
                <m:rPr>
                  <m:sty m:val="p"/>
                </m:rPr>
                <m:t>⋆</m:t>
              </m:r>
            </m:sup>
          </m:sSup>
          <m:r>
            <m:rPr>
              <m:sty m:val="p"/>
            </m:rPr>
            <m:t>=</m:t>
          </m:r>
          <m:f>
            <m:fPr>
              <m:type m:val="bar"/>
            </m:fPr>
            <m:num>
              <m:r>
                <m:t>16</m:t>
              </m:r>
              <m:r>
                <m:t>π</m:t>
              </m:r>
              <m:sSup>
                <m:e>
                  <m:r>
                    <m:t>σ</m:t>
                  </m:r>
                </m:e>
                <m:sup>
                  <m:r>
                    <m:t>3</m:t>
                  </m:r>
                </m:sup>
              </m:sSup>
              <m:sSubSup>
                <m:e>
                  <m:r>
                    <m:t>v</m:t>
                  </m:r>
                </m:e>
                <m:sub>
                  <m:r>
                    <m:t>m</m:t>
                  </m:r>
                </m:sub>
                <m:sup>
                  <m:r>
                    <m:t>2</m:t>
                  </m:r>
                </m:sup>
              </m:sSubSup>
            </m:num>
            <m:den>
              <m:r>
                <m:t>3</m:t>
              </m:r>
              <m:sSup>
                <m:e>
                  <m:d>
                    <m:dPr>
                      <m:begChr m:val="("/>
                      <m:sepChr m:val=""/>
                      <m:endChr m:val=")"/>
                      <m:grow/>
                    </m:dPr>
                    <m:e>
                      <m:sSub>
                        <m:e>
                          <m:r>
                            <m:t>k</m:t>
                          </m:r>
                        </m:e>
                        <m:sub>
                          <m:r>
                            <m:t>B</m:t>
                          </m:r>
                        </m:sub>
                      </m:sSub>
                      <m:r>
                        <m:t>T</m:t>
                      </m:r>
                      <m:r>
                        <m:rPr>
                          <m:sty m:val="p"/>
                        </m:rPr>
                        <m:t>ln</m:t>
                      </m:r>
                      <m:sSub>
                        <m:e>
                          <m:r>
                            <m:t>Ω</m:t>
                          </m:r>
                        </m:e>
                        <m:sub>
                          <m:r>
                            <m:rPr>
                              <m:sty m:val="p"/>
                            </m:rPr>
                            <m:t>E</m:t>
                          </m:r>
                          <m:r>
                            <m:rPr>
                              <m:sty m:val="p"/>
                            </m:rPr>
                            <m:t>D</m:t>
                          </m:r>
                          <m:r>
                            <m:rPr>
                              <m:sty m:val="p"/>
                            </m:rPr>
                            <m:t>L</m:t>
                          </m:r>
                        </m:sub>
                      </m:sSub>
                    </m:e>
                  </m:d>
                </m:e>
                <m:sup>
                  <m:r>
                    <m:t>2</m:t>
                  </m:r>
                </m:sup>
              </m:sSup>
            </m:den>
          </m:f>
          <m:r>
            <m:t> </m:t>
          </m:r>
          <m:r>
            <m:t>f</m:t>
          </m:r>
          <m:d>
            <m:dPr>
              <m:begChr m:val="("/>
              <m:sepChr m:val=""/>
              <m:endChr m:val=")"/>
              <m:grow/>
            </m:dPr>
            <m:e>
              <m:r>
                <m:t>θ</m:t>
              </m:r>
            </m:e>
          </m:d>
        </m:oMath>
      </m:oMathPara>
    </w:p>
    <w:p>
      <w:pPr>
        <w:spacing w:after="100"/>
        <w:jc w:val="both"/>
      </w:pPr>
      <w:r>
        <w:rPr>
          <w:color w:val="3A4350"/>
          <w:sz w:val="19"/>
          <w:szCs w:val="19"/>
        </w:rPr>
        <w:t xml:space="preserve">where </w:t>
      </w:r>
      <m:oMath>
        <m:r>
          <m:t>a</m:t>
        </m:r>
      </m:oMath>
      <w:r>
        <w:rPr>
          <w:color w:val="3A4350"/>
          <w:sz w:val="19"/>
          <w:szCs w:val="19"/>
        </w:rPr>
        <w:t xml:space="preserve"> are ion activities in the double layer or in the bulk, </w:t>
      </w:r>
      <m:oMath>
        <m:r>
          <m:t>σ</m:t>
        </m:r>
      </m:oMath>
      <w:r>
        <w:rPr>
          <w:color w:val="3A4350"/>
          <w:sz w:val="19"/>
          <w:szCs w:val="19"/>
        </w:rPr>
        <w:t xml:space="preserve"> the interfacial energy, </w:t>
      </w:r>
      <m:oMath>
        <m:sSub>
          <m:e>
            <m:r>
              <m:t>v</m:t>
            </m:r>
          </m:e>
          <m:sub>
            <m:r>
              <m:t>m</m:t>
            </m:r>
          </m:sub>
        </m:sSub>
      </m:oMath>
      <w:r>
        <w:rPr>
          <w:color w:val="3A4350"/>
          <w:sz w:val="19"/>
          <w:szCs w:val="19"/>
        </w:rPr>
        <w:t xml:space="preserve"> the molecular volume and </w:t>
      </w:r>
      <m:oMath>
        <m:r>
          <m:t>f</m:t>
        </m:r>
        <m:d>
          <m:dPr>
            <m:begChr m:val="("/>
            <m:sepChr m:val=""/>
            <m:endChr m:val=")"/>
            <m:grow/>
          </m:dPr>
          <m:e>
            <m:r>
              <m:t>θ</m:t>
            </m:r>
          </m:e>
        </m:d>
      </m:oMath>
      <w:r>
        <w:rPr>
          <w:color w:val="3A4350"/>
          <w:sz w:val="19"/>
          <w:szCs w:val="19"/>
        </w:rPr>
        <w:t xml:space="preserve"> the reduction of the barrier on a substrate with contact angle </w:t>
      </w:r>
      <m:oMath>
        <m:r>
          <m:t>θ</m:t>
        </m:r>
      </m:oMath>
      <w:r>
        <w:rPr>
          <w:color w:val="3A4350"/>
          <w:sz w:val="19"/>
          <w:szCs w:val="19"/>
        </w:rPr>
        <w:t xml:space="preserve">.</w:t>
      </w:r>
    </w:p>
    <w:p>
      <w:pPr>
        <w:spacing w:after="100" w:before="80"/>
        <w:jc w:val="both"/>
      </w:pPr>
      <w:r>
        <w:rPr>
          <w:b/>
          <w:bCs/>
          <w:color w:val="C25E00"/>
        </w:rPr>
        <w:t xml:space="preserve">Link to the theoretical introduction. </w:t>
      </w:r>
      <w:r>
        <w:t xml:space="preserve">Belongs to section 1.2: the nucleation law of section 1.2 applied with the local, not the bulk, supersaturation; in seawater-intruded aquifers precipitation can start on mineral surfaces before the bulk water reaches saturation.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by experiment and simulation that ion correlations in the double layer can trigger nucleation below bulk saturation.</w:t>
      </w:r>
    </w:p>
    <w:p>
      <w:pPr>
        <w:pStyle w:val="Heading2"/>
        <w:keepNext/>
      </w:pPr>
      <w:r>
        <w:rPr>
          <w:color w:val="C25E00"/>
        </w:rPr>
        <w:t xml:space="preserve">P2  </w:t>
      </w:r>
      <w:r>
        <w:rPr>
          <w:color w:val="1F3864"/>
        </w:rPr>
        <w:t xml:space="preserve">Small calcium isotope fractionation at slow precipitation rates in methane seep authigenic carbonates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Clara L. Blättler, Hong, Kirsimäe, John A. Higgins, Lepland (initials of Hong, Kirsimäe and Lepland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Geochimica et Cosmochimica Acta, vol. 298, pp. 227–239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gdcynuq0i96hpe8mgi3r">
              <w:r>
                <w:rPr>
                  <w:color w:val="1D4ED8"/>
                  <w:sz w:val="18"/>
                  <w:szCs w:val="18"/>
                  <w:u w:val="single"/>
                </w:rPr>
                <w:t xml:space="preserve">https://doi.org/10.1016/j.gca.2021.01.001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A. Higgins: Department of Geosciences, Princeton University (Princeton research portal; Princeton carbon-cycle bibliography).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calcium isotopes · rate-dependent fractionation · authigenic carbonates · anaerobic oxidation of methane · porewater Rayleigh models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Summary. </w:t>
      </w:r>
      <w:r>
        <w:t xml:space="preserve">Natural settings that constrain both the calcium-isotope fractionation factor and the precipitation rate are rare. At a methane seep in the Barents Sea, anaerobic oxidation of methane drives carbonate precipitation, and porewater calcium-isotope profiles from two cores are fitted with a Rayleigh model of a transitional, non-steady, nearly closed system. The fractionation factors, 0.99985 and 0.9996, correspond to precipitation rates of 1.4 and 3.5 μmol m⁻² h⁻¹, between laboratory rates and slow diagenesis. The fractionation shrinks toward equilibrium as precipitation slows, a field test of rate-dependent kinetic fractionation.</w:t>
      </w:r>
    </w:p>
    <w:p>
      <w:pPr>
        <w:keepNext/>
        <w:spacing w:after="40" w:before="80"/>
      </w:pPr>
      <w:r>
        <w:rPr>
          <w:b/>
          <w:bCs/>
          <w:color w:val="C25E00"/>
        </w:rPr>
        <w:t xml:space="preserve">Key equation.</w:t>
      </w:r>
      <w:r>
        <w:rPr>
          <w:i/>
          <w:iCs/>
          <w:color w:val="5B6573"/>
          <w:sz w:val="18"/>
          <w:szCs w:val="18"/>
        </w:rPr>
        <w:t xml:space="preserve">  Rayleigh evolution of the porewater calcium-isotope composition (the model fitted in the paper, in standard notation)</w:t>
      </w:r>
    </w:p>
    <w:p>
      <w:pPr>
        <w:pStyle w:val="Equation"/>
      </w:pPr>
      <m:oMathPara>
        <m:oMathParaPr>
          <m:jc m:val="center"/>
        </m:oMathParaPr>
        <m:oMath>
          <m:sSup>
            <m:e>
              <m:r>
                <m:t>δ</m:t>
              </m:r>
            </m:e>
            <m:sup>
              <m:r>
                <m:t>44</m:t>
              </m:r>
              <m:r>
                <m:rPr>
                  <m:sty m:val="p"/>
                </m:rPr>
                <m:t>/</m:t>
              </m:r>
              <m:r>
                <m:t>40</m:t>
              </m:r>
            </m:sup>
          </m:sSup>
          <m:sSub>
            <m:e>
              <m:r>
                <m:rPr>
                  <m:sty m:val="p"/>
                </m:rPr>
                <m:t>C</m:t>
              </m:r>
              <m:r>
                <m:rPr>
                  <m:sty m:val="p"/>
                </m:rPr>
                <m:t>a</m:t>
              </m:r>
            </m:e>
            <m:sub>
              <m:r>
                <m:rPr>
                  <m:sty m:val="p"/>
                </m:rPr>
                <m:t>p</m:t>
              </m:r>
              <m:r>
                <m:rPr>
                  <m:sty m:val="p"/>
                </m:rPr>
                <m:t>f</m:t>
              </m:r>
            </m:sub>
          </m:sSub>
          <m:r>
            <m:rPr>
              <m:sty m:val="p"/>
            </m:rPr>
            <m:t>=</m:t>
          </m:r>
          <m:d>
            <m:dPr>
              <m:begChr m:val="("/>
              <m:sepChr m:val=""/>
              <m:endChr m:val=")"/>
              <m:grow/>
            </m:dPr>
            <m:e>
              <m:sSup>
                <m:e>
                  <m:r>
                    <m:t>δ</m:t>
                  </m:r>
                </m:e>
                <m:sup>
                  <m:r>
                    <m:t>44</m:t>
                  </m:r>
                  <m:r>
                    <m:rPr>
                      <m:sty m:val="p"/>
                    </m:rPr>
                    <m:t>/</m:t>
                  </m:r>
                  <m:r>
                    <m:t>40</m:t>
                  </m:r>
                </m:sup>
              </m:sSup>
              <m:sSub>
                <m:e>
                  <m:r>
                    <m:rPr>
                      <m:sty m:val="p"/>
                    </m:rPr>
                    <m:t>C</m:t>
                  </m:r>
                  <m:r>
                    <m:rPr>
                      <m:sty m:val="p"/>
                    </m:rPr>
                    <m:t>a</m:t>
                  </m:r>
                </m:e>
                <m:sub>
                  <m:r>
                    <m:rPr>
                      <m:sty m:val="p"/>
                    </m:rPr>
                    <m:t>p</m:t>
                  </m:r>
                  <m:r>
                    <m:rPr>
                      <m:sty m:val="p"/>
                    </m:rPr>
                    <m:t>f</m:t>
                  </m:r>
                  <m:r>
                    <m:rPr>
                      <m:sty m:val="p"/>
                    </m:rPr>
                    <m:t>,</m:t>
                  </m:r>
                  <m:r>
                    <m:t>0</m:t>
                  </m:r>
                </m:sub>
              </m:sSub>
              <m:r>
                <m:rPr>
                  <m:sty m:val="p"/>
                </m:rPr>
                <m:t>+</m:t>
              </m:r>
              <m:r>
                <m:t>1000</m:t>
              </m:r>
            </m:e>
          </m:d>
          <m:sSup>
            <m:e>
              <m:r>
                <m:t>F</m:t>
              </m:r>
            </m:e>
            <m:sup>
              <m:r>
                <m:t> </m:t>
              </m:r>
              <m:r>
                <m:t>α</m:t>
              </m:r>
              <m:r>
                <m:rPr>
                  <m:sty m:val="p"/>
                </m:rPr>
                <m:t>−</m:t>
              </m:r>
              <m:r>
                <m:t>1</m:t>
              </m:r>
            </m:sup>
          </m:sSup>
          <m:r>
            <m:rPr>
              <m:sty m:val="p"/>
            </m:rPr>
            <m:t>−</m:t>
          </m:r>
          <m:r>
            <m:t>1000</m:t>
          </m:r>
        </m:oMath>
      </m:oMathPara>
    </w:p>
    <w:p>
      <w:pPr>
        <w:spacing w:after="100"/>
        <w:jc w:val="both"/>
      </w:pPr>
      <w:r>
        <w:rPr>
          <w:color w:val="3A4350"/>
          <w:sz w:val="19"/>
          <w:szCs w:val="19"/>
        </w:rPr>
        <w:t xml:space="preserve">where </w:t>
      </w:r>
      <m:oMath>
        <m:r>
          <m:t>F</m:t>
        </m:r>
      </m:oMath>
      <w:r>
        <w:rPr>
          <w:color w:val="3A4350"/>
          <w:sz w:val="19"/>
          <w:szCs w:val="19"/>
        </w:rPr>
        <w:t xml:space="preserve"> is the fraction of porewater calcium remaining and </w:t>
      </w:r>
      <m:oMath>
        <m:r>
          <m:t>α</m:t>
        </m:r>
      </m:oMath>
      <w:r>
        <w:rPr>
          <w:color w:val="3A4350"/>
          <w:sz w:val="19"/>
          <w:szCs w:val="19"/>
        </w:rPr>
        <w:t xml:space="preserve"> the fractionation factor between carbonate and fluid.</w:t>
      </w:r>
    </w:p>
    <w:p>
      <w:pPr>
        <w:spacing w:after="100" w:before="80"/>
        <w:jc w:val="both"/>
      </w:pPr>
      <w:r>
        <w:rPr>
          <w:b/>
          <w:bCs/>
          <w:color w:val="C25E00"/>
        </w:rPr>
        <w:t xml:space="preserve">Link to the theoretical introduction. </w:t>
      </w:r>
      <w:r>
        <w:t xml:space="preserve">Belongs to section 1.7: field pairs of fractionation factor and precipitation rate test the surface kinetic model of section 1.7 between its kinetic and equilibrium limits.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Provides rare natural pairs of calcium-isotope fractionation factor and precipitation rate.</w:t>
      </w:r>
    </w:p>
    <w:p>
      <w:pPr>
        <w:pStyle w:val="Heading2"/>
        <w:keepNext/>
      </w:pPr>
      <w:r>
        <w:rPr>
          <w:color w:val="C25E00"/>
        </w:rPr>
        <w:t xml:space="preserve">P3  </w:t>
      </w:r>
      <w:r>
        <w:rPr>
          <w:color w:val="1F3864"/>
        </w:rPr>
        <w:t xml:space="preserve">Theoretical constraints on Fe reduction rates in upland soils as a function of hydroclimatic conditions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Salvatore Calabrese, Diego Barcellos, Aaron Thompson, Amilcare Porporato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Geophysical Research: Biogeosciences, vol. 125, no. 12, article e2020JG005894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xuioyqmq9k9oujbbznp3">
              <w:r>
                <w:rPr>
                  <w:color w:val="1D4ED8"/>
                  <w:sz w:val="18"/>
                  <w:szCs w:val="18"/>
                  <w:u w:val="single"/>
                </w:rPr>
                <w:t xml:space="preserve">https://doi.org/10.1029/2020JG005894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Porporato: Department of Civil and Environmental Engineering and High Meadows Environmental Institute, Princeton University; S. Calabrese: postdoctoral research associate at Princeton (Princeton research portal; CZO archive).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iron redox · stochastic soil moisture · oxic–anoxic cycling · resonance · nonlinear biogeochemistry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Iron reduction in upland soils depends on oxic–anoxic cycles driven by random rainfall. The authors build a minimal iron-redox model forced by soil-moisture dynamics, which links the variability of soil oxygen to the frequency and intensity of rainfall. The largest reduction rate occurs at resonant conditions, when the timescale of wet–dry cycles matches the internal redox timescales; a tropical forest keeps a high reduction potential all year, while a drier, seasonal subtropical forest caps it at about 60 mmol kg⁻¹ yr⁻¹. The redox state is never at equilibrium; it is the response of a kinetic system to random forcing.</w:t>
      </w:r>
    </w:p>
    <w:p>
      <w:pPr>
        <w:keepNext/>
        <w:spacing w:after="40" w:before="80"/>
      </w:pPr>
      <w:r>
        <w:rPr>
          <w:b/>
          <w:bCs/>
          <w:color w:val="C25E00"/>
        </w:rPr>
        <w:t xml:space="preserve">Key equation.</w:t>
      </w:r>
      <w:r>
        <w:rPr>
          <w:i/>
          <w:iCs/>
          <w:color w:val="5B6573"/>
          <w:sz w:val="18"/>
          <w:szCs w:val="18"/>
        </w:rPr>
        <w:t xml:space="preserve">  Soil-water balance and switching iron-redox kinetics (representative formulation)</w:t>
      </w:r>
    </w:p>
    <w:p>
      <w:pPr>
        <w:pStyle w:val="Equation"/>
      </w:pPr>
      <m:oMathPara>
        <m:oMathParaPr>
          <m:jc m:val="center"/>
        </m:oMathParaPr>
        <m:oMath>
          <m:r>
            <m:t>n</m:t>
          </m:r>
          <m:sSub>
            <m:e>
              <m:r>
                <m:t>Z</m:t>
              </m:r>
            </m:e>
            <m:sub>
              <m:r>
                <m:t>r</m:t>
              </m:r>
            </m:sub>
          </m:sSub>
          <m:f>
            <m:fPr>
              <m:type m:val="bar"/>
            </m:fPr>
            <m:num>
              <m:r>
                <m:t>d</m:t>
              </m:r>
              <m:r>
                <m:t>s</m:t>
              </m:r>
            </m:num>
            <m:den>
              <m:r>
                <m:t>d</m:t>
              </m:r>
              <m:r>
                <m:t>t</m:t>
              </m:r>
            </m:den>
          </m:f>
          <m:r>
            <m:rPr>
              <m:sty m:val="p"/>
            </m:rPr>
            <m:t>=</m:t>
          </m:r>
          <m:r>
            <m:t>R</m:t>
          </m:r>
          <m:d>
            <m:dPr>
              <m:begChr m:val="("/>
              <m:sepChr m:val=""/>
              <m:endChr m:val=")"/>
              <m:grow/>
            </m:dPr>
            <m:e>
              <m:r>
                <m:t>t</m:t>
              </m:r>
            </m:e>
          </m:d>
          <m:r>
            <m:rPr>
              <m:sty m:val="p"/>
            </m:rPr>
            <m:t>−</m:t>
          </m:r>
          <m:r>
            <m:t>L</m:t>
          </m:r>
          <m:d>
            <m:dPr>
              <m:begChr m:val="("/>
              <m:sepChr m:val=""/>
              <m:endChr m:val=")"/>
              <m:grow/>
            </m:dPr>
            <m:e>
              <m:r>
                <m:t>s</m:t>
              </m:r>
            </m:e>
          </m:d>
          <m:r>
            <m:rPr>
              <m:sty m:val="p"/>
            </m:rPr>
            <m:t>,</m:t>
          </m:r>
          <m:r>
            <m:t>  </m:t>
          </m:r>
          <m:f>
            <m:fPr>
              <m:type m:val="bar"/>
            </m:fPr>
            <m:num>
              <m:r>
                <m:t>d</m:t>
              </m:r>
              <m:r>
                <m:t> </m:t>
              </m:r>
              <m:r>
                <m:rPr>
                  <m:sty m:val="p"/>
                </m:rPr>
                <m:t>F</m:t>
              </m:r>
              <m:sSup>
                <m:e>
                  <m:r>
                    <m:rPr>
                      <m:sty m:val="p"/>
                    </m:rPr>
                    <m:t>e</m:t>
                  </m:r>
                </m:e>
                <m:sup>
                  <m:r>
                    <m:rPr>
                      <m:sty m:val="p"/>
                    </m:rPr>
                    <m:t>I</m:t>
                  </m:r>
                  <m:r>
                    <m:rPr>
                      <m:sty m:val="p"/>
                    </m:rPr>
                    <m:t>I</m:t>
                  </m:r>
                </m:sup>
              </m:sSup>
            </m:num>
            <m:den>
              <m:r>
                <m:t>d</m:t>
              </m:r>
              <m:r>
                <m:t>t</m:t>
              </m:r>
            </m:den>
          </m:f>
          <m:r>
            <m:rPr>
              <m:sty m:val="p"/>
            </m:rPr>
            <m:t>=</m:t>
          </m:r>
          <m:sSub>
            <m:e>
              <m:r>
                <m:t>k</m:t>
              </m:r>
            </m:e>
            <m:sub>
              <m:r>
                <m:rPr>
                  <m:sty m:val="p"/>
                </m:rPr>
                <m:t>r</m:t>
              </m:r>
              <m:r>
                <m:rPr>
                  <m:sty m:val="p"/>
                </m:rPr>
                <m:t>e</m:t>
              </m:r>
              <m:r>
                <m:rPr>
                  <m:sty m:val="p"/>
                </m:rPr>
                <m:t>d</m:t>
              </m:r>
            </m:sub>
          </m:sSub>
          <m:r>
            <m:t> </m:t>
          </m:r>
          <m:r>
            <m:t>Θ</m:t>
          </m:r>
          <m:d>
            <m:dPr>
              <m:begChr m:val="("/>
              <m:sepChr m:val=""/>
              <m:endChr m:val=")"/>
              <m:grow/>
            </m:dPr>
            <m:e>
              <m:r>
                <m:t>s</m:t>
              </m:r>
              <m:r>
                <m:rPr>
                  <m:sty m:val="p"/>
                </m:rPr>
                <m:t>−</m:t>
              </m:r>
              <m:sSup>
                <m:e>
                  <m:r>
                    <m:t>s</m:t>
                  </m:r>
                </m:e>
                <m:sup>
                  <m:r>
                    <m:rPr>
                      <m:sty m:val="p"/>
                    </m:rPr>
                    <m:t>⋆</m:t>
                  </m:r>
                </m:sup>
              </m:sSup>
            </m:e>
          </m:d>
          <m:r>
            <m:rPr>
              <m:sty m:val="p"/>
            </m:rPr>
            <m:t>F</m:t>
          </m:r>
          <m:sSup>
            <m:e>
              <m:r>
                <m:rPr>
                  <m:sty m:val="p"/>
                </m:rPr>
                <m:t>e</m:t>
              </m:r>
            </m:e>
            <m:sup>
              <m:r>
                <m:rPr>
                  <m:sty m:val="p"/>
                </m:rPr>
                <m:t>I</m:t>
              </m:r>
              <m:r>
                <m:rPr>
                  <m:sty m:val="p"/>
                </m:rPr>
                <m:t>I</m:t>
              </m:r>
              <m:r>
                <m:rPr>
                  <m:sty m:val="p"/>
                </m:rPr>
                <m:t>I</m:t>
              </m:r>
            </m:sup>
          </m:sSup>
          <m:r>
            <m:rPr>
              <m:sty m:val="p"/>
            </m:rPr>
            <m:t>−</m:t>
          </m:r>
          <m:sSub>
            <m:e>
              <m:r>
                <m:t>k</m:t>
              </m:r>
            </m:e>
            <m:sub>
              <m:r>
                <m:rPr>
                  <m:sty m:val="p"/>
                </m:rPr>
                <m:t>o</m:t>
              </m:r>
              <m:r>
                <m:rPr>
                  <m:sty m:val="p"/>
                </m:rPr>
                <m:t>x</m:t>
              </m:r>
            </m:sub>
          </m:sSub>
          <m:r>
            <m:t> </m:t>
          </m:r>
          <m:r>
            <m:t>Θ</m:t>
          </m:r>
          <m:d>
            <m:dPr>
              <m:begChr m:val="("/>
              <m:sepChr m:val=""/>
              <m:endChr m:val=")"/>
              <m:grow/>
            </m:dPr>
            <m:e>
              <m:sSup>
                <m:e>
                  <m:r>
                    <m:t>s</m:t>
                  </m:r>
                </m:e>
                <m:sup>
                  <m:r>
                    <m:rPr>
                      <m:sty m:val="p"/>
                    </m:rPr>
                    <m:t>⋆</m:t>
                  </m:r>
                </m:sup>
              </m:sSup>
              <m:r>
                <m:rPr>
                  <m:sty m:val="p"/>
                </m:rPr>
                <m:t>−</m:t>
              </m:r>
              <m:r>
                <m:t>s</m:t>
              </m:r>
            </m:e>
          </m:d>
          <m:r>
            <m:rPr>
              <m:sty m:val="p"/>
            </m:rPr>
            <m:t>F</m:t>
          </m:r>
          <m:sSup>
            <m:e>
              <m:r>
                <m:rPr>
                  <m:sty m:val="p"/>
                </m:rPr>
                <m:t>e</m:t>
              </m:r>
            </m:e>
            <m:sup>
              <m:r>
                <m:rPr>
                  <m:sty m:val="p"/>
                </m:rPr>
                <m:t>I</m:t>
              </m:r>
              <m:r>
                <m:rPr>
                  <m:sty m:val="p"/>
                </m:rPr>
                <m:t>I</m:t>
              </m:r>
            </m:sup>
          </m:sSup>
        </m:oMath>
      </m:oMathPara>
    </w:p>
    <w:p>
      <w:pPr>
        <w:spacing w:after="100"/>
        <w:jc w:val="both"/>
      </w:pPr>
      <w:r>
        <w:rPr>
          <w:color w:val="3A4350"/>
          <w:sz w:val="19"/>
          <w:szCs w:val="19"/>
        </w:rPr>
        <w:t xml:space="preserve">where </w:t>
      </w:r>
      <m:oMath>
        <m:r>
          <m:t>s</m:t>
        </m:r>
      </m:oMath>
      <w:r>
        <w:rPr>
          <w:color w:val="3A4350"/>
          <w:sz w:val="19"/>
          <w:szCs w:val="19"/>
        </w:rPr>
        <w:t xml:space="preserve"> is the relative soil moisture, </w:t>
      </w:r>
      <m:oMath>
        <m:r>
          <m:t>n</m:t>
        </m:r>
        <m:sSub>
          <m:e>
            <m:r>
              <m:t>Z</m:t>
            </m:r>
          </m:e>
          <m:sub>
            <m:r>
              <m:t>r</m:t>
            </m:r>
          </m:sub>
        </m:sSub>
      </m:oMath>
      <w:r>
        <w:rPr>
          <w:color w:val="3A4350"/>
          <w:sz w:val="19"/>
          <w:szCs w:val="19"/>
        </w:rPr>
        <w:t xml:space="preserve"> the active soil depth times porosity, </w:t>
      </w:r>
      <m:oMath>
        <m:r>
          <m:t>R</m:t>
        </m:r>
        <m:d>
          <m:dPr>
            <m:begChr m:val="("/>
            <m:sepChr m:val=""/>
            <m:endChr m:val=")"/>
            <m:grow/>
          </m:dPr>
          <m:e>
            <m:r>
              <m:t>t</m:t>
            </m:r>
          </m:e>
        </m:d>
      </m:oMath>
      <w:r>
        <w:rPr>
          <w:color w:val="3A4350"/>
          <w:sz w:val="19"/>
          <w:szCs w:val="19"/>
        </w:rPr>
        <w:t xml:space="preserve"> the random rainfall input, </w:t>
      </w:r>
      <m:oMath>
        <m:r>
          <m:t>L</m:t>
        </m:r>
        <m:d>
          <m:dPr>
            <m:begChr m:val="("/>
            <m:sepChr m:val=""/>
            <m:endChr m:val=")"/>
            <m:grow/>
          </m:dPr>
          <m:e>
            <m:r>
              <m:t>s</m:t>
            </m:r>
          </m:e>
        </m:d>
      </m:oMath>
      <w:r>
        <w:rPr>
          <w:color w:val="3A4350"/>
          <w:sz w:val="19"/>
          <w:szCs w:val="19"/>
        </w:rPr>
        <w:t xml:space="preserve"> the losses, </w:t>
      </w:r>
      <m:oMath>
        <m:sSup>
          <m:e>
            <m:r>
              <m:t>s</m:t>
            </m:r>
          </m:e>
          <m:sup>
            <m:r>
              <m:rPr>
                <m:sty m:val="p"/>
              </m:rPr>
              <m:t>⋆</m:t>
            </m:r>
          </m:sup>
        </m:sSup>
      </m:oMath>
      <w:r>
        <w:rPr>
          <w:color w:val="3A4350"/>
          <w:sz w:val="19"/>
          <w:szCs w:val="19"/>
        </w:rPr>
        <w:t xml:space="preserve"> the moisture above which the soil turns anoxic and </w:t>
      </w:r>
      <m:oMath>
        <m:r>
          <m:t>Θ</m:t>
        </m:r>
      </m:oMath>
      <w:r>
        <w:rPr>
          <w:color w:val="3A4350"/>
          <w:sz w:val="19"/>
          <w:szCs w:val="19"/>
        </w:rPr>
        <w:t xml:space="preserve"> the step function.</w:t>
      </w:r>
    </w:p>
    <w:p>
      <w:pPr>
        <w:spacing w:after="100" w:before="80"/>
        <w:jc w:val="both"/>
      </w:pPr>
      <w:r>
        <w:rPr>
          <w:b/>
          <w:bCs/>
          <w:color w:val="C25E00"/>
        </w:rPr>
        <w:t xml:space="preserve">Link to the theoretical introduction. </w:t>
      </w:r>
      <w:r>
        <w:t xml:space="preserve">Belongs to section 1.8: nonlinear kinetics under random hydrological forcing produce a resonance that no average or equilibrium model shows; tides, recharge and pumping force coastal aquifers in the same way.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Frames iron-reduction capacity as a resonance between hydroclimatic forcing and redox kinetics, with an analytical upper bound on the rate.</w:t>
      </w:r>
    </w:p>
    <w:p>
      <w:pPr>
        <w:pStyle w:val="Heading2"/>
        <w:keepNext/>
      </w:pPr>
      <w:r>
        <w:rPr>
          <w:color w:val="C25E00"/>
        </w:rPr>
        <w:t xml:space="preserve">P4  </w:t>
      </w:r>
      <w:r>
        <w:rPr>
          <w:color w:val="1F3864"/>
        </w:rPr>
        <w:t xml:space="preserve">Advancing Enhanced Weathering Modeling in Soils: Critical Comparison With Experimental Data</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Matteo B. Bertagni, Salvatore Calabrese, Giuseppe Cipolla, Leonardo V. Noto, Amilcare Porporato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Advances in Modeling Earth Systems, vol. 17, no. 1, article e2024MS004224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fzo34febxxko_ditjy68">
              <w:r>
                <w:rPr>
                  <w:color w:val="1D4ED8"/>
                  <w:sz w:val="18"/>
                  <w:szCs w:val="18"/>
                  <w:u w:val="single"/>
                </w:rPr>
                <w:t xml:space="preserve">https://doi.org/10.1029/2024MS004224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Porporato: Princeton University (Princeton research portal). The affiliations of the other authors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enhanced weathering · soil model (SMEW) · approach to saturation · soil buffering · alkalinity · model–data comparison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authors present SMEW, a soil model for enhanced weathering, and test it against four experimental datasets, from closed incubations to open mesocosms. SMEW reproduces soil moisture, alkalinity and inorganic carbon and shows that effective weathering rates are up to two orders of magnitude slower than commonly assumed. It quantifies how the kinetic rate law, the approach to saturation and soil buffering suppress dissolution relative to laboratory rates measured far from equilibrium.</w:t>
      </w:r>
    </w:p>
    <w:p>
      <w:pPr>
        <w:keepNext/>
        <w:spacing w:after="40" w:before="80"/>
      </w:pPr>
      <w:r>
        <w:rPr>
          <w:b/>
          <w:bCs/>
          <w:color w:val="C25E00"/>
        </w:rPr>
        <w:t xml:space="preserve">Key equation.</w:t>
      </w:r>
      <w:r>
        <w:rPr>
          <w:i/>
          <w:iCs/>
          <w:color w:val="5B6573"/>
          <w:sz w:val="18"/>
          <w:szCs w:val="18"/>
        </w:rPr>
        <w:t xml:space="preserve">  Soil alkalinity balance with mineral dissolution and exchange (representative formulation)</w:t>
      </w:r>
    </w:p>
    <w:p>
      <w:pPr>
        <w:pStyle w:val="Equation"/>
      </w:pPr>
      <m:oMathPara>
        <m:oMathParaPr>
          <m:jc m:val="center"/>
        </m:oMathParaPr>
        <m:oMath>
          <m:f>
            <m:fPr>
              <m:type m:val="bar"/>
            </m:fPr>
            <m:num>
              <m:r>
                <m:t>d</m:t>
              </m:r>
              <m:d>
                <m:dPr>
                  <m:begChr m:val="("/>
                  <m:sepChr m:val=""/>
                  <m:endChr m:val=")"/>
                  <m:grow/>
                </m:dPr>
                <m:e>
                  <m:r>
                    <m:t>n</m:t>
                  </m:r>
                  <m:sSub>
                    <m:e>
                      <m:r>
                        <m:t>Z</m:t>
                      </m:r>
                    </m:e>
                    <m:sub>
                      <m:r>
                        <m:t>r</m:t>
                      </m:r>
                    </m:sub>
                  </m:sSub>
                  <m:r>
                    <m:t> </m:t>
                  </m:r>
                  <m:r>
                    <m:t>s</m:t>
                  </m:r>
                  <m:r>
                    <m:t> </m:t>
                  </m:r>
                  <m:r>
                    <m:rPr>
                      <m:sty m:val="p"/>
                    </m:rPr>
                    <m:t>A</m:t>
                  </m:r>
                  <m:r>
                    <m:rPr>
                      <m:sty m:val="p"/>
                    </m:rPr>
                    <m:t>L</m:t>
                  </m:r>
                  <m:r>
                    <m:rPr>
                      <m:sty m:val="p"/>
                    </m:rPr>
                    <m:t>K</m:t>
                  </m:r>
                </m:e>
              </m:d>
            </m:num>
            <m:den>
              <m:r>
                <m:t>d</m:t>
              </m:r>
              <m:r>
                <m:t>t</m:t>
              </m:r>
            </m:den>
          </m:f>
          <m:r>
            <m:rPr>
              <m:sty m:val="p"/>
            </m:rPr>
            <m:t>=</m:t>
          </m:r>
          <m:r>
            <m:t>n</m:t>
          </m:r>
          <m:sSub>
            <m:e>
              <m:r>
                <m:t>Z</m:t>
              </m:r>
            </m:e>
            <m:sub>
              <m:r>
                <m:t>r</m:t>
              </m:r>
            </m:sub>
          </m:sSub>
          <m:d>
            <m:dPr>
              <m:begChr m:val="["/>
              <m:sepChr m:val=""/>
              <m:endChr m:val="]"/>
              <m:grow/>
            </m:dPr>
            <m:e>
              <m:nary>
                <m:naryPr>
                  <m:chr m:val="∑"/>
                  <m:limLoc m:val="undOvr"/>
                  <m:subHide m:val="off"/>
                  <m:supHide m:val="on"/>
                </m:naryPr>
                <m:sub>
                  <m:r>
                    <m:t>j</m:t>
                  </m:r>
                </m:sub>
                <m:sup>
                  <m:r>
                    <m:t>​</m:t>
                  </m:r>
                </m:sup>
                <m:e>
                  <m:sSub>
                    <m:e>
                      <m:r>
                        <m:t>z</m:t>
                      </m:r>
                    </m:e>
                    <m:sub>
                      <m:r>
                        <m:t>j</m:t>
                      </m:r>
                    </m:sub>
                  </m:sSub>
                </m:e>
              </m:nary>
              <m:r>
                <m:t> </m:t>
              </m:r>
              <m:sSub>
                <m:e>
                  <m:r>
                    <m:t>r</m:t>
                  </m:r>
                </m:e>
                <m:sub>
                  <m:r>
                    <m:t>j</m:t>
                  </m:r>
                </m:sub>
              </m:sSub>
              <m:d>
                <m:dPr>
                  <m:begChr m:val="("/>
                  <m:sepChr m:val=""/>
                  <m:endChr m:val=")"/>
                  <m:grow/>
                </m:dPr>
                <m:e>
                  <m:r>
                    <m:t>s</m:t>
                  </m:r>
                  <m:r>
                    <m:rPr>
                      <m:sty m:val="p"/>
                    </m:rPr>
                    <m:t>,</m:t>
                  </m:r>
                  <m:r>
                    <m:rPr>
                      <m:sty m:val="p"/>
                    </m:rPr>
                    <m:t>p</m:t>
                  </m:r>
                  <m:r>
                    <m:rPr>
                      <m:sty m:val="p"/>
                    </m:rPr>
                    <m:t>H</m:t>
                  </m:r>
                  <m:r>
                    <m:rPr>
                      <m:sty m:val="p"/>
                    </m:rPr>
                    <m:t>,</m:t>
                  </m:r>
                  <m:sSub>
                    <m:e>
                      <m:r>
                        <m:t>Ω</m:t>
                      </m:r>
                    </m:e>
                    <m:sub>
                      <m:r>
                        <m:t>j</m:t>
                      </m:r>
                    </m:sub>
                  </m:sSub>
                </m:e>
              </m:d>
              <m:r>
                <m:rPr>
                  <m:sty m:val="p"/>
                </m:rPr>
                <m:t>+</m:t>
              </m:r>
              <m:sSub>
                <m:e>
                  <m:r>
                    <m:t>r</m:t>
                  </m:r>
                </m:e>
                <m:sub>
                  <m:r>
                    <m:rPr>
                      <m:sty m:val="p"/>
                    </m:rPr>
                    <m:t>e</m:t>
                  </m:r>
                  <m:r>
                    <m:rPr>
                      <m:sty m:val="p"/>
                    </m:rPr>
                    <m:t>x</m:t>
                  </m:r>
                </m:sub>
              </m:sSub>
            </m:e>
          </m:d>
          <m:r>
            <m:rPr>
              <m:sty m:val="p"/>
            </m:rPr>
            <m:t>−</m:t>
          </m:r>
          <m:r>
            <m:t>L</m:t>
          </m:r>
          <m:d>
            <m:dPr>
              <m:begChr m:val="("/>
              <m:sepChr m:val=""/>
              <m:endChr m:val=")"/>
              <m:grow/>
            </m:dPr>
            <m:e>
              <m:r>
                <m:t>s</m:t>
              </m:r>
            </m:e>
          </m:d>
          <m:r>
            <m:t> </m:t>
          </m:r>
          <m:r>
            <m:rPr>
              <m:sty m:val="p"/>
            </m:rPr>
            <m:t>A</m:t>
          </m:r>
          <m:r>
            <m:rPr>
              <m:sty m:val="p"/>
            </m:rPr>
            <m:t>L</m:t>
          </m:r>
          <m:r>
            <m:rPr>
              <m:sty m:val="p"/>
            </m:rPr>
            <m:t>K</m:t>
          </m:r>
        </m:oMath>
      </m:oMathPara>
    </w:p>
    <w:p>
      <w:pPr>
        <w:spacing w:after="100"/>
        <w:jc w:val="both"/>
      </w:pPr>
      <w:r>
        <w:rPr>
          <w:color w:val="3A4350"/>
          <w:sz w:val="19"/>
          <w:szCs w:val="19"/>
        </w:rPr>
        <w:t xml:space="preserve">where </w:t>
      </w:r>
      <m:oMath>
        <m:r>
          <m:rPr>
            <m:sty m:val="p"/>
          </m:rPr>
          <m:t>A</m:t>
        </m:r>
        <m:r>
          <m:rPr>
            <m:sty m:val="p"/>
          </m:rPr>
          <m:t>L</m:t>
        </m:r>
        <m:r>
          <m:rPr>
            <m:sty m:val="p"/>
          </m:rPr>
          <m:t>K</m:t>
        </m:r>
      </m:oMath>
      <w:r>
        <w:rPr>
          <w:color w:val="3A4350"/>
          <w:sz w:val="19"/>
          <w:szCs w:val="19"/>
        </w:rPr>
        <w:t xml:space="preserve"> is the alkalinity, </w:t>
      </w:r>
      <m:oMath>
        <m:sSub>
          <m:e>
            <m:r>
              <m:t>r</m:t>
            </m:r>
          </m:e>
          <m:sub>
            <m:r>
              <m:t>j</m:t>
            </m:r>
          </m:sub>
        </m:sSub>
      </m:oMath>
      <w:r>
        <w:rPr>
          <w:color w:val="3A4350"/>
          <w:sz w:val="19"/>
          <w:szCs w:val="19"/>
        </w:rPr>
        <w:t xml:space="preserve"> the dissolution rate of mineral </w:t>
      </w:r>
      <m:oMath>
        <m:r>
          <m:t>j</m:t>
        </m:r>
      </m:oMath>
      <w:r>
        <w:rPr>
          <w:color w:val="3A4350"/>
          <w:sz w:val="19"/>
          <w:szCs w:val="19"/>
        </w:rPr>
        <w:t xml:space="preserve"> with charge equivalents </w:t>
      </w:r>
      <m:oMath>
        <m:sSub>
          <m:e>
            <m:r>
              <m:t>z</m:t>
            </m:r>
          </m:e>
          <m:sub>
            <m:r>
              <m:t>j</m:t>
            </m:r>
          </m:sub>
        </m:sSub>
      </m:oMath>
      <w:r>
        <w:rPr>
          <w:color w:val="3A4350"/>
          <w:sz w:val="19"/>
          <w:szCs w:val="19"/>
        </w:rPr>
        <w:t xml:space="preserve">, depending on moisture, pH and saturation </w:t>
      </w:r>
      <m:oMath>
        <m:sSub>
          <m:e>
            <m:r>
              <m:t>Ω</m:t>
            </m:r>
          </m:e>
          <m:sub>
            <m:r>
              <m:t>j</m:t>
            </m:r>
          </m:sub>
        </m:sSub>
      </m:oMath>
      <w:r>
        <w:rPr>
          <w:color w:val="3A4350"/>
          <w:sz w:val="19"/>
          <w:szCs w:val="19"/>
        </w:rPr>
        <w:t xml:space="preserve">, and </w:t>
      </w:r>
      <m:oMath>
        <m:sSub>
          <m:e>
            <m:r>
              <m:t>r</m:t>
            </m:r>
          </m:e>
          <m:sub>
            <m:r>
              <m:rPr>
                <m:sty m:val="p"/>
              </m:rPr>
              <m:t>e</m:t>
            </m:r>
            <m:r>
              <m:rPr>
                <m:sty m:val="p"/>
              </m:rPr>
              <m:t>x</m:t>
            </m:r>
          </m:sub>
        </m:sSub>
      </m:oMath>
      <w:r>
        <w:rPr>
          <w:color w:val="3A4350"/>
          <w:sz w:val="19"/>
          <w:szCs w:val="19"/>
        </w:rPr>
        <w:t xml:space="preserve"> the exchange term.</w:t>
      </w:r>
    </w:p>
    <w:p>
      <w:pPr>
        <w:spacing w:after="100" w:before="80"/>
        <w:jc w:val="both"/>
      </w:pPr>
      <w:r>
        <w:rPr>
          <w:b/>
          <w:bCs/>
          <w:color w:val="C25E00"/>
        </w:rPr>
        <w:t xml:space="preserve">Link to the theoretical introduction. </w:t>
      </w:r>
      <w:r>
        <w:t xml:space="preserve">Belongs to sections 1.1 and 1.2: the gap between laboratory and field rates of section 1.1 explained by the approach to saturation and buffering, the same reasons that the field rate prefactor of section 8 is uncertain.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the first systematic comparison of an enhanced-weathering soil model with experimental data and shows that effective rates are up to a hundred times slower than assumed.</w:t>
      </w:r>
    </w:p>
    <w:p>
      <w:pPr>
        <w:pStyle w:val="Heading2"/>
        <w:keepNext/>
      </w:pPr>
      <w:r>
        <w:rPr>
          <w:color w:val="C25E00"/>
        </w:rPr>
        <w:t xml:space="preserve">P5  </w:t>
      </w:r>
      <w:r>
        <w:rPr>
          <w:color w:val="1F3864"/>
        </w:rPr>
        <w:t xml:space="preserve">The carbon-capture efficiency of natural water alkalinization: Implications for enhanced weathering</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Matteo B. Bertagni, Amilcare Porporato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Science of the Total Environment, vol. 838, article 156524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dx9mdyzzwz74yvdrb32v">
              <w:r>
                <w:rPr>
                  <w:color w:val="1D4ED8"/>
                  <w:sz w:val="18"/>
                  <w:szCs w:val="18"/>
                  <w:u w:val="single"/>
                </w:rPr>
                <w:t xml:space="preserve">https://doi.org/10.1016/j.scitotenv.2022.156524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Porporato: Princeton University (Princeton research portal).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carbonate system · alkalinization · carbon-capture efficiency · pH switch · freshwater–seawater continuum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fraction of added alkalinity that is stored as dissolved inorganic carbon is not fixed: it switches steeply within a narrow pH range. In terrestrial waters it spans 0–100%, and acidic waters dissolve minerals faster but capture less; in the ocean it is about 80%, varying with latitude through temperature and salinity. The authors call for a theory that follows alkalinity along the continuum from fresh water to seawater, which passes through coastal aquifers and their mixing zones.</w:t>
      </w:r>
    </w:p>
    <w:p>
      <w:pPr>
        <w:keepNext/>
        <w:spacing w:after="40" w:before="80"/>
      </w:pPr>
      <w:r>
        <w:rPr>
          <w:b/>
          <w:bCs/>
          <w:color w:val="C25E00"/>
        </w:rPr>
        <w:t xml:space="preserve">Key equation.</w:t>
      </w:r>
      <w:r>
        <w:rPr>
          <w:i/>
          <w:iCs/>
          <w:color w:val="5B6573"/>
          <w:sz w:val="18"/>
          <w:szCs w:val="18"/>
        </w:rPr>
        <w:t xml:space="preserve">  Carbon-capture efficiency of alkalinity at fixed CO₂ pressure (derived in this document for an open system; not the paper's notation)</w:t>
      </w:r>
    </w:p>
    <w:p>
      <w:pPr>
        <w:pStyle w:val="Equation"/>
      </w:pPr>
      <m:oMathPara>
        <m:oMathParaPr>
          <m:jc m:val="center"/>
        </m:oMathParaPr>
        <m:oMath>
          <m:r>
            <m:t>η</m:t>
          </m:r>
          <m:r>
            <m:rPr>
              <m:sty m:val="p"/>
            </m:rPr>
            <m:t>=</m:t>
          </m:r>
          <m:f>
            <m:fPr>
              <m:type m:val="bar"/>
            </m:fPr>
            <m:num>
              <m:r>
                <m:rPr>
                  <m:sty m:val="p"/>
                </m:rPr>
                <m:t>∂</m:t>
              </m:r>
              <m:r>
                <m:t> </m:t>
              </m:r>
              <m:r>
                <m:rPr>
                  <m:sty m:val="p"/>
                </m:rPr>
                <m:t>D</m:t>
              </m:r>
              <m:r>
                <m:rPr>
                  <m:sty m:val="p"/>
                </m:rPr>
                <m:t>I</m:t>
              </m:r>
              <m:r>
                <m:rPr>
                  <m:sty m:val="p"/>
                </m:rPr>
                <m:t>C</m:t>
              </m:r>
            </m:num>
            <m:den>
              <m:r>
                <m:rPr>
                  <m:sty m:val="p"/>
                </m:rPr>
                <m:t>∂</m:t>
              </m:r>
              <m:r>
                <m:t> </m:t>
              </m:r>
              <m:r>
                <m:rPr>
                  <m:sty m:val="p"/>
                </m:rPr>
                <m:t>A</m:t>
              </m:r>
              <m:r>
                <m:rPr>
                  <m:sty m:val="p"/>
                </m:rPr>
                <m:t>L</m:t>
              </m:r>
              <m:r>
                <m:rPr>
                  <m:sty m:val="p"/>
                </m:rPr>
                <m:t>K</m:t>
              </m:r>
            </m:den>
          </m:f>
          <m:r>
            <m:rPr>
              <m:sty m:val="p"/>
            </m:rPr>
            <m:t>=</m:t>
          </m:r>
          <m:f>
            <m:fPr>
              <m:type m:val="bar"/>
            </m:fPr>
            <m:num>
              <m:r>
                <m:t>c</m:t>
              </m:r>
              <m:sSub>
                <m:e>
                  <m:r>
                    <m:t>K</m:t>
                  </m:r>
                </m:e>
                <m:sub>
                  <m:r>
                    <m:t>1</m:t>
                  </m:r>
                </m:sub>
              </m:sSub>
              <m:d>
                <m:dPr>
                  <m:begChr m:val="("/>
                  <m:sepChr m:val=""/>
                  <m:endChr m:val=")"/>
                  <m:grow/>
                </m:dPr>
                <m:e>
                  <m:r>
                    <m:t>h</m:t>
                  </m:r>
                  <m:r>
                    <m:rPr>
                      <m:sty m:val="p"/>
                    </m:rPr>
                    <m:t>+</m:t>
                  </m:r>
                  <m:r>
                    <m:t>2</m:t>
                  </m:r>
                  <m:sSub>
                    <m:e>
                      <m:r>
                        <m:t>K</m:t>
                      </m:r>
                    </m:e>
                    <m:sub>
                      <m:r>
                        <m:t>2</m:t>
                      </m:r>
                    </m:sub>
                  </m:sSub>
                </m:e>
              </m:d>
            </m:num>
            <m:den>
              <m:r>
                <m:t>c</m:t>
              </m:r>
              <m:sSub>
                <m:e>
                  <m:r>
                    <m:t>K</m:t>
                  </m:r>
                </m:e>
                <m:sub>
                  <m:r>
                    <m:t>1</m:t>
                  </m:r>
                </m:sub>
              </m:sSub>
              <m:d>
                <m:dPr>
                  <m:begChr m:val="("/>
                  <m:sepChr m:val=""/>
                  <m:endChr m:val=")"/>
                  <m:grow/>
                </m:dPr>
                <m:e>
                  <m:r>
                    <m:t>h</m:t>
                  </m:r>
                  <m:r>
                    <m:rPr>
                      <m:sty m:val="p"/>
                    </m:rPr>
                    <m:t>+</m:t>
                  </m:r>
                  <m:r>
                    <m:t>4</m:t>
                  </m:r>
                  <m:sSub>
                    <m:e>
                      <m:r>
                        <m:t>K</m:t>
                      </m:r>
                    </m:e>
                    <m:sub>
                      <m:r>
                        <m:t>2</m:t>
                      </m:r>
                    </m:sub>
                  </m:sSub>
                </m:e>
              </m:d>
              <m:r>
                <m:rPr>
                  <m:sty m:val="p"/>
                </m:rPr>
                <m:t>+</m:t>
              </m:r>
              <m:sSub>
                <m:e>
                  <m:r>
                    <m:t>K</m:t>
                  </m:r>
                </m:e>
                <m:sub>
                  <m:r>
                    <m:t>w</m:t>
                  </m:r>
                </m:sub>
              </m:sSub>
              <m:r>
                <m:t>h</m:t>
              </m:r>
              <m:r>
                <m:rPr>
                  <m:sty m:val="p"/>
                </m:rPr>
                <m:t>+</m:t>
              </m:r>
              <m:sSup>
                <m:e>
                  <m:r>
                    <m:t>h</m:t>
                  </m:r>
                </m:e>
                <m:sup>
                  <m:r>
                    <m:t>3</m:t>
                  </m:r>
                </m:sup>
              </m:sSup>
            </m:den>
          </m:f>
          <m:r>
            <m:rPr>
              <m:sty m:val="p"/>
            </m:rPr>
            <m:t>,</m:t>
          </m:r>
          <m:r>
            <m:t>  </m:t>
          </m:r>
          <m:r>
            <m:t>c</m:t>
          </m:r>
          <m:r>
            <m:rPr>
              <m:sty m:val="p"/>
            </m:rPr>
            <m:t>=</m:t>
          </m:r>
          <m:sSub>
            <m:e>
              <m:r>
                <m:t>K</m:t>
              </m:r>
            </m:e>
            <m:sub>
              <m:r>
                <m:t>H</m:t>
              </m:r>
            </m:sub>
          </m:sSub>
          <m:sSub>
            <m:e>
              <m:r>
                <m:t>p</m:t>
              </m:r>
            </m:e>
            <m:sub>
              <m:r>
                <m:rPr>
                  <m:sty m:val="p"/>
                </m:rPr>
                <m:t>C</m:t>
              </m:r>
              <m:sSub>
                <m:e>
                  <m:r>
                    <m:rPr>
                      <m:sty m:val="p"/>
                    </m:rPr>
                    <m:t>O</m:t>
                  </m:r>
                </m:e>
                <m:sub>
                  <m:r>
                    <m:rPr>
                      <m:sty m:val="p"/>
                    </m:rPr>
                    <m:t>2</m:t>
                  </m:r>
                </m:sub>
              </m:sSub>
            </m:sub>
          </m:sSub>
          <m:r>
            <m:rPr>
              <m:sty m:val="p"/>
            </m:rPr>
            <m:t>,</m:t>
          </m:r>
          <m:r>
            <m:t>  </m:t>
          </m:r>
          <m:r>
            <m:t>h</m:t>
          </m:r>
          <m:r>
            <m:rPr>
              <m:sty m:val="p"/>
            </m:rPr>
            <m:t>=</m:t>
          </m:r>
          <m:d>
            <m:dPr>
              <m:begChr m:val="["/>
              <m:sepChr m:val=""/>
              <m:endChr m:val="]"/>
              <m:grow/>
            </m:dPr>
            <m:e>
              <m:sSup>
                <m:e>
                  <m:r>
                    <m:rPr>
                      <m:sty m:val="p"/>
                    </m:rPr>
                    <m:t>H</m:t>
                  </m:r>
                </m:e>
                <m:sup>
                  <m:r>
                    <m:rPr>
                      <m:nor/>
                    </m:rPr>
                    <m:t>+</m:t>
                  </m:r>
                </m:sup>
              </m:sSup>
            </m:e>
          </m:d>
        </m:oMath>
      </m:oMathPara>
    </w:p>
    <w:p>
      <w:pPr>
        <w:spacing w:after="100"/>
        <w:jc w:val="both"/>
      </w:pPr>
      <w:r>
        <w:rPr>
          <w:color w:val="3A4350"/>
          <w:sz w:val="19"/>
          <w:szCs w:val="19"/>
        </w:rPr>
        <w:t xml:space="preserve">where </w:t>
      </w:r>
      <m:oMath>
        <m:sSub>
          <m:e>
            <m:r>
              <m:t>K</m:t>
            </m:r>
          </m:e>
          <m:sub>
            <m:r>
              <m:t>1</m:t>
            </m:r>
          </m:sub>
        </m:sSub>
      </m:oMath>
      <w:r>
        <w:rPr>
          <w:color w:val="3A4350"/>
          <w:sz w:val="19"/>
          <w:szCs w:val="19"/>
        </w:rPr>
        <w:t xml:space="preserve">, </w:t>
      </w:r>
      <m:oMath>
        <m:sSub>
          <m:e>
            <m:r>
              <m:t>K</m:t>
            </m:r>
          </m:e>
          <m:sub>
            <m:r>
              <m:t>2</m:t>
            </m:r>
          </m:sub>
        </m:sSub>
      </m:oMath>
      <w:r>
        <w:rPr>
          <w:color w:val="3A4350"/>
          <w:sz w:val="19"/>
          <w:szCs w:val="19"/>
        </w:rPr>
        <w:t xml:space="preserve"> and </w:t>
      </w:r>
      <m:oMath>
        <m:sSub>
          <m:e>
            <m:r>
              <m:t>K</m:t>
            </m:r>
          </m:e>
          <m:sub>
            <m:r>
              <m:t>w</m:t>
            </m:r>
          </m:sub>
        </m:sSub>
      </m:oMath>
      <w:r>
        <w:rPr>
          <w:color w:val="3A4350"/>
          <w:sz w:val="19"/>
          <w:szCs w:val="19"/>
        </w:rPr>
        <w:t xml:space="preserve"> are the dissociation constants of carbonic acid and water and </w:t>
      </w:r>
      <m:oMath>
        <m:sSub>
          <m:e>
            <m:r>
              <m:t>K</m:t>
            </m:r>
          </m:e>
          <m:sub>
            <m:r>
              <m:t>H</m:t>
            </m:r>
          </m:sub>
        </m:sSub>
      </m:oMath>
      <w:r>
        <w:rPr>
          <w:color w:val="3A4350"/>
          <w:sz w:val="19"/>
          <w:szCs w:val="19"/>
        </w:rPr>
        <w:t xml:space="preserve"> the Henry constant of CO₂; at seawater pH (about 8.1) </w:t>
      </w:r>
      <m:oMath>
        <m:r>
          <m:t>η</m:t>
        </m:r>
        <m:r>
          <m:rPr>
            <m:sty m:val="p"/>
          </m:rPr>
          <m:t>≈</m:t>
        </m:r>
        <m:r>
          <m:t>0.8</m:t>
        </m:r>
      </m:oMath>
      <w:r>
        <w:rPr>
          <w:color w:val="3A4350"/>
          <w:sz w:val="19"/>
          <w:szCs w:val="19"/>
        </w:rPr>
        <w:t xml:space="preserve">.</w:t>
      </w:r>
    </w:p>
    <w:p>
      <w:pPr>
        <w:spacing w:after="100" w:before="80"/>
        <w:jc w:val="both"/>
      </w:pPr>
      <w:r>
        <w:rPr>
          <w:b/>
          <w:bCs/>
          <w:color w:val="C25E00"/>
        </w:rPr>
        <w:t xml:space="preserve">Link to the theoretical introduction. </w:t>
      </w:r>
      <w:r>
        <w:t xml:space="preserve">Belongs to sections 1.5 and 1.8: the same nonlinear carbonate chemistry that makes mixtures of saturated waters undersaturated (section 1.5) makes the carbon yield of alkalinity a steep function of pH.</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a closed-form efficiency of carbon capture by alkalinization that unifies terrestrial and marine waters.</w:t>
      </w:r>
    </w:p>
    <w:p>
      <w:pPr>
        <w:pStyle w:val="Heading2"/>
        <w:keepNext/>
      </w:pPr>
      <w:r>
        <w:rPr>
          <w:color w:val="C25E00"/>
        </w:rPr>
        <w:t xml:space="preserve">P6  </w:t>
      </w:r>
      <w:r>
        <w:rPr>
          <w:color w:val="1F3864"/>
        </w:rPr>
        <w:t xml:space="preserve">Dynamic interactions at the mineral–organic matter interface</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Markus Kleber, Ian C. Bourg, Elizabeth K. Coward, Colleen M. Hansel, Satish C. B. Myneni, Naoise Nunan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Reviews Earth &amp; Environment, vol. 2, pp. 402–421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9phmjte1nisfj2katu2p">
              <w:r>
                <w:rPr>
                  <w:color w:val="1D4ED8"/>
                  <w:sz w:val="18"/>
                  <w:szCs w:val="18"/>
                  <w:u w:val="single"/>
                </w:rPr>
                <w:t xml:space="preserve">https://doi.org/10.1038/s43017-021-00162-y</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I. C. Bourg and S. C. B. Myneni: Princeton University (Princeton research portal; Myneni laboratory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mineral–organic interfaces · catalysis · electron transfer · reactive oxygen species · microbial microsites · non-equilibrium sorption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Summary. </w:t>
      </w:r>
      <w:r>
        <w:t xml:space="preserve">Minerals do not simply protect organic matter by sorbing it: they catalyze its transformation, exchange electrons and reactive oxygen species with it, and create microsites for microbes. Sorption is a step in a sequence of reactions, not an equilibrium end state, and persistence is a kinetic property of the mineral–organic system.</w:t>
      </w:r>
    </w:p>
    <w:p>
      <w:pPr>
        <w:keepNext/>
        <w:spacing w:after="40" w:before="80"/>
      </w:pPr>
      <w:r>
        <w:rPr>
          <w:b/>
          <w:bCs/>
          <w:color w:val="C25E00"/>
        </w:rPr>
        <w:t xml:space="preserve">Key equation.</w:t>
      </w:r>
      <w:r>
        <w:rPr>
          <w:i/>
          <w:iCs/>
          <w:color w:val="5B6573"/>
          <w:sz w:val="18"/>
          <w:szCs w:val="18"/>
        </w:rPr>
        <w:t xml:space="preserve">  Kinetic sorption with a transformation sink (representative formulation)</w:t>
      </w:r>
    </w:p>
    <w:p>
      <w:pPr>
        <w:pStyle w:val="Equation"/>
      </w:pPr>
      <m:oMathPara>
        <m:oMathParaPr>
          <m:jc m:val="center"/>
        </m:oMathParaPr>
        <m:oMath>
          <m:f>
            <m:fPr>
              <m:type m:val="bar"/>
            </m:fPr>
            <m:num>
              <m:r>
                <m:t>d</m:t>
              </m:r>
              <m:r>
                <m:t>q</m:t>
              </m:r>
            </m:num>
            <m:den>
              <m:r>
                <m:t>d</m:t>
              </m:r>
              <m:r>
                <m:t>t</m:t>
              </m:r>
            </m:den>
          </m:f>
          <m:r>
            <m:rPr>
              <m:sty m:val="p"/>
            </m:rPr>
            <m:t>=</m:t>
          </m:r>
          <m:sSub>
            <m:e>
              <m:r>
                <m:t>k</m:t>
              </m:r>
            </m:e>
            <m:sub>
              <m:r>
                <m:t>a</m:t>
              </m:r>
            </m:sub>
          </m:sSub>
          <m:r>
            <m:t> </m:t>
          </m:r>
          <m:r>
            <m:t>C</m:t>
          </m:r>
          <m:d>
            <m:dPr>
              <m:begChr m:val="("/>
              <m:sepChr m:val=""/>
              <m:endChr m:val=")"/>
              <m:grow/>
            </m:dPr>
            <m:e>
              <m:sSub>
                <m:e>
                  <m:r>
                    <m:t>q</m:t>
                  </m:r>
                </m:e>
                <m:sub>
                  <m:r>
                    <m:rPr>
                      <m:sty m:val="p"/>
                    </m:rPr>
                    <m:t>max</m:t>
                  </m:r>
                </m:sub>
              </m:sSub>
              <m:r>
                <m:rPr>
                  <m:sty m:val="p"/>
                </m:rPr>
                <m:t>−</m:t>
              </m:r>
              <m:r>
                <m:t>q</m:t>
              </m:r>
            </m:e>
          </m:d>
          <m:r>
            <m:rPr>
              <m:sty m:val="p"/>
            </m:rPr>
            <m:t>−</m:t>
          </m:r>
          <m:sSub>
            <m:e>
              <m:r>
                <m:t>k</m:t>
              </m:r>
            </m:e>
            <m:sub>
              <m:r>
                <m:t>d</m:t>
              </m:r>
            </m:sub>
          </m:sSub>
          <m:r>
            <m:t> </m:t>
          </m:r>
          <m:r>
            <m:t>q</m:t>
          </m:r>
          <m:r>
            <m:rPr>
              <m:sty m:val="p"/>
            </m:rPr>
            <m:t>−</m:t>
          </m:r>
          <m:sSub>
            <m:e>
              <m:r>
                <m:t>k</m:t>
              </m:r>
            </m:e>
            <m:sub>
              <m:r>
                <m:rPr>
                  <m:sty m:val="p"/>
                </m:rPr>
                <m:t>t</m:t>
              </m:r>
              <m:r>
                <m:rPr>
                  <m:sty m:val="p"/>
                </m:rPr>
                <m:t>r</m:t>
              </m:r>
            </m:sub>
          </m:sSub>
          <m:r>
            <m:t> </m:t>
          </m:r>
          <m:r>
            <m:t>q</m:t>
          </m:r>
        </m:oMath>
      </m:oMathPara>
    </w:p>
    <w:p>
      <w:pPr>
        <w:spacing w:after="100"/>
        <w:jc w:val="both"/>
      </w:pPr>
      <w:r>
        <w:rPr>
          <w:color w:val="3A4350"/>
          <w:sz w:val="19"/>
          <w:szCs w:val="19"/>
        </w:rPr>
        <w:t xml:space="preserve">where </w:t>
      </w:r>
      <m:oMath>
        <m:r>
          <m:t>q</m:t>
        </m:r>
      </m:oMath>
      <w:r>
        <w:rPr>
          <w:color w:val="3A4350"/>
          <w:sz w:val="19"/>
          <w:szCs w:val="19"/>
        </w:rPr>
        <w:t xml:space="preserve"> is the sorbed amount, </w:t>
      </w:r>
      <m:oMath>
        <m:r>
          <m:t>C</m:t>
        </m:r>
      </m:oMath>
      <w:r>
        <w:rPr>
          <w:color w:val="3A4350"/>
          <w:sz w:val="19"/>
          <w:szCs w:val="19"/>
        </w:rPr>
        <w:t xml:space="preserve"> the dissolved concentration, </w:t>
      </w:r>
      <m:oMath>
        <m:sSub>
          <m:e>
            <m:r>
              <m:t>q</m:t>
            </m:r>
          </m:e>
          <m:sub>
            <m:r>
              <m:rPr>
                <m:sty m:val="p"/>
              </m:rPr>
              <m:t>max</m:t>
            </m:r>
          </m:sub>
        </m:sSub>
      </m:oMath>
      <w:r>
        <w:rPr>
          <w:color w:val="3A4350"/>
          <w:sz w:val="19"/>
          <w:szCs w:val="19"/>
        </w:rPr>
        <w:t xml:space="preserve"> the sorption capacity, </w:t>
      </w:r>
      <m:oMath>
        <m:sSub>
          <m:e>
            <m:r>
              <m:t>k</m:t>
            </m:r>
          </m:e>
          <m:sub>
            <m:r>
              <m:t>a</m:t>
            </m:r>
          </m:sub>
        </m:sSub>
      </m:oMath>
      <w:r>
        <w:rPr>
          <w:color w:val="3A4350"/>
          <w:sz w:val="19"/>
          <w:szCs w:val="19"/>
        </w:rPr>
        <w:t xml:space="preserve"> and </w:t>
      </w:r>
      <m:oMath>
        <m:sSub>
          <m:e>
            <m:r>
              <m:t>k</m:t>
            </m:r>
          </m:e>
          <m:sub>
            <m:r>
              <m:t>d</m:t>
            </m:r>
          </m:sub>
        </m:sSub>
      </m:oMath>
      <w:r>
        <w:rPr>
          <w:color w:val="3A4350"/>
          <w:sz w:val="19"/>
          <w:szCs w:val="19"/>
        </w:rPr>
        <w:t xml:space="preserve"> the sorption and desorption rate constants and </w:t>
      </w:r>
      <m:oMath>
        <m:sSub>
          <m:e>
            <m:r>
              <m:t>k</m:t>
            </m:r>
          </m:e>
          <m:sub>
            <m:r>
              <m:rPr>
                <m:sty m:val="p"/>
              </m:rPr>
              <m:t>t</m:t>
            </m:r>
            <m:r>
              <m:rPr>
                <m:sty m:val="p"/>
              </m:rPr>
              <m:t>r</m:t>
            </m:r>
          </m:sub>
        </m:sSub>
      </m:oMath>
      <w:r>
        <w:rPr>
          <w:color w:val="3A4350"/>
          <w:sz w:val="19"/>
          <w:szCs w:val="19"/>
        </w:rPr>
        <w:t xml:space="preserve"> the rate of transformation at the surface.</w:t>
      </w:r>
    </w:p>
    <w:p>
      <w:pPr>
        <w:spacing w:after="100" w:before="80"/>
        <w:jc w:val="both"/>
      </w:pPr>
      <w:r>
        <w:rPr>
          <w:b/>
          <w:bCs/>
          <w:color w:val="C25E00"/>
        </w:rPr>
        <w:t xml:space="preserve">Link to the theoretical introduction. </w:t>
      </w:r>
      <w:r>
        <w:t xml:space="preserve">Belongs to sections 1.2 and 1.8: surfaces as reactors rather than equilibrium sorbents; in coastal aquifers the organic matter on sediments fuels the redox reactions of the mixing zone.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Reframes mineral–organic association from equilibrium protection to a reactive, redox-active interface.</w:t>
      </w:r>
    </w:p>
    <w:p>
      <w:pPr>
        <w:pStyle w:val="Heading1"/>
        <w:pageBreakBefore/>
      </w:pPr>
      <w:r>
        <w:rPr>
          <w:color w:val="1F3864"/>
        </w:rPr>
        <w:t xml:space="preserve">7. Synthesis: what the 20 articles show together</w:t>
      </w:r>
    </w:p>
    <w:p>
      <w:pPr>
        <w:spacing w:after="120"/>
        <w:jc w:val="both"/>
      </w:pPr>
      <w:r>
        <w:t xml:space="preserve">The 20 papers cover every section of Part I. Rate laws, reactive feedbacks and isotopes are strong; the kinetics of the coastal mixing zone itself, the subject of section 8, is reached only through neighboring systems. The table gives, for each paper, its role, the question it addresses and the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Reactive and shear channels</w:t>
            </w:r>
          </w:p>
        </w:tc>
        <w:tc>
          <w:tcPr>
            <w:tcW w:type="dxa" w:w="3100"/>
            <w:tcMar>
              <w:top w:type="dxa" w:w="60"/>
              <w:left w:type="dxa" w:w="100"/>
              <w:bottom w:type="dxa" w:w="60"/>
              <w:right w:type="dxa" w:w="100"/>
            </w:tcMar>
            <w:vAlign w:val="top"/>
          </w:tcPr>
          <w:p>
            <w:r>
              <w:rPr>
                <w:sz w:val="17"/>
                <w:szCs w:val="17"/>
              </w:rPr>
              <w:t xml:space="preserve">Do reactive and shear-driven instabilities interact?</w:t>
            </w:r>
          </w:p>
        </w:tc>
        <w:tc>
          <w:tcPr>
            <w:tcW w:type="dxa" w:w="3738"/>
            <w:tcMar>
              <w:top w:type="dxa" w:w="60"/>
              <w:left w:type="dxa" w:w="100"/>
              <w:bottom w:type="dxa" w:w="60"/>
              <w:right w:type="dxa" w:w="100"/>
            </w:tcMar>
            <w:vAlign w:val="top"/>
          </w:tcPr>
          <w:p>
            <w:r>
              <w:rPr>
                <w:sz w:val="17"/>
                <w:szCs w:val="17"/>
              </w:rPr>
              <w:t xml:space="preserve">Hardly: their growth rates add; orientation decides tubes or sheets.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Reactive porous flow review</w:t>
            </w:r>
          </w:p>
        </w:tc>
        <w:tc>
          <w:tcPr>
            <w:tcW w:type="dxa" w:w="3100"/>
            <w:shd w:fill="F7F9FC" w:color="auto" w:val="clear"/>
            <w:tcMar>
              <w:top w:type="dxa" w:w="60"/>
              <w:left w:type="dxa" w:w="100"/>
              <w:bottom w:type="dxa" w:w="60"/>
              <w:right w:type="dxa" w:w="100"/>
            </w:tcMar>
            <w:vAlign w:val="top"/>
          </w:tcPr>
          <w:p>
            <w:r>
              <w:rPr>
                <w:sz w:val="17"/>
                <w:szCs w:val="17"/>
              </w:rPr>
              <w:t xml:space="preserve">How fast and in what style does melt leave the mantle?</w:t>
            </w:r>
          </w:p>
        </w:tc>
        <w:tc>
          <w:tcPr>
            <w:tcW w:type="dxa" w:w="3738"/>
            <w:shd w:fill="F7F9FC" w:color="auto" w:val="clear"/>
            <w:tcMar>
              <w:top w:type="dxa" w:w="60"/>
              <w:left w:type="dxa" w:w="100"/>
              <w:bottom w:type="dxa" w:w="60"/>
              <w:right w:type="dxa" w:w="100"/>
            </w:tcMar>
            <w:vAlign w:val="top"/>
          </w:tcPr>
          <w:p>
            <w:r>
              <w:rPr>
                <w:sz w:val="17"/>
                <w:szCs w:val="17"/>
              </w:rPr>
              <w:t xml:space="preserve">Fast, through reactively channelized porous flow.</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Calcite dissolution control</w:t>
            </w:r>
          </w:p>
        </w:tc>
        <w:tc>
          <w:tcPr>
            <w:tcW w:type="dxa" w:w="3100"/>
            <w:tcMar>
              <w:top w:type="dxa" w:w="60"/>
              <w:left w:type="dxa" w:w="100"/>
              <w:bottom w:type="dxa" w:w="60"/>
              <w:right w:type="dxa" w:w="100"/>
            </w:tcMar>
            <w:vAlign w:val="top"/>
          </w:tcPr>
          <w:p>
            <w:r>
              <w:rPr>
                <w:sz w:val="17"/>
                <w:szCs w:val="17"/>
              </w:rPr>
              <w:t xml:space="preserve">Surface reaction or transport?</w:t>
            </w:r>
          </w:p>
        </w:tc>
        <w:tc>
          <w:tcPr>
            <w:tcW w:type="dxa" w:w="3738"/>
            <w:tcMar>
              <w:top w:type="dxa" w:w="60"/>
              <w:left w:type="dxa" w:w="100"/>
              <w:bottom w:type="dxa" w:w="60"/>
              <w:right w:type="dxa" w:w="100"/>
            </w:tcMar>
            <w:vAlign w:val="top"/>
          </w:tcPr>
          <w:p>
            <w:r>
              <w:rPr>
                <w:sz w:val="17"/>
                <w:szCs w:val="17"/>
              </w:rPr>
              <w:t xml:space="preserve">Transport from a surface at the solubility product.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Homogenised transport</w:t>
            </w:r>
          </w:p>
        </w:tc>
        <w:tc>
          <w:tcPr>
            <w:tcW w:type="dxa" w:w="3100"/>
            <w:shd w:fill="F7F9FC" w:color="auto" w:val="clear"/>
            <w:tcMar>
              <w:top w:type="dxa" w:w="60"/>
              <w:left w:type="dxa" w:w="100"/>
              <w:bottom w:type="dxa" w:w="60"/>
              <w:right w:type="dxa" w:w="100"/>
            </w:tcMar>
            <w:vAlign w:val="top"/>
          </w:tcPr>
          <w:p>
            <w:r>
              <w:rPr>
                <w:sz w:val="17"/>
                <w:szCs w:val="17"/>
              </w:rPr>
              <w:t xml:space="preserve">How do pore-scale coefficients upscale in a varying medium?</w:t>
            </w:r>
          </w:p>
        </w:tc>
        <w:tc>
          <w:tcPr>
            <w:tcW w:type="dxa" w:w="3738"/>
            <w:shd w:fill="F7F9FC" w:color="auto" w:val="clear"/>
            <w:tcMar>
              <w:top w:type="dxa" w:w="60"/>
              <w:left w:type="dxa" w:w="100"/>
              <w:bottom w:type="dxa" w:w="60"/>
              <w:right w:type="dxa" w:w="100"/>
            </w:tcMar>
            <w:vAlign w:val="top"/>
          </w:tcPr>
          <w:p>
            <w:r>
              <w:rPr>
                <w:sz w:val="17"/>
                <w:szCs w:val="17"/>
              </w:rPr>
              <w:t xml:space="preserve">Through cell problems along a slowly varying microstructure.</w:t>
            </w:r>
          </w:p>
        </w:tc>
      </w:tr>
      <w:tr>
        <w:trPr>
          <w:cantSplit/>
        </w:trPr>
        <w:tc>
          <w:tcPr>
            <w:tcW w:type="dxa" w:w="700"/>
            <w:tcMar>
              <w:top w:type="dxa" w:w="60"/>
              <w:left w:type="dxa" w:w="100"/>
              <w:bottom w:type="dxa" w:w="60"/>
              <w:right w:type="dxa" w:w="100"/>
            </w:tcMar>
            <w:vAlign w:val="top"/>
          </w:tcPr>
          <w:p>
            <w:r>
              <w:rPr>
                <w:sz w:val="17"/>
                <w:szCs w:val="17"/>
              </w:rPr>
              <w:t xml:space="preserve">O5</w:t>
            </w:r>
          </w:p>
        </w:tc>
        <w:tc>
          <w:tcPr>
            <w:tcW w:type="dxa" w:w="2100"/>
            <w:tcMar>
              <w:top w:type="dxa" w:w="60"/>
              <w:left w:type="dxa" w:w="100"/>
              <w:bottom w:type="dxa" w:w="60"/>
              <w:right w:type="dxa" w:w="100"/>
            </w:tcMar>
            <w:vAlign w:val="top"/>
          </w:tcPr>
          <w:p>
            <w:r>
              <w:rPr>
                <w:sz w:val="17"/>
                <w:szCs w:val="17"/>
              </w:rPr>
              <w:t xml:space="preserve">Deposition and clogging</w:t>
            </w:r>
          </w:p>
        </w:tc>
        <w:tc>
          <w:tcPr>
            <w:tcW w:type="dxa" w:w="3100"/>
            <w:tcMar>
              <w:top w:type="dxa" w:w="60"/>
              <w:left w:type="dxa" w:w="100"/>
              <w:bottom w:type="dxa" w:w="60"/>
              <w:right w:type="dxa" w:w="100"/>
            </w:tcMar>
            <w:vAlign w:val="top"/>
          </w:tcPr>
          <w:p>
            <w:r>
              <w:rPr>
                <w:sz w:val="17"/>
                <w:szCs w:val="17"/>
              </w:rPr>
              <w:t xml:space="preserve">When does evaporation clog a porous medium?</w:t>
            </w:r>
          </w:p>
        </w:tc>
        <w:tc>
          <w:tcPr>
            <w:tcW w:type="dxa" w:w="3738"/>
            <w:tcMar>
              <w:top w:type="dxa" w:w="60"/>
              <w:left w:type="dxa" w:w="100"/>
              <w:bottom w:type="dxa" w:w="60"/>
              <w:right w:type="dxa" w:w="100"/>
            </w:tcMar>
            <w:vAlign w:val="top"/>
          </w:tcPr>
          <w:p>
            <w:r>
              <w:rPr>
                <w:sz w:val="17"/>
                <w:szCs w:val="17"/>
              </w:rPr>
              <w:t xml:space="preserve">In two scenarios, mapped by regime.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O6</w:t>
            </w:r>
          </w:p>
        </w:tc>
        <w:tc>
          <w:tcPr>
            <w:tcW w:type="dxa" w:w="2100"/>
            <w:shd w:fill="F7F9FC" w:color="auto" w:val="clear"/>
            <w:tcMar>
              <w:top w:type="dxa" w:w="60"/>
              <w:left w:type="dxa" w:w="100"/>
              <w:bottom w:type="dxa" w:w="60"/>
              <w:right w:type="dxa" w:w="100"/>
            </w:tcMar>
            <w:vAlign w:val="top"/>
          </w:tcPr>
          <w:p>
            <w:r>
              <w:rPr>
                <w:sz w:val="17"/>
                <w:szCs w:val="17"/>
              </w:rPr>
              <w:t xml:space="preserve">Kinetic versus thermodynamic limit</w:t>
            </w:r>
          </w:p>
        </w:tc>
        <w:tc>
          <w:tcPr>
            <w:tcW w:type="dxa" w:w="3100"/>
            <w:shd w:fill="F7F9FC" w:color="auto" w:val="clear"/>
            <w:tcMar>
              <w:top w:type="dxa" w:w="60"/>
              <w:left w:type="dxa" w:w="100"/>
              <w:bottom w:type="dxa" w:w="60"/>
              <w:right w:type="dxa" w:w="100"/>
            </w:tcMar>
            <w:vAlign w:val="top"/>
          </w:tcPr>
          <w:p>
            <w:r>
              <w:rPr>
                <w:sz w:val="17"/>
                <w:szCs w:val="17"/>
              </w:rPr>
              <w:t xml:space="preserve">Do weathering kinetics control climate?</w:t>
            </w:r>
          </w:p>
        </w:tc>
        <w:tc>
          <w:tcPr>
            <w:tcW w:type="dxa" w:w="3738"/>
            <w:shd w:fill="F7F9FC" w:color="auto" w:val="clear"/>
            <w:tcMar>
              <w:top w:type="dxa" w:w="60"/>
              <w:left w:type="dxa" w:w="100"/>
              <w:bottom w:type="dxa" w:w="60"/>
              <w:right w:type="dxa" w:w="100"/>
            </w:tcMar>
            <w:vAlign w:val="top"/>
          </w:tcPr>
          <w:p>
            <w:r>
              <w:rPr>
                <w:sz w:val="17"/>
                <w:szCs w:val="17"/>
              </w:rPr>
              <w:t xml:space="preserve">Not when solute concentration is thermodynamically limited.</w:t>
            </w:r>
          </w:p>
        </w:tc>
      </w:tr>
      <w:tr>
        <w:trPr>
          <w:cantSplit/>
        </w:trPr>
        <w:tc>
          <w:tcPr>
            <w:tcW w:type="dxa" w:w="700"/>
            <w:tcMar>
              <w:top w:type="dxa" w:w="60"/>
              <w:left w:type="dxa" w:w="100"/>
              <w:bottom w:type="dxa" w:w="60"/>
              <w:right w:type="dxa" w:w="100"/>
            </w:tcMar>
            <w:vAlign w:val="top"/>
          </w:tcPr>
          <w:p>
            <w:r>
              <w:rPr>
                <w:sz w:val="17"/>
                <w:szCs w:val="17"/>
              </w:rPr>
              <w:t xml:space="preserve">O7</w:t>
            </w:r>
          </w:p>
        </w:tc>
        <w:tc>
          <w:tcPr>
            <w:tcW w:type="dxa" w:w="2100"/>
            <w:tcMar>
              <w:top w:type="dxa" w:w="60"/>
              <w:left w:type="dxa" w:w="100"/>
              <w:bottom w:type="dxa" w:w="60"/>
              <w:right w:type="dxa" w:w="100"/>
            </w:tcMar>
            <w:vAlign w:val="top"/>
          </w:tcPr>
          <w:p>
            <w:r>
              <w:rPr>
                <w:sz w:val="17"/>
                <w:szCs w:val="17"/>
              </w:rPr>
              <w:t xml:space="preserve">Microbes and stored CO₂</w:t>
            </w:r>
          </w:p>
        </w:tc>
        <w:tc>
          <w:tcPr>
            <w:tcW w:type="dxa" w:w="3100"/>
            <w:tcMar>
              <w:top w:type="dxa" w:w="60"/>
              <w:left w:type="dxa" w:w="100"/>
              <w:bottom w:type="dxa" w:w="60"/>
              <w:right w:type="dxa" w:w="100"/>
            </w:tcMar>
            <w:vAlign w:val="top"/>
          </w:tcPr>
          <w:p>
            <w:r>
              <w:rPr>
                <w:sz w:val="17"/>
                <w:szCs w:val="17"/>
              </w:rPr>
              <w:t xml:space="preserve">How fast do microbes turn stored CO₂ into methane?</w:t>
            </w:r>
          </w:p>
        </w:tc>
        <w:tc>
          <w:tcPr>
            <w:tcW w:type="dxa" w:w="3738"/>
            <w:tcMar>
              <w:top w:type="dxa" w:w="60"/>
              <w:left w:type="dxa" w:w="100"/>
              <w:bottom w:type="dxa" w:w="60"/>
              <w:right w:type="dxa" w:w="100"/>
            </w:tcMar>
            <w:vAlign w:val="top"/>
          </w:tcPr>
          <w:p>
            <w:r>
              <w:rPr>
                <w:sz w:val="17"/>
                <w:szCs w:val="17"/>
              </w:rPr>
              <w:t xml:space="preserve">Up to 13–19% within years, by multiple tracers.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C1</w:t>
            </w:r>
          </w:p>
        </w:tc>
        <w:tc>
          <w:tcPr>
            <w:tcW w:type="dxa" w:w="2100"/>
            <w:shd w:fill="F7F9FC" w:color="auto" w:val="clear"/>
            <w:tcMar>
              <w:top w:type="dxa" w:w="60"/>
              <w:left w:type="dxa" w:w="100"/>
              <w:bottom w:type="dxa" w:w="60"/>
              <w:right w:type="dxa" w:w="100"/>
            </w:tcMar>
            <w:vAlign w:val="top"/>
          </w:tcPr>
          <w:p>
            <w:r>
              <w:rPr>
                <w:sz w:val="17"/>
                <w:szCs w:val="17"/>
              </w:rPr>
              <w:t xml:space="preserve">Crustal fingering</w:t>
            </w:r>
          </w:p>
        </w:tc>
        <w:tc>
          <w:tcPr>
            <w:tcW w:type="dxa" w:w="3100"/>
            <w:shd w:fill="F7F9FC" w:color="auto" w:val="clear"/>
            <w:tcMar>
              <w:top w:type="dxa" w:w="60"/>
              <w:left w:type="dxa" w:w="100"/>
              <w:bottom w:type="dxa" w:w="60"/>
              <w:right w:type="dxa" w:w="100"/>
            </w:tcMar>
            <w:vAlign w:val="top"/>
          </w:tcPr>
          <w:p>
            <w:r>
              <w:rPr>
                <w:sz w:val="17"/>
                <w:szCs w:val="17"/>
              </w:rPr>
              <w:t xml:space="preserve">Does hydrate growth seal methane in?</w:t>
            </w:r>
          </w:p>
        </w:tc>
        <w:tc>
          <w:tcPr>
            <w:tcW w:type="dxa" w:w="3738"/>
            <w:shd w:fill="F7F9FC" w:color="auto" w:val="clear"/>
            <w:tcMar>
              <w:top w:type="dxa" w:w="60"/>
              <w:left w:type="dxa" w:w="100"/>
              <w:bottom w:type="dxa" w:w="60"/>
              <w:right w:type="dxa" w:w="100"/>
            </w:tcMar>
            <w:vAlign w:val="top"/>
          </w:tcPr>
          <w:p>
            <w:r>
              <w:rPr>
                <w:sz w:val="17"/>
                <w:szCs w:val="17"/>
              </w:rPr>
              <w:t xml:space="preserve">No: a growing crust fingers and lets gas through.</w:t>
            </w:r>
          </w:p>
        </w:tc>
      </w:tr>
      <w:tr>
        <w:trPr>
          <w:cantSplit/>
        </w:trPr>
        <w:tc>
          <w:tcPr>
            <w:tcW w:type="dxa" w:w="700"/>
            <w:tcMar>
              <w:top w:type="dxa" w:w="60"/>
              <w:left w:type="dxa" w:w="100"/>
              <w:bottom w:type="dxa" w:w="60"/>
              <w:right w:type="dxa" w:w="100"/>
            </w:tcMar>
            <w:vAlign w:val="top"/>
          </w:tcPr>
          <w:p>
            <w:r>
              <w:rPr>
                <w:sz w:val="17"/>
                <w:szCs w:val="17"/>
              </w:rPr>
              <w:t xml:space="preserve">C2</w:t>
            </w:r>
          </w:p>
        </w:tc>
        <w:tc>
          <w:tcPr>
            <w:tcW w:type="dxa" w:w="2100"/>
            <w:tcMar>
              <w:top w:type="dxa" w:w="60"/>
              <w:left w:type="dxa" w:w="100"/>
              <w:bottom w:type="dxa" w:w="60"/>
              <w:right w:type="dxa" w:w="100"/>
            </w:tcMar>
            <w:vAlign w:val="top"/>
          </w:tcPr>
          <w:p>
            <w:r>
              <w:rPr>
                <w:sz w:val="17"/>
                <w:szCs w:val="17"/>
              </w:rPr>
              <w:t xml:space="preserve">Learned multiscale closures</w:t>
            </w:r>
          </w:p>
        </w:tc>
        <w:tc>
          <w:tcPr>
            <w:tcW w:type="dxa" w:w="3100"/>
            <w:tcMar>
              <w:top w:type="dxa" w:w="60"/>
              <w:left w:type="dxa" w:w="100"/>
              <w:bottom w:type="dxa" w:w="60"/>
              <w:right w:type="dxa" w:w="100"/>
            </w:tcMar>
            <w:vAlign w:val="top"/>
          </w:tcPr>
          <w:p>
            <w:r>
              <w:rPr>
                <w:sz w:val="17"/>
                <w:szCs w:val="17"/>
              </w:rPr>
              <w:t xml:space="preserve">How is path dependence of reactive flow upscaled?</w:t>
            </w:r>
          </w:p>
        </w:tc>
        <w:tc>
          <w:tcPr>
            <w:tcW w:type="dxa" w:w="3738"/>
            <w:tcMar>
              <w:top w:type="dxa" w:w="60"/>
              <w:left w:type="dxa" w:w="100"/>
              <w:bottom w:type="dxa" w:w="60"/>
              <w:right w:type="dxa" w:w="100"/>
            </w:tcMar>
            <w:vAlign w:val="top"/>
          </w:tcPr>
          <w:p>
            <w:r>
              <w:rPr>
                <w:sz w:val="17"/>
                <w:szCs w:val="17"/>
              </w:rPr>
              <w:t xml:space="preserve">With a recurrent neural operator inside FE².</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C3</w:t>
            </w:r>
          </w:p>
        </w:tc>
        <w:tc>
          <w:tcPr>
            <w:tcW w:type="dxa" w:w="2100"/>
            <w:shd w:fill="F7F9FC" w:color="auto" w:val="clear"/>
            <w:tcMar>
              <w:top w:type="dxa" w:w="60"/>
              <w:left w:type="dxa" w:w="100"/>
              <w:bottom w:type="dxa" w:w="60"/>
              <w:right w:type="dxa" w:w="100"/>
            </w:tcMar>
            <w:vAlign w:val="top"/>
          </w:tcPr>
          <w:p>
            <w:r>
              <w:rPr>
                <w:sz w:val="17"/>
                <w:szCs w:val="17"/>
              </w:rPr>
              <w:t xml:space="preserve">Convective mixing in 3D</w:t>
            </w:r>
          </w:p>
        </w:tc>
        <w:tc>
          <w:tcPr>
            <w:tcW w:type="dxa" w:w="3100"/>
            <w:shd w:fill="F7F9FC" w:color="auto" w:val="clear"/>
            <w:tcMar>
              <w:top w:type="dxa" w:w="60"/>
              <w:left w:type="dxa" w:w="100"/>
              <w:bottom w:type="dxa" w:w="60"/>
              <w:right w:type="dxa" w:w="100"/>
            </w:tcMar>
            <w:vAlign w:val="top"/>
          </w:tcPr>
          <w:p>
            <w:r>
              <w:rPr>
                <w:sz w:val="17"/>
                <w:szCs w:val="17"/>
              </w:rPr>
              <w:t xml:space="preserve">Do simulations match 3D convective mixing?</w:t>
            </w:r>
          </w:p>
        </w:tc>
        <w:tc>
          <w:tcPr>
            <w:tcW w:type="dxa" w:w="3738"/>
            <w:shd w:fill="F7F9FC" w:color="auto" w:val="clear"/>
            <w:tcMar>
              <w:top w:type="dxa" w:w="60"/>
              <w:left w:type="dxa" w:w="100"/>
              <w:bottom w:type="dxa" w:w="60"/>
              <w:right w:type="dxa" w:w="100"/>
            </w:tcMar>
            <w:vAlign w:val="top"/>
          </w:tcPr>
          <w:p>
            <w:r>
              <w:rPr>
                <w:sz w:val="17"/>
                <w:szCs w:val="17"/>
              </w:rPr>
              <w:t xml:space="preserve">Yes, quantitatively; a reticular plume pattern appears.</w:t>
            </w:r>
          </w:p>
        </w:tc>
      </w:tr>
      <w:tr>
        <w:trPr>
          <w:cantSplit/>
        </w:trPr>
        <w:tc>
          <w:tcPr>
            <w:tcW w:type="dxa" w:w="700"/>
            <w:tcMar>
              <w:top w:type="dxa" w:w="60"/>
              <w:left w:type="dxa" w:w="100"/>
              <w:bottom w:type="dxa" w:w="60"/>
              <w:right w:type="dxa" w:w="100"/>
            </w:tcMar>
            <w:vAlign w:val="top"/>
          </w:tcPr>
          <w:p>
            <w:r>
              <w:rPr>
                <w:sz w:val="17"/>
                <w:szCs w:val="17"/>
              </w:rPr>
              <w:t xml:space="preserve">C4</w:t>
            </w:r>
          </w:p>
        </w:tc>
        <w:tc>
          <w:tcPr>
            <w:tcW w:type="dxa" w:w="2100"/>
            <w:tcMar>
              <w:top w:type="dxa" w:w="60"/>
              <w:left w:type="dxa" w:w="100"/>
              <w:bottom w:type="dxa" w:w="60"/>
              <w:right w:type="dxa" w:w="100"/>
            </w:tcMar>
            <w:vAlign w:val="top"/>
          </w:tcPr>
          <w:p>
            <w:r>
              <w:rPr>
                <w:sz w:val="17"/>
                <w:szCs w:val="17"/>
              </w:rPr>
              <w:t xml:space="preserve">Calcite in seawater by AFM</w:t>
            </w:r>
          </w:p>
        </w:tc>
        <w:tc>
          <w:tcPr>
            <w:tcW w:type="dxa" w:w="3100"/>
            <w:tcMar>
              <w:top w:type="dxa" w:w="60"/>
              <w:left w:type="dxa" w:w="100"/>
              <w:bottom w:type="dxa" w:w="60"/>
              <w:right w:type="dxa" w:w="100"/>
            </w:tcMar>
            <w:vAlign w:val="top"/>
          </w:tcPr>
          <w:p>
            <w:r>
              <w:rPr>
                <w:sz w:val="17"/>
                <w:szCs w:val="17"/>
              </w:rPr>
              <w:t xml:space="preserve">Why is the seawater rate law of calcite nonlinear?</w:t>
            </w:r>
          </w:p>
        </w:tc>
        <w:tc>
          <w:tcPr>
            <w:tcW w:type="dxa" w:w="3738"/>
            <w:tcMar>
              <w:top w:type="dxa" w:w="60"/>
              <w:left w:type="dxa" w:w="100"/>
              <w:bottom w:type="dxa" w:w="60"/>
              <w:right w:type="dxa" w:w="100"/>
            </w:tcMar>
            <w:vAlign w:val="top"/>
          </w:tcPr>
          <w:p>
            <w:r>
              <w:rPr>
                <w:sz w:val="17"/>
                <w:szCs w:val="17"/>
              </w:rPr>
              <w:t xml:space="preserve">Etch pits open near Ω ≈ 0.85; regimes switch.</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C5</w:t>
            </w:r>
          </w:p>
        </w:tc>
        <w:tc>
          <w:tcPr>
            <w:tcW w:type="dxa" w:w="2100"/>
            <w:shd w:fill="F7F9FC" w:color="auto" w:val="clear"/>
            <w:tcMar>
              <w:top w:type="dxa" w:w="60"/>
              <w:left w:type="dxa" w:w="100"/>
              <w:bottom w:type="dxa" w:w="60"/>
              <w:right w:type="dxa" w:w="100"/>
            </w:tcMar>
            <w:vAlign w:val="top"/>
          </w:tcPr>
          <w:p>
            <w:r>
              <w:rPr>
                <w:sz w:val="17"/>
                <w:szCs w:val="17"/>
              </w:rPr>
              <w:t xml:space="preserve">Shallow carbonate cycling</w:t>
            </w:r>
          </w:p>
        </w:tc>
        <w:tc>
          <w:tcPr>
            <w:tcW w:type="dxa" w:w="3100"/>
            <w:shd w:fill="F7F9FC" w:color="auto" w:val="clear"/>
            <w:tcMar>
              <w:top w:type="dxa" w:w="60"/>
              <w:left w:type="dxa" w:w="100"/>
              <w:bottom w:type="dxa" w:w="60"/>
              <w:right w:type="dxa" w:w="100"/>
            </w:tcMar>
            <w:vAlign w:val="top"/>
          </w:tcPr>
          <w:p>
            <w:r>
              <w:rPr>
                <w:sz w:val="17"/>
                <w:szCs w:val="17"/>
              </w:rPr>
              <w:t xml:space="preserve">Can bulk-water kinetics close the shallow CaCO₃ budget?</w:t>
            </w:r>
          </w:p>
        </w:tc>
        <w:tc>
          <w:tcPr>
            <w:tcW w:type="dxa" w:w="3738"/>
            <w:shd w:fill="F7F9FC" w:color="auto" w:val="clear"/>
            <w:tcMar>
              <w:top w:type="dxa" w:w="60"/>
              <w:left w:type="dxa" w:w="100"/>
              <w:bottom w:type="dxa" w:w="60"/>
              <w:right w:type="dxa" w:w="100"/>
            </w:tcMar>
            <w:vAlign w:val="top"/>
          </w:tcPr>
          <w:p>
            <w:r>
              <w:rPr>
                <w:sz w:val="17"/>
                <w:szCs w:val="17"/>
              </w:rPr>
              <w:t xml:space="preserve">No: microenvironments out of equilibrium are needed.</w:t>
            </w:r>
          </w:p>
        </w:tc>
      </w:tr>
      <w:tr>
        <w:trPr>
          <w:cantSplit/>
        </w:trPr>
        <w:tc>
          <w:tcPr>
            <w:tcW w:type="dxa" w:w="700"/>
            <w:tcMar>
              <w:top w:type="dxa" w:w="60"/>
              <w:left w:type="dxa" w:w="100"/>
              <w:bottom w:type="dxa" w:w="60"/>
              <w:right w:type="dxa" w:w="100"/>
            </w:tcMar>
            <w:vAlign w:val="top"/>
          </w:tcPr>
          <w:p>
            <w:r>
              <w:rPr>
                <w:sz w:val="17"/>
                <w:szCs w:val="17"/>
              </w:rPr>
              <w:t xml:space="preserve">C6</w:t>
            </w:r>
          </w:p>
        </w:tc>
        <w:tc>
          <w:tcPr>
            <w:tcW w:type="dxa" w:w="2100"/>
            <w:tcMar>
              <w:top w:type="dxa" w:w="60"/>
              <w:left w:type="dxa" w:w="100"/>
              <w:bottom w:type="dxa" w:w="60"/>
              <w:right w:type="dxa" w:w="100"/>
            </w:tcMar>
            <w:vAlign w:val="top"/>
          </w:tcPr>
          <w:p>
            <w:r>
              <w:rPr>
                <w:sz w:val="17"/>
                <w:szCs w:val="17"/>
              </w:rPr>
              <w:t xml:space="preserve">Clumped and Ca isotopes</w:t>
            </w:r>
          </w:p>
        </w:tc>
        <w:tc>
          <w:tcPr>
            <w:tcW w:type="dxa" w:w="3100"/>
            <w:tcMar>
              <w:top w:type="dxa" w:w="60"/>
              <w:left w:type="dxa" w:w="100"/>
              <w:bottom w:type="dxa" w:w="60"/>
              <w:right w:type="dxa" w:w="100"/>
            </w:tcMar>
            <w:vAlign w:val="top"/>
          </w:tcPr>
          <w:p>
            <w:r>
              <w:rPr>
                <w:sz w:val="17"/>
                <w:szCs w:val="17"/>
              </w:rPr>
              <w:t xml:space="preserve">Which disequilibrium do seep carbonates record?</w:t>
            </w:r>
          </w:p>
        </w:tc>
        <w:tc>
          <w:tcPr>
            <w:tcW w:type="dxa" w:w="3738"/>
            <w:tcMar>
              <w:top w:type="dxa" w:w="60"/>
              <w:left w:type="dxa" w:w="100"/>
              <w:bottom w:type="dxa" w:w="60"/>
              <w:right w:type="dxa" w:w="100"/>
            </w:tcMar>
            <w:vAlign w:val="top"/>
          </w:tcPr>
          <w:p>
            <w:r>
              <w:rPr>
                <w:sz w:val="17"/>
                <w:szCs w:val="17"/>
              </w:rPr>
              <w:t xml:space="preserve">Source mixing and fast growth are separable.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C7</w:t>
            </w:r>
          </w:p>
        </w:tc>
        <w:tc>
          <w:tcPr>
            <w:tcW w:type="dxa" w:w="2100"/>
            <w:shd w:fill="F7F9FC" w:color="auto" w:val="clear"/>
            <w:tcMar>
              <w:top w:type="dxa" w:w="60"/>
              <w:left w:type="dxa" w:w="100"/>
              <w:bottom w:type="dxa" w:w="60"/>
              <w:right w:type="dxa" w:w="100"/>
            </w:tcMar>
            <w:vAlign w:val="top"/>
          </w:tcPr>
          <w:p>
            <w:r>
              <w:rPr>
                <w:sz w:val="17"/>
                <w:szCs w:val="17"/>
              </w:rPr>
              <w:t xml:space="preserve">Electron transfer in AOM</w:t>
            </w:r>
          </w:p>
        </w:tc>
        <w:tc>
          <w:tcPr>
            <w:tcW w:type="dxa" w:w="3100"/>
            <w:shd w:fill="F7F9FC" w:color="auto" w:val="clear"/>
            <w:tcMar>
              <w:top w:type="dxa" w:w="60"/>
              <w:left w:type="dxa" w:w="100"/>
              <w:bottom w:type="dxa" w:w="60"/>
              <w:right w:type="dxa" w:w="100"/>
            </w:tcMar>
            <w:vAlign w:val="top"/>
          </w:tcPr>
          <w:p>
            <w:r>
              <w:rPr>
                <w:sz w:val="17"/>
                <w:szCs w:val="17"/>
              </w:rPr>
              <w:t xml:space="preserve">What limits methane-oxidizing consortia?</w:t>
            </w:r>
          </w:p>
        </w:tc>
        <w:tc>
          <w:tcPr>
            <w:tcW w:type="dxa" w:w="3738"/>
            <w:shd w:fill="F7F9FC" w:color="auto" w:val="clear"/>
            <w:tcMar>
              <w:top w:type="dxa" w:w="60"/>
              <w:left w:type="dxa" w:w="100"/>
              <w:bottom w:type="dxa" w:w="60"/>
              <w:right w:type="dxa" w:w="100"/>
            </w:tcMar>
            <w:vAlign w:val="top"/>
          </w:tcPr>
          <w:p>
            <w:r>
              <w:rPr>
                <w:sz w:val="17"/>
                <w:szCs w:val="17"/>
              </w:rPr>
              <w:t xml:space="preserve">Ohmic and activation losses of electron transfer.</w:t>
            </w:r>
          </w:p>
        </w:tc>
      </w:tr>
      <w:tr>
        <w:trPr>
          <w:cantSplit/>
        </w:trPr>
        <w:tc>
          <w:tcPr>
            <w:tcW w:type="dxa" w:w="700"/>
            <w:tcMar>
              <w:top w:type="dxa" w:w="60"/>
              <w:left w:type="dxa" w:w="100"/>
              <w:bottom w:type="dxa" w:w="60"/>
              <w:right w:type="dxa" w:w="100"/>
            </w:tcMar>
            <w:vAlign w:val="top"/>
          </w:tcPr>
          <w:p>
            <w:r>
              <w:rPr>
                <w:sz w:val="17"/>
                <w:szCs w:val="17"/>
              </w:rPr>
              <w:t xml:space="preserve">P1</w:t>
            </w:r>
          </w:p>
        </w:tc>
        <w:tc>
          <w:tcPr>
            <w:tcW w:type="dxa" w:w="2100"/>
            <w:tcMar>
              <w:top w:type="dxa" w:w="60"/>
              <w:left w:type="dxa" w:w="100"/>
              <w:bottom w:type="dxa" w:w="60"/>
              <w:right w:type="dxa" w:w="100"/>
            </w:tcMar>
            <w:vAlign w:val="top"/>
          </w:tcPr>
          <w:p>
            <w:r>
              <w:rPr>
                <w:sz w:val="17"/>
                <w:szCs w:val="17"/>
              </w:rPr>
              <w:t xml:space="preserve">Interfacial nucleation</w:t>
            </w:r>
          </w:p>
        </w:tc>
        <w:tc>
          <w:tcPr>
            <w:tcW w:type="dxa" w:w="3100"/>
            <w:tcMar>
              <w:top w:type="dxa" w:w="60"/>
              <w:left w:type="dxa" w:w="100"/>
              <w:bottom w:type="dxa" w:w="60"/>
              <w:right w:type="dxa" w:w="100"/>
            </w:tcMar>
            <w:vAlign w:val="top"/>
          </w:tcPr>
          <w:p>
            <w:r>
              <w:rPr>
                <w:sz w:val="17"/>
                <w:szCs w:val="17"/>
              </w:rPr>
              <w:t xml:space="preserve">Can nucleation start below bulk saturation?</w:t>
            </w:r>
          </w:p>
        </w:tc>
        <w:tc>
          <w:tcPr>
            <w:tcW w:type="dxa" w:w="3738"/>
            <w:tcMar>
              <w:top w:type="dxa" w:w="60"/>
              <w:left w:type="dxa" w:w="100"/>
              <w:bottom w:type="dxa" w:w="60"/>
              <w:right w:type="dxa" w:w="100"/>
            </w:tcMar>
            <w:vAlign w:val="top"/>
          </w:tcPr>
          <w:p>
            <w:r>
              <w:rPr>
                <w:sz w:val="17"/>
                <w:szCs w:val="17"/>
              </w:rPr>
              <w:t xml:space="preserve">Yes, through ion correlations in the double layer.</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P2</w:t>
            </w:r>
          </w:p>
        </w:tc>
        <w:tc>
          <w:tcPr>
            <w:tcW w:type="dxa" w:w="2100"/>
            <w:shd w:fill="F7F9FC" w:color="auto" w:val="clear"/>
            <w:tcMar>
              <w:top w:type="dxa" w:w="60"/>
              <w:left w:type="dxa" w:w="100"/>
              <w:bottom w:type="dxa" w:w="60"/>
              <w:right w:type="dxa" w:w="100"/>
            </w:tcMar>
            <w:vAlign w:val="top"/>
          </w:tcPr>
          <w:p>
            <w:r>
              <w:rPr>
                <w:sz w:val="17"/>
                <w:szCs w:val="17"/>
              </w:rPr>
              <w:t xml:space="preserve">Ca isotopes and rate</w:t>
            </w:r>
          </w:p>
        </w:tc>
        <w:tc>
          <w:tcPr>
            <w:tcW w:type="dxa" w:w="3100"/>
            <w:shd w:fill="F7F9FC" w:color="auto" w:val="clear"/>
            <w:tcMar>
              <w:top w:type="dxa" w:w="60"/>
              <w:left w:type="dxa" w:w="100"/>
              <w:bottom w:type="dxa" w:w="60"/>
              <w:right w:type="dxa" w:w="100"/>
            </w:tcMar>
            <w:vAlign w:val="top"/>
          </w:tcPr>
          <w:p>
            <w:r>
              <w:rPr>
                <w:sz w:val="17"/>
                <w:szCs w:val="17"/>
              </w:rPr>
              <w:t xml:space="preserve">Is calcium-isotope fractionation small at slow growth?</w:t>
            </w:r>
          </w:p>
        </w:tc>
        <w:tc>
          <w:tcPr>
            <w:tcW w:type="dxa" w:w="3738"/>
            <w:shd w:fill="F7F9FC" w:color="auto" w:val="clear"/>
            <w:tcMar>
              <w:top w:type="dxa" w:w="60"/>
              <w:left w:type="dxa" w:w="100"/>
              <w:bottom w:type="dxa" w:w="60"/>
              <w:right w:type="dxa" w:w="100"/>
            </w:tcMar>
            <w:vAlign w:val="top"/>
          </w:tcPr>
          <w:p>
            <w:r>
              <w:rPr>
                <w:sz w:val="17"/>
                <w:szCs w:val="17"/>
              </w:rPr>
              <w:t xml:space="preserve">Yes, as surface kinetic models predict.</w:t>
            </w:r>
          </w:p>
        </w:tc>
      </w:tr>
      <w:tr>
        <w:trPr>
          <w:cantSplit/>
        </w:trPr>
        <w:tc>
          <w:tcPr>
            <w:tcW w:type="dxa" w:w="700"/>
            <w:tcMar>
              <w:top w:type="dxa" w:w="60"/>
              <w:left w:type="dxa" w:w="100"/>
              <w:bottom w:type="dxa" w:w="60"/>
              <w:right w:type="dxa" w:w="100"/>
            </w:tcMar>
            <w:vAlign w:val="top"/>
          </w:tcPr>
          <w:p>
            <w:r>
              <w:rPr>
                <w:sz w:val="17"/>
                <w:szCs w:val="17"/>
              </w:rPr>
              <w:t xml:space="preserve">P3</w:t>
            </w:r>
          </w:p>
        </w:tc>
        <w:tc>
          <w:tcPr>
            <w:tcW w:type="dxa" w:w="2100"/>
            <w:tcMar>
              <w:top w:type="dxa" w:w="60"/>
              <w:left w:type="dxa" w:w="100"/>
              <w:bottom w:type="dxa" w:w="60"/>
              <w:right w:type="dxa" w:w="100"/>
            </w:tcMar>
            <w:vAlign w:val="top"/>
          </w:tcPr>
          <w:p>
            <w:r>
              <w:rPr>
                <w:sz w:val="17"/>
                <w:szCs w:val="17"/>
              </w:rPr>
              <w:t xml:space="preserve">Redox resonance</w:t>
            </w:r>
          </w:p>
        </w:tc>
        <w:tc>
          <w:tcPr>
            <w:tcW w:type="dxa" w:w="3100"/>
            <w:tcMar>
              <w:top w:type="dxa" w:w="60"/>
              <w:left w:type="dxa" w:w="100"/>
              <w:bottom w:type="dxa" w:w="60"/>
              <w:right w:type="dxa" w:w="100"/>
            </w:tcMar>
            <w:vAlign w:val="top"/>
          </w:tcPr>
          <w:p>
            <w:r>
              <w:rPr>
                <w:sz w:val="17"/>
                <w:szCs w:val="17"/>
              </w:rPr>
              <w:t xml:space="preserve">How fast can iron be reduced in upland soils?</w:t>
            </w:r>
          </w:p>
        </w:tc>
        <w:tc>
          <w:tcPr>
            <w:tcW w:type="dxa" w:w="3738"/>
            <w:tcMar>
              <w:top w:type="dxa" w:w="60"/>
              <w:left w:type="dxa" w:w="100"/>
              <w:bottom w:type="dxa" w:w="60"/>
              <w:right w:type="dxa" w:w="100"/>
            </w:tcMar>
            <w:vAlign w:val="top"/>
          </w:tcPr>
          <w:p>
            <w:r>
              <w:rPr>
                <w:sz w:val="17"/>
                <w:szCs w:val="17"/>
              </w:rPr>
              <w:t xml:space="preserve">Bounded by a resonance of forcing and kinetics.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P4</w:t>
            </w:r>
          </w:p>
        </w:tc>
        <w:tc>
          <w:tcPr>
            <w:tcW w:type="dxa" w:w="2100"/>
            <w:shd w:fill="F7F9FC" w:color="auto" w:val="clear"/>
            <w:tcMar>
              <w:top w:type="dxa" w:w="60"/>
              <w:left w:type="dxa" w:w="100"/>
              <w:bottom w:type="dxa" w:w="60"/>
              <w:right w:type="dxa" w:w="100"/>
            </w:tcMar>
            <w:vAlign w:val="top"/>
          </w:tcPr>
          <w:p>
            <w:r>
              <w:rPr>
                <w:sz w:val="17"/>
                <w:szCs w:val="17"/>
              </w:rPr>
              <w:t xml:space="preserve">Weathering model and data</w:t>
            </w:r>
          </w:p>
        </w:tc>
        <w:tc>
          <w:tcPr>
            <w:tcW w:type="dxa" w:w="3100"/>
            <w:shd w:fill="F7F9FC" w:color="auto" w:val="clear"/>
            <w:tcMar>
              <w:top w:type="dxa" w:w="60"/>
              <w:left w:type="dxa" w:w="100"/>
              <w:bottom w:type="dxa" w:w="60"/>
              <w:right w:type="dxa" w:w="100"/>
            </w:tcMar>
            <w:vAlign w:val="top"/>
          </w:tcPr>
          <w:p>
            <w:r>
              <w:rPr>
                <w:sz w:val="17"/>
                <w:szCs w:val="17"/>
              </w:rPr>
              <w:t xml:space="preserve">Why are field weathering rates slow?</w:t>
            </w:r>
          </w:p>
        </w:tc>
        <w:tc>
          <w:tcPr>
            <w:tcW w:type="dxa" w:w="3738"/>
            <w:shd w:fill="F7F9FC" w:color="auto" w:val="clear"/>
            <w:tcMar>
              <w:top w:type="dxa" w:w="60"/>
              <w:left w:type="dxa" w:w="100"/>
              <w:bottom w:type="dxa" w:w="60"/>
              <w:right w:type="dxa" w:w="100"/>
            </w:tcMar>
            <w:vAlign w:val="top"/>
          </w:tcPr>
          <w:p>
            <w:r>
              <w:rPr>
                <w:sz w:val="17"/>
                <w:szCs w:val="17"/>
              </w:rPr>
              <w:t xml:space="preserve">Saturation and buffering slow them up to 100×.</w:t>
            </w:r>
          </w:p>
        </w:tc>
      </w:tr>
      <w:tr>
        <w:trPr>
          <w:cantSplit/>
        </w:trPr>
        <w:tc>
          <w:tcPr>
            <w:tcW w:type="dxa" w:w="700"/>
            <w:tcMar>
              <w:top w:type="dxa" w:w="60"/>
              <w:left w:type="dxa" w:w="100"/>
              <w:bottom w:type="dxa" w:w="60"/>
              <w:right w:type="dxa" w:w="100"/>
            </w:tcMar>
            <w:vAlign w:val="top"/>
          </w:tcPr>
          <w:p>
            <w:r>
              <w:rPr>
                <w:sz w:val="17"/>
                <w:szCs w:val="17"/>
              </w:rPr>
              <w:t xml:space="preserve">P5</w:t>
            </w:r>
          </w:p>
        </w:tc>
        <w:tc>
          <w:tcPr>
            <w:tcW w:type="dxa" w:w="2100"/>
            <w:tcMar>
              <w:top w:type="dxa" w:w="60"/>
              <w:left w:type="dxa" w:w="100"/>
              <w:bottom w:type="dxa" w:w="60"/>
              <w:right w:type="dxa" w:w="100"/>
            </w:tcMar>
            <w:vAlign w:val="top"/>
          </w:tcPr>
          <w:p>
            <w:r>
              <w:rPr>
                <w:sz w:val="17"/>
                <w:szCs w:val="17"/>
              </w:rPr>
              <w:t xml:space="preserve">Alkalinization efficiency</w:t>
            </w:r>
          </w:p>
        </w:tc>
        <w:tc>
          <w:tcPr>
            <w:tcW w:type="dxa" w:w="3100"/>
            <w:tcMar>
              <w:top w:type="dxa" w:w="60"/>
              <w:left w:type="dxa" w:w="100"/>
              <w:bottom w:type="dxa" w:w="60"/>
              <w:right w:type="dxa" w:w="100"/>
            </w:tcMar>
            <w:vAlign w:val="top"/>
          </w:tcPr>
          <w:p>
            <w:r>
              <w:rPr>
                <w:sz w:val="17"/>
                <w:szCs w:val="17"/>
              </w:rPr>
              <w:t xml:space="preserve">How much CO₂ does added alkalinity capture?</w:t>
            </w:r>
          </w:p>
        </w:tc>
        <w:tc>
          <w:tcPr>
            <w:tcW w:type="dxa" w:w="3738"/>
            <w:tcMar>
              <w:top w:type="dxa" w:w="60"/>
              <w:left w:type="dxa" w:w="100"/>
              <w:bottom w:type="dxa" w:w="60"/>
              <w:right w:type="dxa" w:w="100"/>
            </w:tcMar>
            <w:vAlign w:val="top"/>
          </w:tcPr>
          <w:p>
            <w:r>
              <w:rPr>
                <w:sz w:val="17"/>
                <w:szCs w:val="17"/>
              </w:rPr>
              <w:t xml:space="preserve">A closed-form, pH-steep efficiency for all waters.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P6</w:t>
            </w:r>
          </w:p>
        </w:tc>
        <w:tc>
          <w:tcPr>
            <w:tcW w:type="dxa" w:w="2100"/>
            <w:shd w:fill="F7F9FC" w:color="auto" w:val="clear"/>
            <w:tcMar>
              <w:top w:type="dxa" w:w="60"/>
              <w:left w:type="dxa" w:w="100"/>
              <w:bottom w:type="dxa" w:w="60"/>
              <w:right w:type="dxa" w:w="100"/>
            </w:tcMar>
            <w:vAlign w:val="top"/>
          </w:tcPr>
          <w:p>
            <w:r>
              <w:rPr>
                <w:sz w:val="17"/>
                <w:szCs w:val="17"/>
              </w:rPr>
              <w:t xml:space="preserve">Mineral–organic interface</w:t>
            </w:r>
          </w:p>
        </w:tc>
        <w:tc>
          <w:tcPr>
            <w:tcW w:type="dxa" w:w="3100"/>
            <w:shd w:fill="F7F9FC" w:color="auto" w:val="clear"/>
            <w:tcMar>
              <w:top w:type="dxa" w:w="60"/>
              <w:left w:type="dxa" w:w="100"/>
              <w:bottom w:type="dxa" w:w="60"/>
              <w:right w:type="dxa" w:w="100"/>
            </w:tcMar>
            <w:vAlign w:val="top"/>
          </w:tcPr>
          <w:p>
            <w:r>
              <w:rPr>
                <w:sz w:val="17"/>
                <w:szCs w:val="17"/>
              </w:rPr>
              <w:t xml:space="preserve">Is mineral–organic association equilibrium sorption?</w:t>
            </w:r>
          </w:p>
        </w:tc>
        <w:tc>
          <w:tcPr>
            <w:tcW w:type="dxa" w:w="3738"/>
            <w:shd w:fill="F7F9FC" w:color="auto" w:val="clear"/>
            <w:tcMar>
              <w:top w:type="dxa" w:w="60"/>
              <w:left w:type="dxa" w:w="100"/>
              <w:bottom w:type="dxa" w:w="60"/>
              <w:right w:type="dxa" w:w="100"/>
            </w:tcMar>
            <w:vAlign w:val="top"/>
          </w:tcPr>
          <w:p>
            <w:r>
              <w:rPr>
                <w:sz w:val="17"/>
                <w:szCs w:val="17"/>
              </w:rPr>
              <w:t xml:space="preserve">No: a reactive, redox-active interface.</w:t>
            </w:r>
          </w:p>
        </w:tc>
      </w:tr>
    </w:tbl>
    <w:p>
      <w:pPr>
        <w:spacing w:after="160"/>
      </w:pPr>
    </w:p>
    <w:p>
      <w:pPr>
        <w:pStyle w:val="Heading3"/>
      </w:pPr>
      <w:r>
        <w:rPr>
          <w:color w:val="1F3864"/>
        </w:rPr>
        <w:t xml:space="preserve">7.1 Rate laws that change with the distance from equilibrium</w:t>
      </w:r>
    </w:p>
    <w:p>
      <w:pPr>
        <w:spacing w:after="120"/>
        <w:jc w:val="both"/>
      </w:pPr>
      <w:r>
        <w:t xml:space="preserve">The strongest message of the set is that the rate law near equilibrium, the part that matters in aquifers, is neither linear nor a simple continuation of the far-from-equilibrium law. In seawater, calcite dissolves by different surface mechanisms on either side of a critical saturation ratio, measured by atomic force microscopy [C4]; at the grain scale the rate can be set by transport from a surface held at the solubility product rather than by surface kinetics [O3]. On the precipitation side, ion correlations in the double layer start nucleation below bulk saturation [P1], and a solid that grows on a moving interface may promote flow instead of sealing it [C1]. Biological microenvironments [C5] and reactive mineral–organic interfaces [P6] add local disequilibrium that bulk chemistry does not show. The rate law of section 8 is built on these results: a kink near equilibrium, with exponents that differ on the two sides.</w:t>
      </w:r>
    </w:p>
    <w:p>
      <w:pPr>
        <w:pStyle w:val="Heading3"/>
      </w:pPr>
      <w:r>
        <w:rPr>
          <w:color w:val="1F3864"/>
        </w:rPr>
        <w:t xml:space="preserve">7.2 Laboratory, field and the Damköhler switch</w:t>
      </w:r>
    </w:p>
    <w:p>
      <w:pPr>
        <w:spacing w:after="120"/>
        <w:jc w:val="both"/>
      </w:pPr>
      <w:r>
        <w:t xml:space="preserve">Three papers explain why laboratory rates fail in the field and when this matters. In soils, approach to saturation and buffering make effective weathering rates up to a hundred times slower than laboratory rates [P4]. At the planetary scale, a thermodynamic limit on solute concentration makes weathering depend on runoff, not on kinetics [O6], the large-scale form of the Damköhler switch of section 1.1. Homogenisation [O4] and learned multiscale closures [C2] are the tools that would carry pore-scale rates to the Darcy scale. For the coastal mixing zone the consequence is that the field rate prefactor must be treated as uncertain by orders of magnitude, and that the question whether kinetics matter is itself the decision to be informed (section 8).</w:t>
      </w:r>
    </w:p>
    <w:p>
      <w:pPr>
        <w:pStyle w:val="Heading3"/>
      </w:pPr>
      <w:r>
        <w:rPr>
          <w:color w:val="1F3864"/>
        </w:rPr>
        <w:t xml:space="preserve">7.3 Flow, mixing and reaction feedbacks</w:t>
      </w:r>
    </w:p>
    <w:p>
      <w:pPr>
        <w:spacing w:after="120"/>
        <w:jc w:val="both"/>
      </w:pPr>
      <w:r>
        <w:t xml:space="preserve">Reaction changes the medium, and the medium changes the reaction. The reaction-infiltration instability and its combination with shear [O1], within the thermodynamically consistent theory of reactive porous flow [O2], are the high-temperature analogue of conduit growth in dissolving aquifers. Clogging behind an evaporation front [O5] and crustal fingering [C1] are the precipitation side. Density-driven convection sets the mixing at interfaces between waters of different density, measured and simulated in three dimensions [C3]; at a freshwater–seawater interface it drives the scalar dissipation on which mixing-controlled reactions depend (section 1.4).</w:t>
      </w:r>
    </w:p>
    <w:p>
      <w:pPr>
        <w:pStyle w:val="Heading3"/>
      </w:pPr>
      <w:r>
        <w:rPr>
          <w:color w:val="1F3864"/>
        </w:rPr>
        <w:t xml:space="preserve">7.4 Isotopes, microbes and nonlinear forcing</w:t>
      </w:r>
    </w:p>
    <w:p>
      <w:pPr>
        <w:spacing w:after="120"/>
        <w:jc w:val="both"/>
      </w:pPr>
      <w:r>
        <w:t xml:space="preserve">Isotopes measure the distance from equilibrium: clumped and calcium isotopes together separate source mixing from fast precipitation [C6], and field pairs of calcium-isotope fractionation and rate test surface kinetic models [P2]. Microbial reactions run far from equilibrium, fast enough to convert stored CO₂ to methane within years [O7], or close to their thermodynamic limit, where electron transfer limits the rate [C7]. Under random forcing, nonlinear redox kinetics show a resonance [P3], and the carbonate system makes the carbon yield of alkalinity a steep function of pH [P5]. Tides, recharge and pumping force coastal aquifers in the same way, which is why averages of forcing do not give averages of reaction.</w:t>
      </w:r>
    </w:p>
    <w:p>
      <w:pPr>
        <w:pStyle w:val="Heading3"/>
      </w:pPr>
      <w:r>
        <w:rPr>
          <w:color w:val="1F3864"/>
        </w:rPr>
        <w:t xml:space="preserve">7.5 Lessons for SWI-Goal-OED</w:t>
      </w:r>
    </w:p>
    <w:p>
      <w:pPr>
        <w:pStyle w:val="ListParagraph"/>
        <w:numPr>
          <w:ilvl w:val="0"/>
          <w:numId w:val="2"/>
        </w:numPr>
        <w:spacing w:after="60"/>
        <w:jc w:val="both"/>
      </w:pPr>
      <w:r>
        <w:t xml:space="preserve">The freshwater–seawater mixing zone should not be assumed to be at local equilibrium with calcite without evidence: the local-equilibrium model can overestimate the dissolution by orders of magnitude (section 8) [P4, O6].</w:t>
      </w:r>
    </w:p>
    <w:p>
      <w:pPr>
        <w:pStyle w:val="ListParagraph"/>
        <w:numPr>
          <w:ilvl w:val="0"/>
          <w:numId w:val="2"/>
        </w:numPr>
        <w:spacing w:after="60"/>
        <w:jc w:val="both"/>
      </w:pPr>
      <w:r>
        <w:t xml:space="preserve">Kinetic laboratory data are useful only near equilibrium, in the saturation range of the mixing zone; far-from-equilibrium rates do not inform the field question [C4, O3].</w:t>
      </w:r>
    </w:p>
    <w:p>
      <w:pPr>
        <w:pStyle w:val="ListParagraph"/>
        <w:numPr>
          <w:ilvl w:val="0"/>
          <w:numId w:val="2"/>
        </w:numPr>
        <w:spacing w:after="60"/>
        <w:jc w:val="both"/>
      </w:pPr>
      <w:r>
        <w:t xml:space="preserve">Field observations of the calcium excess across the interface carry most of the information; their precision matters more than the number of laboratory measurements (section 8).</w:t>
      </w:r>
    </w:p>
    <w:p>
      <w:pPr>
        <w:pStyle w:val="ListParagraph"/>
        <w:numPr>
          <w:ilvl w:val="0"/>
          <w:numId w:val="2"/>
        </w:numPr>
        <w:spacing w:after="60"/>
        <w:jc w:val="both"/>
      </w:pPr>
      <w:r>
        <w:t xml:space="preserve">Feedbacks of porosity, isotopes and microbial redox reactions can be added to the same framework when the decision requires them [O1, C2, C6, C7, P3].</w:t>
      </w:r>
    </w:p>
    <w:p>
      <w:pPr>
        <w:pStyle w:val="Heading3"/>
      </w:pPr>
      <w:r>
        <w:rPr>
          <w:color w:val="1F3864"/>
        </w:rPr>
        <w:t xml:space="preserve">7.6 Further reading</w:t>
      </w:r>
    </w:p>
    <w:p>
      <w:pPr>
        <w:spacing w:after="120"/>
        <w:jc w:val="both"/>
      </w:pPr>
      <w:r>
        <w:t xml:space="preserve">Papers closely related to the topic that were left out because of the number of papers per institution, an overlap in content with a selected paper, a weaker link to hydrogeochemistry or a field that could not be verified. Their bibliographic data were verified in the same way as those of the cards; unverified fields are marked.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Zondervan, J. R., Hilton, R. [further initials not verified], et al. (2023). Rock organic carbon oxidation CO2 release offsets silicate weathering sink. </w:t>
            </w:r>
            <w:r>
              <w:rPr>
                <w:i/>
                <w:iCs/>
                <w:sz w:val="17"/>
                <w:szCs w:val="17"/>
              </w:rPr>
              <w:t xml:space="preserve">Nature</w:t>
            </w:r>
            <w:r>
              <w:rPr>
                <w:sz w:val="17"/>
                <w:szCs w:val="17"/>
              </w:rPr>
              <w:t xml:space="preserve">, 623(7986), 329–333. </w:t>
            </w:r>
            <w:hyperlink w:history="1" r:id="rIdoawtxcdmu6tfbsx1hg5x6">
              <w:r>
                <w:rPr>
                  <w:color w:val="1D4ED8"/>
                  <w:sz w:val="17"/>
                  <w:szCs w:val="17"/>
                  <w:u w:val="single"/>
                </w:rPr>
                <w:t xml:space="preserve">https://doi.org/10.1038/s41586-023-06581-9</w:t>
              </w:r>
            </w:hyperlink>
          </w:p>
        </w:tc>
        <w:tc>
          <w:tcPr>
            <w:tcW w:type="dxa" w:w="3038"/>
            <w:tcMar>
              <w:top w:type="dxa" w:w="60"/>
              <w:left w:type="dxa" w:w="100"/>
              <w:bottom w:type="dxa" w:w="60"/>
              <w:right w:type="dxa" w:w="100"/>
            </w:tcMar>
            <w:vAlign w:val="top"/>
          </w:tcPr>
          <w:p>
            <w:r>
              <w:rPr>
                <w:sz w:val="17"/>
                <w:szCs w:val="17"/>
              </w:rPr>
              <w:t xml:space="preserve">Oxidative weathering far from equilibrium, competing with silicate weathering.</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Boury, S., Meyer, C. R., Vasil, G. M. &amp; Wells, A. J. (2021). Convection in a mushy layer along a vertical heated wall. </w:t>
            </w:r>
            <w:r>
              <w:rPr>
                <w:i/>
                <w:iCs/>
                <w:sz w:val="17"/>
                <w:szCs w:val="17"/>
              </w:rPr>
              <w:t xml:space="preserve">Journal of Fluid Mechanics</w:t>
            </w:r>
            <w:r>
              <w:rPr>
                <w:sz w:val="17"/>
                <w:szCs w:val="17"/>
              </w:rPr>
              <w:t xml:space="preserve">, 926, A33 (DOI not verified).</w:t>
            </w:r>
          </w:p>
        </w:tc>
        <w:tc>
          <w:tcPr>
            <w:tcW w:type="dxa" w:w="3038"/>
            <w:shd w:fill="F7F9FC" w:color="auto" w:val="clear"/>
            <w:tcMar>
              <w:top w:type="dxa" w:w="60"/>
              <w:left w:type="dxa" w:w="100"/>
              <w:bottom w:type="dxa" w:w="60"/>
              <w:right w:type="dxa" w:w="100"/>
            </w:tcMar>
            <w:vAlign w:val="top"/>
          </w:tcPr>
          <w:p>
            <w:r>
              <w:rPr>
                <w:sz w:val="17"/>
                <w:szCs w:val="17"/>
              </w:rPr>
              <w:t xml:space="preserve">Asymptotics of convection in a reactive porous mush.</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Fan, X., Batchelor-McAuley, C., Yang, M. &amp; Compton, R. G. (2022). Single calcite particle dissolution kinetics: revealing the influence of mass transport. </w:t>
            </w:r>
            <w:r>
              <w:rPr>
                <w:i/>
                <w:iCs/>
                <w:sz w:val="17"/>
                <w:szCs w:val="17"/>
              </w:rPr>
              <w:t xml:space="preserve">ACS Measurement Science Au</w:t>
            </w:r>
            <w:r>
              <w:rPr>
                <w:sz w:val="17"/>
                <w:szCs w:val="17"/>
              </w:rPr>
              <w:t xml:space="preserve"> (volume and pages not verified). </w:t>
            </w:r>
            <w:hyperlink w:history="1" r:id="rId4rpufurkrrvoqoefjjrkd">
              <w:r>
                <w:rPr>
                  <w:color w:val="1D4ED8"/>
                  <w:sz w:val="17"/>
                  <w:szCs w:val="17"/>
                  <w:u w:val="single"/>
                </w:rPr>
                <w:t xml:space="preserve">https://doi.org/10.1021/acsmeasuresciau.2c00025</w:t>
              </w:r>
            </w:hyperlink>
          </w:p>
        </w:tc>
        <w:tc>
          <w:tcPr>
            <w:tcW w:type="dxa" w:w="3038"/>
            <w:tcMar>
              <w:top w:type="dxa" w:w="60"/>
              <w:left w:type="dxa" w:w="100"/>
              <w:bottom w:type="dxa" w:w="60"/>
              <w:right w:type="dxa" w:w="100"/>
            </w:tcMar>
            <w:vAlign w:val="top"/>
          </w:tcPr>
          <w:p>
            <w:r>
              <w:rPr>
                <w:sz w:val="17"/>
                <w:szCs w:val="17"/>
              </w:rPr>
              <w:t xml:space="preserve">Transport control of calcite dissolution at the particle scale; companion to [O3].</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Fiori, M., Pramanik, S. &amp; MacMinn, C. W. (2025). Solute transport due to periodic loading in a soft porous material. </w:t>
            </w:r>
            <w:r>
              <w:rPr>
                <w:i/>
                <w:iCs/>
                <w:sz w:val="17"/>
                <w:szCs w:val="17"/>
              </w:rPr>
              <w:t xml:space="preserve">Journal of Fluid Mechanics</w:t>
            </w:r>
            <w:r>
              <w:rPr>
                <w:sz w:val="17"/>
                <w:szCs w:val="17"/>
              </w:rPr>
              <w:t xml:space="preserve">, 1009, A15. </w:t>
            </w:r>
            <w:hyperlink w:history="1" r:id="rIda36v02tqc4vmst_358nb2">
              <w:r>
                <w:rPr>
                  <w:color w:val="1D4ED8"/>
                  <w:sz w:val="17"/>
                  <w:szCs w:val="17"/>
                  <w:u w:val="single"/>
                </w:rPr>
                <w:t xml:space="preserve">https://doi.org/10.1017/jfm.2025.189</w:t>
              </w:r>
            </w:hyperlink>
          </w:p>
        </w:tc>
        <w:tc>
          <w:tcPr>
            <w:tcW w:type="dxa" w:w="3038"/>
            <w:shd w:fill="F7F9FC" w:color="auto" w:val="clear"/>
            <w:tcMar>
              <w:top w:type="dxa" w:w="60"/>
              <w:left w:type="dxa" w:w="100"/>
              <w:bottom w:type="dxa" w:w="60"/>
              <w:right w:type="dxa" w:w="100"/>
            </w:tcMar>
            <w:vAlign w:val="top"/>
          </w:tcPr>
          <w:p>
            <w:r>
              <w:rPr>
                <w:sz w:val="17"/>
                <w:szCs w:val="17"/>
              </w:rPr>
              <w:t xml:space="preserve">Nonlinear, deformation-driven solute spreading, without reaction.</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Thiagarajan, N., Xie, H., Ponton, C., Kitchen, N., Peterson, B., Lawson, M., Formolo, M., Xiao, Y. &amp; Eiler, J. (2020). Isotopic evidence for quasi-equilibrium chemistry in thermally mature natural gases. </w:t>
            </w:r>
            <w:r>
              <w:rPr>
                <w:i/>
                <w:iCs/>
                <w:sz w:val="17"/>
                <w:szCs w:val="17"/>
              </w:rPr>
              <w:t xml:space="preserve">PNAS</w:t>
            </w:r>
            <w:r>
              <w:rPr>
                <w:sz w:val="17"/>
                <w:szCs w:val="17"/>
              </w:rPr>
              <w:t xml:space="preserve">, 117(8), 3989–3995 (DOI not verified).</w:t>
            </w:r>
          </w:p>
        </w:tc>
        <w:tc>
          <w:tcPr>
            <w:tcW w:type="dxa" w:w="3038"/>
            <w:tcMar>
              <w:top w:type="dxa" w:w="60"/>
              <w:left w:type="dxa" w:w="100"/>
              <w:bottom w:type="dxa" w:w="60"/>
              <w:right w:type="dxa" w:w="100"/>
            </w:tcMar>
            <w:vAlign w:val="top"/>
          </w:tcPr>
          <w:p>
            <w:r>
              <w:rPr>
                <w:sz w:val="17"/>
                <w:szCs w:val="17"/>
              </w:rPr>
              <w:t xml:space="preserve">Relaxation of isotopic structure from kinetic to equilibrium values.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McRose, D. L. &amp; Newman, D. K. (2021). Redox-active antibiotics enhance phosphorus bioavailability. </w:t>
            </w:r>
            <w:r>
              <w:rPr>
                <w:i/>
                <w:iCs/>
                <w:sz w:val="17"/>
                <w:szCs w:val="17"/>
              </w:rPr>
              <w:t xml:space="preserve">Science</w:t>
            </w:r>
            <w:r>
              <w:rPr>
                <w:sz w:val="17"/>
                <w:szCs w:val="17"/>
              </w:rPr>
              <w:t xml:space="preserve">, 371(6533), 1033–1037. </w:t>
            </w:r>
            <w:hyperlink w:history="1" r:id="rIdsi29x57jhxnf35exklnzm">
              <w:r>
                <w:rPr>
                  <w:color w:val="1D4ED8"/>
                  <w:sz w:val="17"/>
                  <w:szCs w:val="17"/>
                  <w:u w:val="single"/>
                </w:rPr>
                <w:t xml:space="preserve">https://doi.org/10.1126/science.abd1515</w:t>
              </w:r>
            </w:hyperlink>
          </w:p>
        </w:tc>
        <w:tc>
          <w:tcPr>
            <w:tcW w:type="dxa" w:w="3038"/>
            <w:shd w:fill="F7F9FC" w:color="auto" w:val="clear"/>
            <w:tcMar>
              <w:top w:type="dxa" w:w="60"/>
              <w:left w:type="dxa" w:w="100"/>
              <w:bottom w:type="dxa" w:w="60"/>
              <w:right w:type="dxa" w:w="100"/>
            </w:tcMar>
            <w:vAlign w:val="top"/>
          </w:tcPr>
          <w:p>
            <w:r>
              <w:rPr>
                <w:sz w:val="17"/>
                <w:szCs w:val="17"/>
              </w:rPr>
              <w:t xml:space="preserve">Microbial reductive dissolution of iron oxides.</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Yu, H. &amp; Leadbetter, J. R. (2020). Bacterial chemolithoautotrophy via manganese oxidation. </w:t>
            </w:r>
            <w:r>
              <w:rPr>
                <w:i/>
                <w:iCs/>
                <w:sz w:val="17"/>
                <w:szCs w:val="17"/>
              </w:rPr>
              <w:t xml:space="preserve">Nature</w:t>
            </w:r>
            <w:r>
              <w:rPr>
                <w:sz w:val="17"/>
                <w:szCs w:val="17"/>
              </w:rPr>
              <w:t xml:space="preserve">, 583, 453–458. </w:t>
            </w:r>
            <w:hyperlink w:history="1" r:id="rId2h7hnoflvzyistpohvvg1">
              <w:r>
                <w:rPr>
                  <w:color w:val="1D4ED8"/>
                  <w:sz w:val="17"/>
                  <w:szCs w:val="17"/>
                  <w:u w:val="single"/>
                </w:rPr>
                <w:t xml:space="preserve">https://doi.org/10.1038/s41586-020-2468-5</w:t>
              </w:r>
            </w:hyperlink>
          </w:p>
        </w:tc>
        <w:tc>
          <w:tcPr>
            <w:tcW w:type="dxa" w:w="3038"/>
            <w:tcMar>
              <w:top w:type="dxa" w:w="60"/>
              <w:left w:type="dxa" w:w="100"/>
              <w:bottom w:type="dxa" w:w="60"/>
              <w:right w:type="dxa" w:w="100"/>
            </w:tcMar>
            <w:vAlign w:val="top"/>
          </w:tcPr>
          <w:p>
            <w:r>
              <w:rPr>
                <w:sz w:val="17"/>
                <w:szCs w:val="17"/>
              </w:rPr>
              <w:t xml:space="preserve">Manganese oxidation as an energy source; redox kinetics of aquifers.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Fu, X., Waite &amp; Ruppel [initials of Waite and Ruppel not verified] (2021). Hydrate formation on marine seep bubbles and the implications for water column methane dissolution. </w:t>
            </w:r>
            <w:r>
              <w:rPr>
                <w:i/>
                <w:iCs/>
                <w:sz w:val="17"/>
                <w:szCs w:val="17"/>
              </w:rPr>
              <w:t xml:space="preserve">Journal of Geophysical Research: Oceans</w:t>
            </w:r>
            <w:r>
              <w:rPr>
                <w:sz w:val="17"/>
                <w:szCs w:val="17"/>
              </w:rPr>
              <w:t xml:space="preserve">, 126(9), e2021JC017363. </w:t>
            </w:r>
            <w:hyperlink w:history="1" r:id="rIdsqt80qiunhzzfhyevagtz">
              <w:r>
                <w:rPr>
                  <w:color w:val="1D4ED8"/>
                  <w:sz w:val="17"/>
                  <w:szCs w:val="17"/>
                  <w:u w:val="single"/>
                </w:rPr>
                <w:t xml:space="preserve">https://doi.org/10.1029/2021JC017363</w:t>
              </w:r>
            </w:hyperlink>
          </w:p>
        </w:tc>
        <w:tc>
          <w:tcPr>
            <w:tcW w:type="dxa" w:w="3038"/>
            <w:shd w:fill="F7F9FC" w:color="auto" w:val="clear"/>
            <w:tcMar>
              <w:top w:type="dxa" w:w="60"/>
              <w:left w:type="dxa" w:w="100"/>
              <w:bottom w:type="dxa" w:w="60"/>
              <w:right w:type="dxa" w:w="100"/>
            </w:tcMar>
            <w:vAlign w:val="top"/>
          </w:tcPr>
          <w:p>
            <w:r>
              <w:rPr>
                <w:sz w:val="17"/>
                <w:szCs w:val="17"/>
              </w:rPr>
              <w:t xml:space="preserve">Non-equilibrium hydrate shells and interfacial mass transfer; companion to [C1].</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Calabrese, S., Wild, Bertagni, M. B., Bourg, I. C., White, Aburto, Cipolla, G., Noto, L. V. &amp; Porporato, A. [initials of Wild, White and Aburto not verified] (2022). Nano- to global-scale uncertainties in terrestrial enhanced weathering. </w:t>
            </w:r>
            <w:r>
              <w:rPr>
                <w:i/>
                <w:iCs/>
                <w:sz w:val="17"/>
                <w:szCs w:val="17"/>
              </w:rPr>
              <w:t xml:space="preserve">Environmental Science &amp; Technology</w:t>
            </w:r>
            <w:r>
              <w:rPr>
                <w:sz w:val="17"/>
                <w:szCs w:val="17"/>
              </w:rPr>
              <w:t xml:space="preserve">, 56(22), 15261–15272. </w:t>
            </w:r>
            <w:hyperlink w:history="1" r:id="rIdo2fzi2sgxlo-cud_7bmvs">
              <w:r>
                <w:rPr>
                  <w:color w:val="1D4ED8"/>
                  <w:sz w:val="17"/>
                  <w:szCs w:val="17"/>
                  <w:u w:val="single"/>
                </w:rPr>
                <w:t xml:space="preserve">https://doi.org/10.1021/acs.est.2c03163</w:t>
              </w:r>
            </w:hyperlink>
          </w:p>
        </w:tc>
        <w:tc>
          <w:tcPr>
            <w:tcW w:type="dxa" w:w="3038"/>
            <w:tcMar>
              <w:top w:type="dxa" w:w="60"/>
              <w:left w:type="dxa" w:w="100"/>
              <w:bottom w:type="dxa" w:w="60"/>
              <w:right w:type="dxa" w:w="100"/>
            </w:tcMar>
            <w:vAlign w:val="top"/>
          </w:tcPr>
          <w:p>
            <w:r>
              <w:rPr>
                <w:sz w:val="17"/>
                <w:szCs w:val="17"/>
              </w:rPr>
              <w:t xml:space="preserve">Uncertainty of weathering rates from the mineral surface to the globe.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Calabrese, S. &amp; Porporato, A. (2020). Wetness controls on global chemical weathering. </w:t>
            </w:r>
            <w:r>
              <w:rPr>
                <w:i/>
                <w:iCs/>
                <w:sz w:val="17"/>
                <w:szCs w:val="17"/>
              </w:rPr>
              <w:t xml:space="preserve">Environmental Research Communications</w:t>
            </w:r>
            <w:r>
              <w:rPr>
                <w:sz w:val="17"/>
                <w:szCs w:val="17"/>
              </w:rPr>
              <w:t xml:space="preserve">, 2(8), 085005. </w:t>
            </w:r>
            <w:hyperlink w:history="1" r:id="rId7nosfssaue0k_olwb6vf9">
              <w:r>
                <w:rPr>
                  <w:color w:val="1D4ED8"/>
                  <w:sz w:val="17"/>
                  <w:szCs w:val="17"/>
                  <w:u w:val="single"/>
                </w:rPr>
                <w:t xml:space="preserve">https://doi.org/10.1088/2515-7620/abad7b</w:t>
              </w:r>
            </w:hyperlink>
          </w:p>
        </w:tc>
        <w:tc>
          <w:tcPr>
            <w:tcW w:type="dxa" w:w="3038"/>
            <w:shd w:fill="F7F9FC" w:color="auto" w:val="clear"/>
            <w:tcMar>
              <w:top w:type="dxa" w:w="60"/>
              <w:left w:type="dxa" w:w="100"/>
              <w:bottom w:type="dxa" w:w="60"/>
              <w:right w:type="dxa" w:w="100"/>
            </w:tcMar>
            <w:vAlign w:val="top"/>
          </w:tcPr>
          <w:p>
            <w:r>
              <w:rPr>
                <w:sz w:val="17"/>
                <w:szCs w:val="17"/>
              </w:rPr>
              <w:t xml:space="preserve">Dimensional analysis of kinetic- versus supply-limited weathering.</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Cipolla, G., Calabrese, S., Noto, L. V. &amp; Porporato, A. (2021). The role of hydrology on enhanced weathering for carbon sequestration II (subtitle not verified). </w:t>
            </w:r>
            <w:r>
              <w:rPr>
                <w:i/>
                <w:iCs/>
                <w:sz w:val="17"/>
                <w:szCs w:val="17"/>
              </w:rPr>
              <w:t xml:space="preserve">Advances in Water Resources</w:t>
            </w:r>
            <w:r>
              <w:rPr>
                <w:sz w:val="17"/>
                <w:szCs w:val="17"/>
              </w:rPr>
              <w:t xml:space="preserve">, 154, 103949. </w:t>
            </w:r>
            <w:hyperlink w:history="1" r:id="rIduxoswlgyedwqyfqdabviu">
              <w:r>
                <w:rPr>
                  <w:color w:val="1D4ED8"/>
                  <w:sz w:val="17"/>
                  <w:szCs w:val="17"/>
                  <w:u w:val="single"/>
                </w:rPr>
                <w:t xml:space="preserve">https://doi.org/10.1016/j.advwatres.2021.103949</w:t>
              </w:r>
            </w:hyperlink>
          </w:p>
        </w:tc>
        <w:tc>
          <w:tcPr>
            <w:tcW w:type="dxa" w:w="3038"/>
            <w:tcMar>
              <w:top w:type="dxa" w:w="60"/>
              <w:left w:type="dxa" w:w="100"/>
              <w:bottom w:type="dxa" w:w="60"/>
              <w:right w:type="dxa" w:w="100"/>
            </w:tcMar>
            <w:vAlign w:val="top"/>
          </w:tcPr>
          <w:p>
            <w:r>
              <w:rPr>
                <w:sz w:val="17"/>
                <w:szCs w:val="17"/>
              </w:rPr>
              <w:t xml:space="preserve">Hydrological control of weathering rates; companion to [P4].</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Akhtar, A. A., Ahm, A.-S. C. &amp; Higgins, J. A. (2024). Geochemical fingerprints of early diagenesis in shallow-water marine carbonates: insights from paired δ44/40Ca and δ26Mg values. </w:t>
            </w:r>
            <w:r>
              <w:rPr>
                <w:i/>
                <w:iCs/>
                <w:sz w:val="17"/>
                <w:szCs w:val="17"/>
              </w:rPr>
              <w:t xml:space="preserve">Geochimica et Cosmochimica Acta</w:t>
            </w:r>
            <w:r>
              <w:rPr>
                <w:sz w:val="17"/>
                <w:szCs w:val="17"/>
              </w:rPr>
              <w:t xml:space="preserve">, 383, 57–69 (DOI not verified).</w:t>
            </w:r>
          </w:p>
        </w:tc>
        <w:tc>
          <w:tcPr>
            <w:tcW w:type="dxa" w:w="3038"/>
            <w:shd w:fill="F7F9FC" w:color="auto" w:val="clear"/>
            <w:tcMar>
              <w:top w:type="dxa" w:w="60"/>
              <w:left w:type="dxa" w:w="100"/>
              <w:bottom w:type="dxa" w:w="60"/>
              <w:right w:type="dxa" w:w="100"/>
            </w:tcMar>
            <w:vAlign w:val="top"/>
          </w:tcPr>
          <w:p>
            <w:r>
              <w:rPr>
                <w:sz w:val="17"/>
                <w:szCs w:val="17"/>
              </w:rPr>
              <w:t xml:space="preserve">Paired Ca–Mg isotopes and a diagenetic reactive-transport model; companion to [P2].</w:t>
            </w:r>
          </w:p>
        </w:tc>
      </w:tr>
    </w:tbl>
    <w:p>
      <w:pPr>
        <w:pStyle w:val="Heading1"/>
        <w:pageBreakBefore/>
      </w:pPr>
      <w:r>
        <w:rPr>
          <w:color w:val="92400E"/>
        </w:rPr>
        <w:t xml:space="preserve">8. The proposed innovation</w:t>
      </w:r>
    </w:p>
    <w:p>
      <w:pPr>
        <w:spacing w:after="120"/>
        <w:jc w:val="both"/>
      </w:pPr>
      <w:r>
        <w:t xml:space="preserve">The papers of Part II show that hydrogeochemistry away from equilibrium is the rule rather than the exception: rate laws change mechanism with the driving force, field rates differ from laboratory rates by orders of magnitude, mixing and flow feed back on reaction, and isotopes record the departure from equilibrium. This section proposes and tests </w:t>
      </w:r>
      <w:r>
        <w:rPr>
          <w:b/>
          <w:bCs/>
        </w:rPr>
        <w:t xml:space="preserve">TRETJA-GO</w:t>
      </w:r>
      <w:r>
        <w:t xml:space="preserve"> (</w:t>
      </w:r>
      <w:r>
        <w:rPr>
          <w:i/>
          <w:iCs/>
        </w:rPr>
        <w:t xml:space="preserve">tretja</w:t>
      </w:r>
      <w:r>
        <w:t xml:space="preserve">: the dissolution): goal-oriented design of kinetic and field measurements for the mixing zone of a coastal aquifer, where fresh groundwater and intruded seawater, each in equilibrium with calcite, mix into undersaturated water. The decision is whether the mixing zone may be modeled at local equilibrium, as most models of seawater intrusion do, or whether its kinetics must be resolved.</w:t>
      </w:r>
    </w:p>
    <w:p>
      <w:pPr>
        <w:pStyle w:val="Heading3"/>
      </w:pPr>
      <w:r>
        <w:rPr>
          <w:color w:val="1F3864"/>
        </w:rPr>
        <w:t xml:space="preserve">8.1 The problem: is the mixing zone at equilibrium?</w:t>
      </w:r>
    </w:p>
    <w:p>
      <w:pPr>
        <w:spacing w:after="120"/>
        <w:jc w:val="both"/>
      </w:pPr>
      <w:r>
        <w:t xml:space="preserve">Fresh groundwater in equilibrium with calcite at a CO₂ pressure of </w:t>
      </w:r>
      <m:oMath>
        <m:sSup>
          <m:e>
            <m:r>
              <m:t>10</m:t>
            </m:r>
          </m:e>
          <m:sup>
            <m:r>
              <m:rPr>
                <m:sty m:val="p"/>
              </m:rPr>
              <m:t>−</m:t>
            </m:r>
            <m:r>
              <m:t>2</m:t>
            </m:r>
          </m:sup>
        </m:sSup>
      </m:oMath>
      <w:r>
        <w:t xml:space="preserve"> atm and intruded seawater in equilibrium with calcite at </w:t>
      </w:r>
      <m:oMath>
        <m:sSup>
          <m:e>
            <m:r>
              <m:t>10</m:t>
            </m:r>
          </m:e>
          <m:sup>
            <m:r>
              <m:rPr>
                <m:sty m:val="p"/>
              </m:rPr>
              <m:t>−</m:t>
            </m:r>
            <m:r>
              <m:t>2.5</m:t>
            </m:r>
          </m:sup>
        </m:sSup>
      </m:oMath>
      <w:r>
        <w:t xml:space="preserve"> atm mix across the interface below the aquifer. The PHREEQC speciation (phreeqc.dat, 15 °C) gives a saturation ratio that falls to </w:t>
      </w:r>
      <m:oMath>
        <m:r>
          <m:t>Ω</m:t>
        </m:r>
        <m:r>
          <m:rPr>
            <m:sty m:val="p"/>
          </m:rPr>
          <m:t>=</m:t>
        </m:r>
        <m:r>
          <m:t>0.58</m:t>
        </m:r>
      </m:oMath>
      <w:r>
        <w:t xml:space="preserve"> at 25% seawater, so up to 0.13 mmol/L of calcite can dissolve in the mixture (Figure 8.1a). The goal is </w:t>
      </w:r>
      <m:oMath>
        <m:r>
          <m:t>G</m:t>
        </m:r>
      </m:oMath>
      <w:r>
        <w:t xml:space="preserve">, the calcite dissolved in the first kilometer of the mixing zone per meter of coastline per year, which sets the carbonate load that the subterranean estuary returns to the sea and the slow growth of porosity along the interface. Under local equilibrium </w:t>
      </w:r>
      <m:oMath>
        <m:sSub>
          <m:e>
            <m:r>
              <m:t>G</m:t>
            </m:r>
          </m:e>
          <m:sub>
            <m:r>
              <m:rPr>
                <m:sty m:val="p"/>
              </m:rPr>
              <m:t>L</m:t>
            </m:r>
            <m:r>
              <m:rPr>
                <m:sty m:val="p"/>
              </m:rPr>
              <m:t>E</m:t>
            </m:r>
            <m:r>
              <m:rPr>
                <m:sty m:val="p"/>
              </m:rPr>
              <m:t>A</m:t>
            </m:r>
          </m:sub>
        </m:sSub>
        <m:r>
          <m:rPr>
            <m:sty m:val="p"/>
          </m:rPr>
          <m:t>=</m:t>
        </m:r>
        <m:r>
          <m:t>73.8</m:t>
        </m:r>
      </m:oMath>
      <w:r>
        <w:t xml:space="preserve"> mol per meter per year. The decision is whether this value may be used, that is, whether the kinetic dissolution reaches at least 80% of it.</w:t>
      </w:r>
    </w:p>
    <w:p>
      <w:pPr>
        <w:pStyle w:val="Heading3"/>
      </w:pPr>
      <w:r>
        <w:rPr>
          <w:color w:val="1F3864"/>
        </w:rPr>
        <w:t xml:space="preserve">8.2 Model</w:t>
      </w:r>
    </w:p>
    <w:p>
      <w:pPr>
        <w:spacing w:after="120"/>
        <w:jc w:val="both"/>
      </w:pPr>
      <w:r>
        <w:t xml:space="preserve">The mixing zone is modeled as transverse mixing between a fresh and a saline layer that flow in parallel at 0.2 m/day, with a transverse dispersivity of 0.05 m. The seawater fraction </w:t>
      </w:r>
      <m:oMath>
        <m:r>
          <m:t>f</m:t>
        </m:r>
      </m:oMath>
      <w:r>
        <w:t xml:space="preserve"> is conservative; the dissolved calcite </w:t>
      </w:r>
      <m:oMath>
        <m:r>
          <m:t>Δ</m:t>
        </m:r>
        <m:r>
          <m:t>c</m:t>
        </m:r>
      </m:oMath>
      <w:r>
        <w:t xml:space="preserve"> reacts, and the saturation ratio </w:t>
      </w:r>
      <m:oMath>
        <m:r>
          <m:t>Ω</m:t>
        </m:r>
        <m:d>
          <m:dPr>
            <m:begChr m:val="("/>
            <m:sepChr m:val=""/>
            <m:endChr m:val=")"/>
            <m:grow/>
          </m:dPr>
          <m:e>
            <m:r>
              <m:t>f</m:t>
            </m:r>
            <m:r>
              <m:rPr>
                <m:sty m:val="p"/>
              </m:rPr>
              <m:t>,</m:t>
            </m:r>
            <m:r>
              <m:t>Δ</m:t>
            </m:r>
            <m:r>
              <m:t>c</m:t>
            </m:r>
          </m:e>
        </m:d>
      </m:oMath>
      <w:r>
        <w:t xml:space="preserve"> is read from a table computed once with PHREEQC [B18]:</w:t>
      </w:r>
    </w:p>
    <w:p>
      <w:pPr>
        <w:pStyle w:val="Equation"/>
      </w:pPr>
      <m:oMathPara>
        <m:oMathParaPr>
          <m:jc m:val="center"/>
        </m:oMathParaPr>
        <m:oMath>
          <m:r>
            <m:t>v</m:t>
          </m:r>
          <m:f>
            <m:fPr>
              <m:type m:val="bar"/>
            </m:fPr>
            <m:num>
              <m:r>
                <m:rPr>
                  <m:sty m:val="p"/>
                </m:rPr>
                <m:t>∂</m:t>
              </m:r>
              <m:r>
                <m:t>f</m:t>
              </m:r>
            </m:num>
            <m:den>
              <m:r>
                <m:rPr>
                  <m:sty m:val="p"/>
                </m:rPr>
                <m:t>∂</m:t>
              </m:r>
              <m:r>
                <m:t>x</m:t>
              </m:r>
            </m:den>
          </m:f>
          <m:r>
            <m:rPr>
              <m:sty m:val="p"/>
            </m:rPr>
            <m:t>=</m:t>
          </m:r>
          <m:sSub>
            <m:e>
              <m:r>
                <m:t>D</m:t>
              </m:r>
            </m:e>
            <m:sub>
              <m:r>
                <m:t>T</m:t>
              </m:r>
            </m:sub>
          </m:sSub>
          <m:f>
            <m:fPr>
              <m:type m:val="bar"/>
            </m:fPr>
            <m:num>
              <m:sSup>
                <m:e>
                  <m:r>
                    <m:rPr>
                      <m:sty m:val="p"/>
                    </m:rPr>
                    <m:t>∂</m:t>
                  </m:r>
                </m:e>
                <m:sup>
                  <m:r>
                    <m:t>2</m:t>
                  </m:r>
                </m:sup>
              </m:sSup>
              <m:r>
                <m:t>f</m:t>
              </m:r>
            </m:num>
            <m:den>
              <m:r>
                <m:rPr>
                  <m:sty m:val="p"/>
                </m:rPr>
                <m:t>∂</m:t>
              </m:r>
              <m:sSup>
                <m:e>
                  <m:r>
                    <m:t>z</m:t>
                  </m:r>
                </m:e>
                <m:sup>
                  <m:r>
                    <m:t>2</m:t>
                  </m:r>
                </m:sup>
              </m:sSup>
            </m:den>
          </m:f>
          <m:r>
            <m:rPr>
              <m:sty m:val="p"/>
            </m:rPr>
            <m:t>,</m:t>
          </m:r>
          <m:r>
            <m:t>  </m:t>
          </m:r>
          <m:r>
            <m:t>v</m:t>
          </m:r>
          <m:f>
            <m:fPr>
              <m:type m:val="bar"/>
            </m:fPr>
            <m:num>
              <m:r>
                <m:rPr>
                  <m:sty m:val="p"/>
                </m:rPr>
                <m:t>∂</m:t>
              </m:r>
              <m:r>
                <m:t>Δ</m:t>
              </m:r>
              <m:r>
                <m:t>c</m:t>
              </m:r>
            </m:num>
            <m:den>
              <m:r>
                <m:rPr>
                  <m:sty m:val="p"/>
                </m:rPr>
                <m:t>∂</m:t>
              </m:r>
              <m:r>
                <m:t>x</m:t>
              </m:r>
            </m:den>
          </m:f>
          <m:r>
            <m:rPr>
              <m:sty m:val="p"/>
            </m:rPr>
            <m:t>=</m:t>
          </m:r>
          <m:sSub>
            <m:e>
              <m:r>
                <m:t>D</m:t>
              </m:r>
            </m:e>
            <m:sub>
              <m:r>
                <m:t>T</m:t>
              </m:r>
            </m:sub>
          </m:sSub>
          <m:f>
            <m:fPr>
              <m:type m:val="bar"/>
            </m:fPr>
            <m:num>
              <m:sSup>
                <m:e>
                  <m:r>
                    <m:rPr>
                      <m:sty m:val="p"/>
                    </m:rPr>
                    <m:t>∂</m:t>
                  </m:r>
                </m:e>
                <m:sup>
                  <m:r>
                    <m:t>2</m:t>
                  </m:r>
                </m:sup>
              </m:sSup>
              <m:r>
                <m:t>Δ</m:t>
              </m:r>
              <m:r>
                <m:t>c</m:t>
              </m:r>
            </m:num>
            <m:den>
              <m:r>
                <m:rPr>
                  <m:sty m:val="p"/>
                </m:rPr>
                <m:t>∂</m:t>
              </m:r>
              <m:sSup>
                <m:e>
                  <m:r>
                    <m:t>z</m:t>
                  </m:r>
                </m:e>
                <m:sup>
                  <m:r>
                    <m:t>2</m:t>
                  </m:r>
                </m:sup>
              </m:sSup>
            </m:den>
          </m:f>
          <m:r>
            <m:rPr>
              <m:sty m:val="p"/>
            </m:rPr>
            <m:t>+</m:t>
          </m:r>
          <m:r>
            <m:t>κ</m:t>
          </m:r>
          <m:r>
            <m:t> </m:t>
          </m:r>
          <m:r>
            <m:t>g</m:t>
          </m:r>
          <m:d>
            <m:dPr>
              <m:begChr m:val="("/>
              <m:sepChr m:val=""/>
              <m:endChr m:val=")"/>
              <m:grow/>
            </m:dPr>
            <m:e>
              <m:r>
                <m:t>Ω</m:t>
              </m:r>
              <m:d>
                <m:dPr>
                  <m:begChr m:val="("/>
                  <m:sepChr m:val=""/>
                  <m:endChr m:val=")"/>
                  <m:grow/>
                </m:dPr>
                <m:e>
                  <m:r>
                    <m:t>f</m:t>
                  </m:r>
                  <m:r>
                    <m:rPr>
                      <m:sty m:val="p"/>
                    </m:rPr>
                    <m:t>,</m:t>
                  </m:r>
                  <m:r>
                    <m:t>Δ</m:t>
                  </m:r>
                  <m:r>
                    <m:t>c</m:t>
                  </m:r>
                </m:e>
              </m:d>
            </m:e>
          </m:d>
          <m:r>
            <m:rPr>
              <m:sty m:val="p"/>
            </m:rPr>
            <m:t>,</m:t>
          </m:r>
          <m:r>
            <m:t>  </m:t>
          </m:r>
          <m:sSub>
            <m:e>
              <m:r>
                <m:t>D</m:t>
              </m:r>
            </m:e>
            <m:sub>
              <m:r>
                <m:t>T</m:t>
              </m:r>
            </m:sub>
          </m:sSub>
          <m:r>
            <m:rPr>
              <m:sty m:val="p"/>
            </m:rPr>
            <m:t>=</m:t>
          </m:r>
          <m:sSub>
            <m:e>
              <m:r>
                <m:t>α</m:t>
              </m:r>
            </m:e>
            <m:sub>
              <m:r>
                <m:t>T</m:t>
              </m:r>
            </m:sub>
          </m:sSub>
          <m:r>
            <m:t>v</m:t>
          </m:r>
          <m:r>
            <m:rPr>
              <m:sty m:val="p"/>
            </m:rPr>
            <m:t>+</m:t>
          </m:r>
          <m:sSub>
            <m:e>
              <m:r>
                <m:t>D</m:t>
              </m:r>
            </m:e>
            <m:sub>
              <m:r>
                <m:t>m</m:t>
              </m:r>
            </m:sub>
          </m:sSub>
        </m:oMath>
      </m:oMathPara>
    </w:p>
    <w:p>
      <w:pPr>
        <w:spacing w:after="120"/>
        <w:jc w:val="both"/>
      </w:pPr>
      <w:r>
        <w:t xml:space="preserve">The rate law has a kink: one reaction order near equilibrium and another far from it, as the change of surface mechanism of section 1.2 requires:</w:t>
      </w:r>
    </w:p>
    <w:p>
      <w:pPr>
        <w:pStyle w:val="Equation"/>
      </w:pPr>
      <m:oMathPara>
        <m:oMathParaPr>
          <m:jc m:val="center"/>
        </m:oMathParaPr>
        <m:oMath>
          <m:r>
            <m:t>g</m:t>
          </m:r>
          <m:d>
            <m:dPr>
              <m:begChr m:val="("/>
              <m:sepChr m:val=""/>
              <m:endChr m:val=")"/>
              <m:grow/>
            </m:dPr>
            <m:e>
              <m:r>
                <m:t>Ω</m:t>
              </m:r>
            </m:e>
          </m:d>
          <m:r>
            <m:rPr>
              <m:sty m:val="p"/>
            </m:rPr>
            <m:t>=</m:t>
          </m:r>
          <m:sSup>
            <m:e>
              <m:d>
                <m:dPr>
                  <m:begChr m:val="("/>
                  <m:sepChr m:val=""/>
                  <m:endChr m:val=")"/>
                  <m:grow/>
                </m:dPr>
                <m:e>
                  <m:r>
                    <m:t>1</m:t>
                  </m:r>
                  <m:r>
                    <m:rPr>
                      <m:sty m:val="p"/>
                    </m:rPr>
                    <m:t>−</m:t>
                  </m:r>
                  <m:r>
                    <m:t>Ω</m:t>
                  </m:r>
                </m:e>
              </m:d>
            </m:e>
            <m:sup>
              <m:sSub>
                <m:e>
                  <m:r>
                    <m:t>n</m:t>
                  </m:r>
                </m:e>
                <m:sub>
                  <m:r>
                    <m:t>1</m:t>
                  </m:r>
                </m:sub>
              </m:sSub>
            </m:sup>
          </m:sSup>
          <m:r>
            <m:t> </m:t>
          </m:r>
          <m:r>
            <m:t> </m:t>
          </m:r>
          <m:d>
            <m:dPr>
              <m:begChr m:val="("/>
              <m:sepChr m:val=""/>
              <m:endChr m:val=")"/>
              <m:grow/>
            </m:dPr>
            <m:e>
              <m:r>
                <m:t>Ω</m:t>
              </m:r>
              <m:r>
                <m:rPr>
                  <m:sty m:val="p"/>
                </m:rPr>
                <m:t>≥</m:t>
              </m:r>
              <m:sSub>
                <m:e>
                  <m:r>
                    <m:t>Ω</m:t>
                  </m:r>
                </m:e>
                <m:sub>
                  <m:r>
                    <m:t>c</m:t>
                  </m:r>
                </m:sub>
              </m:sSub>
            </m:e>
          </m:d>
          <m:r>
            <m:rPr>
              <m:sty m:val="p"/>
            </m:rPr>
            <m:t>,</m:t>
          </m:r>
          <m:r>
            <m:t>  </m:t>
          </m:r>
          <m:r>
            <m:t>g</m:t>
          </m:r>
          <m:d>
            <m:dPr>
              <m:begChr m:val="("/>
              <m:sepChr m:val=""/>
              <m:endChr m:val=")"/>
              <m:grow/>
            </m:dPr>
            <m:e>
              <m:r>
                <m:t>Ω</m:t>
              </m:r>
            </m:e>
          </m:d>
          <m:r>
            <m:rPr>
              <m:sty m:val="p"/>
            </m:rPr>
            <m:t>=</m:t>
          </m:r>
          <m:sSup>
            <m:e>
              <m:d>
                <m:dPr>
                  <m:begChr m:val="("/>
                  <m:sepChr m:val=""/>
                  <m:endChr m:val=")"/>
                  <m:grow/>
                </m:dPr>
                <m:e>
                  <m:r>
                    <m:t>1</m:t>
                  </m:r>
                  <m:r>
                    <m:rPr>
                      <m:sty m:val="p"/>
                    </m:rPr>
                    <m:t>−</m:t>
                  </m:r>
                  <m:sSub>
                    <m:e>
                      <m:r>
                        <m:t>Ω</m:t>
                      </m:r>
                    </m:e>
                    <m:sub>
                      <m:r>
                        <m:t>c</m:t>
                      </m:r>
                    </m:sub>
                  </m:sSub>
                </m:e>
              </m:d>
            </m:e>
            <m:sup>
              <m:sSub>
                <m:e>
                  <m:r>
                    <m:t>n</m:t>
                  </m:r>
                </m:e>
                <m:sub>
                  <m:r>
                    <m:t>1</m:t>
                  </m:r>
                </m:sub>
              </m:sSub>
            </m:sup>
          </m:sSup>
          <m:sSup>
            <m:e>
              <m:d>
                <m:dPr>
                  <m:begChr m:val="("/>
                  <m:sepChr m:val=""/>
                  <m:endChr m:val=")"/>
                  <m:grow/>
                </m:dPr>
                <m:e>
                  <m:f>
                    <m:fPr>
                      <m:type m:val="bar"/>
                    </m:fPr>
                    <m:num>
                      <m:r>
                        <m:t>1</m:t>
                      </m:r>
                      <m:r>
                        <m:rPr>
                          <m:sty m:val="p"/>
                        </m:rPr>
                        <m:t>−</m:t>
                      </m:r>
                      <m:r>
                        <m:t>Ω</m:t>
                      </m:r>
                    </m:num>
                    <m:den>
                      <m:r>
                        <m:t>1</m:t>
                      </m:r>
                      <m:r>
                        <m:rPr>
                          <m:sty m:val="p"/>
                        </m:rPr>
                        <m:t>−</m:t>
                      </m:r>
                      <m:sSub>
                        <m:e>
                          <m:r>
                            <m:t>Ω</m:t>
                          </m:r>
                        </m:e>
                        <m:sub>
                          <m:r>
                            <m:t>c</m:t>
                          </m:r>
                        </m:sub>
                      </m:sSub>
                    </m:den>
                  </m:f>
                </m:e>
              </m:d>
            </m:e>
            <m:sup>
              <m:sSub>
                <m:e>
                  <m:r>
                    <m:t>n</m:t>
                  </m:r>
                </m:e>
                <m:sub>
                  <m:r>
                    <m:t>2</m:t>
                  </m:r>
                </m:sub>
              </m:sSub>
            </m:sup>
          </m:sSup>
          <m:r>
            <m:t> </m:t>
          </m:r>
          <m:r>
            <m:t> </m:t>
          </m:r>
          <m:d>
            <m:dPr>
              <m:begChr m:val="("/>
              <m:sepChr m:val=""/>
              <m:endChr m:val=")"/>
              <m:grow/>
            </m:dPr>
            <m:e>
              <m:r>
                <m:t>Ω</m:t>
              </m:r>
              <m:r>
                <m:rPr>
                  <m:sty m:val="p"/>
                </m:rPr>
                <m:t>&lt;</m:t>
              </m:r>
              <m:sSub>
                <m:e>
                  <m:r>
                    <m:t>Ω</m:t>
                  </m:r>
                </m:e>
                <m:sub>
                  <m:r>
                    <m:t>c</m:t>
                  </m:r>
                </m:sub>
              </m:sSub>
            </m:e>
          </m:d>
        </m:oMath>
      </m:oMathPara>
    </w:p>
    <w:p>
      <w:pPr>
        <w:spacing w:after="120"/>
        <w:jc w:val="both"/>
      </w:pPr>
      <w:r>
        <w:t xml:space="preserve">where </w:t>
      </w:r>
      <m:oMath>
        <m:r>
          <m:t>κ</m:t>
        </m:r>
      </m:oMath>
      <w:r>
        <w:t xml:space="preserve"> is the field rate prefactor (mmol/L per day), </w:t>
      </w:r>
      <m:oMath>
        <m:sSub>
          <m:e>
            <m:r>
              <m:t>n</m:t>
            </m:r>
          </m:e>
          <m:sub>
            <m:r>
              <m:t>1</m:t>
            </m:r>
          </m:sub>
        </m:sSub>
      </m:oMath>
      <w:r>
        <w:t xml:space="preserve"> and </w:t>
      </w:r>
      <m:oMath>
        <m:sSub>
          <m:e>
            <m:r>
              <m:t>n</m:t>
            </m:r>
          </m:e>
          <m:sub>
            <m:r>
              <m:t>2</m:t>
            </m:r>
          </m:sub>
        </m:sSub>
      </m:oMath>
      <w:r>
        <w:t xml:space="preserve"> the orders near and far from equilibrium and </w:t>
      </w:r>
      <m:oMath>
        <m:sSub>
          <m:e>
            <m:r>
              <m:t>Ω</m:t>
            </m:r>
          </m:e>
          <m:sub>
            <m:r>
              <m:t>c</m:t>
            </m:r>
          </m:sub>
        </m:sSub>
      </m:oMath>
      <w:r>
        <w:t xml:space="preserve"> the critical saturation. The prior is uniform on a grid of 1950 parameter sets: </w:t>
      </w:r>
      <m:oMath>
        <m:sSub>
          <m:e>
            <m:r>
              <m:rPr>
                <m:sty m:val="p"/>
              </m:rPr>
              <m:t>log</m:t>
            </m:r>
          </m:e>
          <m:sub>
            <m:r>
              <m:t>10</m:t>
            </m:r>
          </m:sub>
        </m:sSub>
        <m:r>
          <m:t>κ</m:t>
        </m:r>
      </m:oMath>
      <w:r>
        <w:t xml:space="preserve"> from −6 to −2, </w:t>
      </w:r>
      <m:oMath>
        <m:sSub>
          <m:e>
            <m:r>
              <m:t>n</m:t>
            </m:r>
          </m:e>
          <m:sub>
            <m:r>
              <m:t>1</m:t>
            </m:r>
          </m:sub>
        </m:sSub>
      </m:oMath>
      <w:r>
        <w:t xml:space="preserve"> from 0.5 to 2, </w:t>
      </w:r>
      <m:oMath>
        <m:sSub>
          <m:e>
            <m:r>
              <m:t>n</m:t>
            </m:r>
          </m:e>
          <m:sub>
            <m:r>
              <m:t>2</m:t>
            </m:r>
          </m:sub>
        </m:sSub>
      </m:oMath>
      <w:r>
        <w:t xml:space="preserve"> from 2 to 5 and </w:t>
      </w:r>
      <m:oMath>
        <m:sSub>
          <m:e>
            <m:r>
              <m:t>Ω</m:t>
            </m:r>
          </m:e>
          <m:sub>
            <m:r>
              <m:t>c</m:t>
            </m:r>
          </m:sub>
        </m:sSub>
      </m:oMath>
      <w:r>
        <w:t xml:space="preserve"> from 0.6 to 0.9. The equations are integrated along the flow with implicit diffusion and a split, capped dissolution step; the local-equilibrium limit (every point at saturation) and a linear law (</w:t>
      </w:r>
      <m:oMath>
        <m:sSub>
          <m:e>
            <m:r>
              <m:t>n</m:t>
            </m:r>
          </m:e>
          <m:sub>
            <m:r>
              <m:t>1</m:t>
            </m:r>
          </m:sub>
        </m:sSub>
        <m:r>
          <m:rPr>
            <m:sty m:val="p"/>
          </m:rPr>
          <m:t>=</m:t>
        </m:r>
        <m:sSub>
          <m:e>
            <m:r>
              <m:t>n</m:t>
            </m:r>
          </m:e>
          <m:sub>
            <m:r>
              <m:t>2</m:t>
            </m:r>
          </m:sub>
        </m:sSub>
        <m:r>
          <m:rPr>
            <m:sty m:val="p"/>
          </m:rPr>
          <m:t>=</m:t>
        </m:r>
        <m:r>
          <m:t>1</m:t>
        </m:r>
      </m:oMath>
      <w:r>
        <w:t xml:space="preserve">, the near-equilibrium form of transition-state theory) are computed for comparison.</w:t>
      </w:r>
    </w:p>
    <w:p>
      <w:pPr>
        <w:pStyle w:val="Heading3"/>
      </w:pPr>
      <w:r>
        <w:rPr>
          <w:color w:val="1F3864"/>
        </w:rPr>
        <w:t xml:space="preserve">8.3 Designs and criteria</w:t>
      </w:r>
    </w:p>
    <w:p>
      <w:pPr>
        <w:spacing w:after="120"/>
        <w:jc w:val="both"/>
      </w:pPr>
      <w:r>
        <w:t xml:space="preserve">Two kinds of data are available. </w:t>
      </w:r>
      <w:r>
        <w:rPr>
          <w:b/>
          <w:bCs/>
        </w:rPr>
        <w:t xml:space="preserve">Laboratory rates</w:t>
      </w:r>
      <w:r>
        <w:t xml:space="preserve">: eight dissolution experiments at chosen saturation ratios, far from equilibrium (0.05–0.4, the usual practice), near it (0.6–0.95) or spread over the whole range. Each rate has an error of about 20%, and the laboratory prefactor is unknown, because laboratory and field rates differ by orders of magnitude [B16, B17]; laboratory data therefore inform only the shape of the rate law. </w:t>
      </w:r>
      <w:r>
        <w:rPr>
          <w:b/>
          <w:bCs/>
        </w:rPr>
        <w:t xml:space="preserve">Field data</w:t>
      </w:r>
      <w:r>
        <w:t xml:space="preserve">: the calcium excess over conservative mixing, measured at 5 depths of one multilevel well across the mixing zone, 500 m along the flow, with an error of 0.02 mmol/L. For every design the preposterior analysis draws a true parameter set from the prior and 20 noisy data sets, computes the exact posterior on the grid and makes the decision:</w:t>
      </w:r>
    </w:p>
    <w:p>
      <w:pPr>
        <w:pStyle w:val="Equation"/>
      </w:pPr>
      <m:oMathPara>
        <m:oMathParaPr>
          <m:jc m:val="center"/>
        </m:oMathParaPr>
        <m:oMath>
          <m:r>
            <m:t>p</m:t>
          </m:r>
          <m:d>
            <m:dPr>
              <m:begChr m:val="("/>
              <m:sepChr m:val=""/>
              <m:endChr m:val=")"/>
              <m:grow/>
            </m:dPr>
            <m:e>
              <m:r>
                <m:t>θ</m:t>
              </m:r>
              <m:r>
                <m:rPr>
                  <m:sty m:val="p"/>
                </m:rPr>
                <m:t>∣</m:t>
              </m:r>
              <m:r>
                <m:t>y</m:t>
              </m:r>
            </m:e>
          </m:d>
          <m:r>
            <m:rPr>
              <m:sty m:val="p"/>
            </m:rPr>
            <m:t>∝</m:t>
          </m:r>
          <m:r>
            <m:t>p</m:t>
          </m:r>
          <m:d>
            <m:dPr>
              <m:begChr m:val="("/>
              <m:sepChr m:val=""/>
              <m:endChr m:val=")"/>
              <m:grow/>
            </m:dPr>
            <m:e>
              <m:r>
                <m:t>y</m:t>
              </m:r>
              <m:r>
                <m:rPr>
                  <m:sty m:val="p"/>
                </m:rPr>
                <m:t>∣</m:t>
              </m:r>
              <m:r>
                <m:t>θ</m:t>
              </m:r>
            </m:e>
          </m:d>
          <m:r>
            <m:t>p</m:t>
          </m:r>
          <m:d>
            <m:dPr>
              <m:begChr m:val="("/>
              <m:sepChr m:val=""/>
              <m:endChr m:val=")"/>
              <m:grow/>
            </m:dPr>
            <m:e>
              <m:r>
                <m:t>θ</m:t>
              </m:r>
            </m:e>
          </m:d>
          <m:r>
            <m:rPr>
              <m:sty m:val="p"/>
            </m:rPr>
            <m:t>,</m:t>
          </m:r>
          <m:r>
            <m:t>  </m:t>
          </m:r>
          <m:acc>
            <m:accPr>
              <m:chr m:val="̂"/>
            </m:accPr>
            <m:e>
              <m:r>
                <m:t>d</m:t>
              </m:r>
            </m:e>
          </m:acc>
          <m:d>
            <m:dPr>
              <m:begChr m:val="("/>
              <m:sepChr m:val=""/>
              <m:endChr m:val=")"/>
              <m:grow/>
            </m:dPr>
            <m:e>
              <m:r>
                <m:t>y</m:t>
              </m:r>
            </m:e>
          </m:d>
          <m:r>
            <m:rPr>
              <m:sty m:val="p"/>
            </m:rPr>
            <m:t>=</m:t>
          </m:r>
          <m:r>
            <m:rPr>
              <m:scr m:val="double-struck"/>
              <m:sty m:val="p"/>
            </m:rPr>
            <m:t>1</m:t>
          </m:r>
          <m:d>
            <m:dPr>
              <m:begChr m:val="{"/>
              <m:sepChr m:val=""/>
              <m:endChr m:val="}"/>
              <m:grow/>
            </m:dPr>
            <m:e>
              <m:r>
                <m:t>P</m:t>
              </m:r>
              <m:d>
                <m:dPr>
                  <m:begChr m:val="("/>
                  <m:sepChr m:val=""/>
                  <m:endChr m:val=")"/>
                  <m:grow/>
                </m:dPr>
                <m:e>
                  <m:r>
                    <m:t>G</m:t>
                  </m:r>
                  <m:r>
                    <m:rPr>
                      <m:sty m:val="p"/>
                    </m:rPr>
                    <m:t>≥</m:t>
                  </m:r>
                  <m:r>
                    <m:t>0.8</m:t>
                  </m:r>
                  <m:r>
                    <m:t> </m:t>
                  </m:r>
                  <m:sSub>
                    <m:e>
                      <m:r>
                        <m:t>G</m:t>
                      </m:r>
                    </m:e>
                    <m:sub>
                      <m:r>
                        <m:rPr>
                          <m:sty m:val="p"/>
                        </m:rPr>
                        <m:t>L</m:t>
                      </m:r>
                      <m:r>
                        <m:rPr>
                          <m:sty m:val="p"/>
                        </m:rPr>
                        <m:t>E</m:t>
                      </m:r>
                      <m:r>
                        <m:rPr>
                          <m:sty m:val="p"/>
                        </m:rPr>
                        <m:t>A</m:t>
                      </m:r>
                    </m:sub>
                  </m:sSub>
                  <m:r>
                    <m:rPr>
                      <m:sty m:val="p"/>
                    </m:rPr>
                    <m:t>∣</m:t>
                  </m:r>
                  <m:r>
                    <m:t>y</m:t>
                  </m:r>
                </m:e>
              </m:d>
              <m:r>
                <m:rPr>
                  <m:sty m:val="p"/>
                </m:rPr>
                <m:t>≥</m:t>
              </m:r>
              <m:f>
                <m:fPr>
                  <m:type m:val="bar"/>
                </m:fPr>
                <m:num>
                  <m:r>
                    <m:t>1</m:t>
                  </m:r>
                </m:num>
                <m:den>
                  <m:r>
                    <m:t>2</m:t>
                  </m:r>
                </m:den>
              </m:f>
            </m:e>
          </m:d>
          <m:r>
            <m:rPr>
              <m:sty m:val="p"/>
            </m:rPr>
            <m:t>,</m:t>
          </m:r>
          <m:r>
            <m:t>  </m:t>
          </m:r>
          <m:r>
            <m:t>U</m:t>
          </m:r>
          <m:d>
            <m:dPr>
              <m:begChr m:val="("/>
              <m:sepChr m:val=""/>
              <m:endChr m:val=")"/>
              <m:grow/>
            </m:dPr>
            <m:e>
              <m:r>
                <m:t>D</m:t>
              </m:r>
            </m:e>
          </m:d>
          <m:r>
            <m:rPr>
              <m:sty m:val="p"/>
            </m:rPr>
            <m:t>=</m:t>
          </m:r>
          <m:r>
            <m:t>P</m:t>
          </m:r>
          <m:d>
            <m:dPr>
              <m:begChr m:val="("/>
              <m:sepChr m:val=""/>
              <m:endChr m:val=")"/>
              <m:grow/>
            </m:dPr>
            <m:e>
              <m:acc>
                <m:accPr>
                  <m:chr m:val="̂"/>
                </m:accPr>
                <m:e>
                  <m:r>
                    <m:t>d</m:t>
                  </m:r>
                </m:e>
              </m:acc>
              <m:r>
                <m:rPr>
                  <m:sty m:val="p"/>
                </m:rPr>
                <m:t>=</m:t>
              </m:r>
              <m:sSup>
                <m:e>
                  <m:r>
                    <m:t>d</m:t>
                  </m:r>
                </m:e>
                <m:sup>
                  <m:r>
                    <m:rPr>
                      <m:sty m:val="p"/>
                    </m:rPr>
                    <m:t>⋆</m:t>
                  </m:r>
                </m:sup>
              </m:sSup>
            </m:e>
          </m:d>
          <m:r>
            <m:rPr>
              <m:sty m:val="p"/>
            </m:rPr>
            <m:t>,</m:t>
          </m:r>
          <m:r>
            <m:t>  </m:t>
          </m:r>
          <m:r>
            <m:t>I</m:t>
          </m:r>
          <m:d>
            <m:dPr>
              <m:begChr m:val="("/>
              <m:sepChr m:val=""/>
              <m:endChr m:val=")"/>
              <m:grow/>
            </m:dPr>
            <m:e>
              <m:r>
                <m:t>D</m:t>
              </m:r>
            </m:e>
          </m:d>
          <m:r>
            <m:rPr>
              <m:sty m:val="p"/>
            </m:rPr>
            <m:t>=</m:t>
          </m:r>
          <m:r>
            <m:t>H</m:t>
          </m:r>
          <m:d>
            <m:dPr>
              <m:begChr m:val="("/>
              <m:sepChr m:val=""/>
              <m:endChr m:val=")"/>
              <m:grow/>
            </m:dPr>
            <m:e>
              <m:r>
                <m:t>θ</m:t>
              </m:r>
            </m:e>
          </m:d>
          <m:r>
            <m:rPr>
              <m:sty m:val="p"/>
            </m:rPr>
            <m:t>−</m:t>
          </m:r>
          <m:r>
            <m:rPr>
              <m:scr m:val="double-struck"/>
              <m:sty m:val="p"/>
            </m:rPr>
            <m:t>E</m:t>
          </m:r>
          <m:d>
            <m:dPr>
              <m:begChr m:val="["/>
              <m:sepChr m:val=""/>
              <m:endChr m:val="]"/>
              <m:grow/>
            </m:dPr>
            <m:e>
              <m:r>
                <m:t>H</m:t>
              </m:r>
              <m:d>
                <m:dPr>
                  <m:begChr m:val="("/>
                  <m:sepChr m:val=""/>
                  <m:endChr m:val=")"/>
                  <m:grow/>
                </m:dPr>
                <m:e>
                  <m:r>
                    <m:t>θ</m:t>
                  </m:r>
                  <m:r>
                    <m:rPr>
                      <m:sty m:val="p"/>
                    </m:rPr>
                    <m:t>∣</m:t>
                  </m:r>
                  <m:r>
                    <m:t>y</m:t>
                  </m:r>
                </m:e>
              </m:d>
            </m:e>
          </m:d>
        </m:oMath>
      </m:oMathPara>
    </w:p>
    <w:p>
      <w:pPr>
        <w:spacing w:after="120"/>
        <w:jc w:val="both"/>
      </w:pPr>
      <w:r>
        <w:t xml:space="preserve">where </w:t>
      </w:r>
      <m:oMath>
        <m:r>
          <m:t>θ</m:t>
        </m:r>
        <m:r>
          <m:rPr>
            <m:sty m:val="p"/>
          </m:rPr>
          <m:t>=</m:t>
        </m:r>
        <m:d>
          <m:dPr>
            <m:begChr m:val="("/>
            <m:sepChr m:val=""/>
            <m:endChr m:val=")"/>
            <m:grow/>
          </m:dPr>
          <m:e>
            <m:r>
              <m:t>κ</m:t>
            </m:r>
            <m:r>
              <m:rPr>
                <m:sty m:val="p"/>
              </m:rPr>
              <m:t>,</m:t>
            </m:r>
            <m:sSub>
              <m:e>
                <m:r>
                  <m:t>n</m:t>
                </m:r>
              </m:e>
              <m:sub>
                <m:r>
                  <m:t>1</m:t>
                </m:r>
              </m:sub>
            </m:sSub>
            <m:r>
              <m:rPr>
                <m:sty m:val="p"/>
              </m:rPr>
              <m:t>,</m:t>
            </m:r>
            <m:sSub>
              <m:e>
                <m:r>
                  <m:t>n</m:t>
                </m:r>
              </m:e>
              <m:sub>
                <m:r>
                  <m:t>2</m:t>
                </m:r>
              </m:sub>
            </m:sSub>
            <m:r>
              <m:rPr>
                <m:sty m:val="p"/>
              </m:rPr>
              <m:t>,</m:t>
            </m:r>
            <m:sSub>
              <m:e>
                <m:r>
                  <m:t>Ω</m:t>
                </m:r>
              </m:e>
              <m:sub>
                <m:r>
                  <m:t>c</m:t>
                </m:r>
              </m:sub>
            </m:sSub>
          </m:e>
        </m:d>
      </m:oMath>
      <w:r>
        <w:t xml:space="preserve">, </w:t>
      </w:r>
      <m:oMath>
        <m:sSup>
          <m:e>
            <m:r>
              <m:t>d</m:t>
            </m:r>
          </m:e>
          <m:sup>
            <m:r>
              <m:rPr>
                <m:sty m:val="p"/>
              </m:rPr>
              <m:t>⋆</m:t>
            </m:r>
          </m:sup>
        </m:sSup>
      </m:oMath>
      <w:r>
        <w:t xml:space="preserve"> the correct decision, </w:t>
      </w:r>
      <m:oMath>
        <m:r>
          <m:t>U</m:t>
        </m:r>
        <m:d>
          <m:dPr>
            <m:begChr m:val="("/>
            <m:sepChr m:val=""/>
            <m:endChr m:val=")"/>
            <m:grow/>
          </m:dPr>
          <m:e>
            <m:r>
              <m:t>D</m:t>
            </m:r>
          </m:e>
        </m:d>
      </m:oMath>
      <w:r>
        <w:t xml:space="preserve"> the goal-oriented value and </w:t>
      </w:r>
      <m:oMath>
        <m:r>
          <m:t>I</m:t>
        </m:r>
        <m:d>
          <m:dPr>
            <m:begChr m:val="("/>
            <m:sepChr m:val=""/>
            <m:endChr m:val=")"/>
            <m:grow/>
          </m:dPr>
          <m:e>
            <m:r>
              <m:t>D</m:t>
            </m:r>
          </m:e>
        </m:d>
      </m:oMath>
      <w:r>
        <w:t xml:space="preserve"> the information gained about the rate law, the parameter-oriented value.</w:t>
      </w:r>
    </w:p>
    <w:p>
      <w:pPr>
        <w:pStyle w:val="Heading3"/>
      </w:pPr>
      <w:r>
        <w:rPr>
          <w:color w:val="1F3864"/>
        </w:rPr>
        <w:t xml:space="preserve">8.4 Result 1: non-equilibrium and nonlinearity change the answer</w:t>
      </w:r>
    </w:p>
    <w:p>
      <w:pPr>
        <w:keepNext/>
        <w:spacing w:after="60" w:before="120"/>
        <w:jc w:val="center"/>
      </w:pPr>
      <w:r>
        <w:drawing>
          <wp:inline distT="0" distB="0" distL="0" distR="0">
            <wp:extent cx="5762625" cy="1981200"/>
            <wp:effectExtent t="0" r="0" b="0" l="0"/>
            <wp:docPr id="1" name="Mixing corrosion as a function of the seawater fraction, rate laws with a kink, and dissolution in the mixing zone against the field rate prefactor" descr="Mixing corrosion as a function of the seawater fraction, rate laws with a kink, and dissolution in the mixing zone against the field rate prefactor" title="Mixing corrosion as a function of the seawater fraction, rate laws with a kink, and dissolution in the mixing zone against the field rate pref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981200"/>
                    </a:xfrm>
                    <a:prstGeom prst="rect">
                      <a:avLst/>
                    </a:prstGeom>
                  </pic:spPr>
                </pic:pic>
              </a:graphicData>
            </a:graphic>
          </wp:inline>
        </w:drawing>
      </w:r>
    </w:p>
    <w:p>
      <w:pPr>
        <w:spacing w:after="200"/>
        <w:jc w:val="both"/>
      </w:pPr>
      <w:r>
        <w:rPr>
          <w:b/>
          <w:bCs/>
          <w:color w:val="3A4350"/>
          <w:sz w:val="18"/>
          <w:szCs w:val="18"/>
        </w:rPr>
        <w:t xml:space="preserve">Figure 8.1.</w:t>
      </w:r>
      <w:r>
        <w:rPr>
          <w:color w:val="3A4350"/>
          <w:sz w:val="18"/>
          <w:szCs w:val="18"/>
        </w:rPr>
        <w:t xml:space="preserve"> (a) Calcite saturation ratio of mixtures of fresh groundwater and intruded seawater, both at calcite equilibrium, with the calcite that can dissolve in the inset. (b) Rate laws with a kink for three near-equilibrium orders, the linear law, the range of saturation in the mixing zone and the saturation ratios of the laboratory designs. (c) Calcite dissolved in the first kilometer of the mixing zone against the field rate prefactor: kinked laws (median and range over the other parameters), the linear law and local equilibrium.</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438"/>
        <w:gridCol w:w="3200"/>
      </w:tblGrid>
      <w:tr>
        <w:trPr>
          <w:cantSplit/>
          <w:tblHeader/>
        </w:trPr>
        <w:tc>
          <w:tcPr>
            <w:tcW w:type="dxa" w:w="6438"/>
            <w:shd w:fill="065F46" w:color="auto" w:val="clear"/>
            <w:tcMar>
              <w:top w:type="dxa" w:w="60"/>
              <w:left w:type="dxa" w:w="100"/>
              <w:bottom w:type="dxa" w:w="60"/>
              <w:right w:type="dxa" w:w="100"/>
            </w:tcMar>
            <w:vAlign w:val="top"/>
          </w:tcPr>
          <w:p>
            <w:r>
              <w:rPr>
                <w:b/>
                <w:bCs/>
                <w:color w:val="FFFFFF"/>
                <w:sz w:val="16"/>
                <w:szCs w:val="16"/>
              </w:rPr>
              <w:t xml:space="preserve">Comparison over the prior</w:t>
            </w:r>
          </w:p>
        </w:tc>
        <w:tc>
          <w:tcPr>
            <w:tcW w:type="dxa" w:w="3200"/>
            <w:shd w:fill="065F46" w:color="auto" w:val="clear"/>
            <w:tcMar>
              <w:top w:type="dxa" w:w="60"/>
              <w:left w:type="dxa" w:w="100"/>
              <w:bottom w:type="dxa" w:w="60"/>
              <w:right w:type="dxa" w:w="100"/>
            </w:tcMar>
            <w:vAlign w:val="top"/>
          </w:tcPr>
          <w:p>
            <w:r>
              <w:rPr>
                <w:b/>
                <w:bCs/>
                <w:color w:val="FFFFFF"/>
                <w:sz w:val="16"/>
                <w:szCs w:val="16"/>
              </w:rPr>
              <w:t xml:space="preserve">Value</w:t>
            </w:r>
          </w:p>
        </w:tc>
      </w:tr>
      <w:tr>
        <w:trPr>
          <w:cantSplit/>
        </w:trPr>
        <w:tc>
          <w:tcPr>
            <w:tcW w:type="dxa" w:w="6438"/>
            <w:tcMar>
              <w:top w:type="dxa" w:w="60"/>
              <w:left w:type="dxa" w:w="100"/>
              <w:bottom w:type="dxa" w:w="60"/>
              <w:right w:type="dxa" w:w="100"/>
            </w:tcMar>
            <w:vAlign w:val="top"/>
          </w:tcPr>
          <w:p>
            <w:r>
              <w:rPr>
                <w:sz w:val="16"/>
                <w:szCs w:val="16"/>
              </w:rPr>
              <w:t xml:space="preserve">Local equilibrium / kinetic truth, median</w:t>
            </w:r>
          </w:p>
        </w:tc>
        <w:tc>
          <w:tcPr>
            <w:tcW w:type="dxa" w:w="3200"/>
            <w:tcMar>
              <w:top w:type="dxa" w:w="60"/>
              <w:left w:type="dxa" w:w="100"/>
              <w:bottom w:type="dxa" w:w="60"/>
              <w:right w:type="dxa" w:w="100"/>
            </w:tcMar>
            <w:vAlign w:val="top"/>
          </w:tcPr>
          <w:p>
            <w:r>
              <w:rPr>
                <w:sz w:val="16"/>
                <w:szCs w:val="16"/>
              </w:rPr>
              <w:t xml:space="preserve">1.60 ×</w:t>
            </w:r>
          </w:p>
        </w:tc>
      </w:tr>
      <w:tr>
        <w:trPr>
          <w:cantSplit/>
        </w:trPr>
        <w:tc>
          <w:tcPr>
            <w:tcW w:type="dxa" w:w="6438"/>
            <w:shd w:fill="F7F9FC" w:color="auto" w:val="clear"/>
            <w:tcMar>
              <w:top w:type="dxa" w:w="60"/>
              <w:left w:type="dxa" w:w="100"/>
              <w:bottom w:type="dxa" w:w="60"/>
              <w:right w:type="dxa" w:w="100"/>
            </w:tcMar>
            <w:vAlign w:val="top"/>
          </w:tcPr>
          <w:p>
            <w:r>
              <w:rPr>
                <w:sz w:val="16"/>
                <w:szCs w:val="16"/>
              </w:rPr>
              <w:t xml:space="preserve">Local equilibrium / kinetic truth, 90th percentile</w:t>
            </w:r>
          </w:p>
        </w:tc>
        <w:tc>
          <w:tcPr>
            <w:tcW w:type="dxa" w:w="3200"/>
            <w:shd w:fill="F7F9FC" w:color="auto" w:val="clear"/>
            <w:tcMar>
              <w:top w:type="dxa" w:w="60"/>
              <w:left w:type="dxa" w:w="100"/>
              <w:bottom w:type="dxa" w:w="60"/>
              <w:right w:type="dxa" w:w="100"/>
            </w:tcMar>
            <w:vAlign w:val="top"/>
          </w:tcPr>
          <w:p>
            <w:r>
              <w:rPr>
                <w:sz w:val="16"/>
                <w:szCs w:val="16"/>
              </w:rPr>
              <w:t xml:space="preserve">29.3 ×</w:t>
            </w:r>
          </w:p>
        </w:tc>
      </w:tr>
      <w:tr>
        <w:trPr>
          <w:cantSplit/>
        </w:trPr>
        <w:tc>
          <w:tcPr>
            <w:tcW w:type="dxa" w:w="6438"/>
            <w:tcMar>
              <w:top w:type="dxa" w:w="60"/>
              <w:left w:type="dxa" w:w="100"/>
              <w:bottom w:type="dxa" w:w="60"/>
              <w:right w:type="dxa" w:w="100"/>
            </w:tcMar>
            <w:vAlign w:val="top"/>
          </w:tcPr>
          <w:p>
            <w:r>
              <w:rPr>
                <w:sz w:val="16"/>
                <w:szCs w:val="16"/>
              </w:rPr>
              <w:t xml:space="preserve">Local equilibrium / kinetic truth, largest</w:t>
            </w:r>
          </w:p>
        </w:tc>
        <w:tc>
          <w:tcPr>
            <w:tcW w:type="dxa" w:w="3200"/>
            <w:tcMar>
              <w:top w:type="dxa" w:w="60"/>
              <w:left w:type="dxa" w:w="100"/>
              <w:bottom w:type="dxa" w:w="60"/>
              <w:right w:type="dxa" w:w="100"/>
            </w:tcMar>
            <w:vAlign w:val="top"/>
          </w:tcPr>
          <w:p>
            <w:r>
              <w:rPr>
                <w:sz w:val="16"/>
                <w:szCs w:val="16"/>
              </w:rPr>
              <w:t xml:space="preserve">264 ×</w:t>
            </w:r>
          </w:p>
        </w:tc>
      </w:tr>
      <w:tr>
        <w:trPr>
          <w:cantSplit/>
        </w:trPr>
        <w:tc>
          <w:tcPr>
            <w:tcW w:type="dxa" w:w="6438"/>
            <w:shd w:fill="F7F9FC" w:color="auto" w:val="clear"/>
            <w:tcMar>
              <w:top w:type="dxa" w:w="60"/>
              <w:left w:type="dxa" w:w="100"/>
              <w:bottom w:type="dxa" w:w="60"/>
              <w:right w:type="dxa" w:w="100"/>
            </w:tcMar>
            <w:vAlign w:val="top"/>
          </w:tcPr>
          <w:p>
            <w:r>
              <w:rPr>
                <w:sz w:val="16"/>
                <w:szCs w:val="16"/>
              </w:rPr>
              <w:t xml:space="preserve">Share of the prior that is kinetically limited (G below half its local-equilibrium value)</w:t>
            </w:r>
          </w:p>
        </w:tc>
        <w:tc>
          <w:tcPr>
            <w:tcW w:type="dxa" w:w="3200"/>
            <w:shd w:fill="F7F9FC" w:color="auto" w:val="clear"/>
            <w:tcMar>
              <w:top w:type="dxa" w:w="60"/>
              <w:left w:type="dxa" w:w="100"/>
              <w:bottom w:type="dxa" w:w="60"/>
              <w:right w:type="dxa" w:w="100"/>
            </w:tcMar>
            <w:vAlign w:val="top"/>
          </w:tcPr>
          <w:p>
            <w:r>
              <w:rPr>
                <w:sz w:val="16"/>
                <w:szCs w:val="16"/>
              </w:rPr>
              <w:t xml:space="preserve">43.4%</w:t>
            </w:r>
          </w:p>
        </w:tc>
      </w:tr>
      <w:tr>
        <w:trPr>
          <w:cantSplit/>
        </w:trPr>
        <w:tc>
          <w:tcPr>
            <w:tcW w:type="dxa" w:w="6438"/>
            <w:tcMar>
              <w:top w:type="dxa" w:w="60"/>
              <w:left w:type="dxa" w:w="100"/>
              <w:bottom w:type="dxa" w:w="60"/>
              <w:right w:type="dxa" w:w="100"/>
            </w:tcMar>
            <w:vAlign w:val="top"/>
          </w:tcPr>
          <w:p>
            <w:r>
              <w:rPr>
                <w:sz w:val="16"/>
                <w:szCs w:val="16"/>
              </w:rPr>
              <w:t xml:space="preserve">Linear law / kinked law with the same prefactor, 10th–90th percentile</w:t>
            </w:r>
          </w:p>
        </w:tc>
        <w:tc>
          <w:tcPr>
            <w:tcW w:type="dxa" w:w="3200"/>
            <w:tcMar>
              <w:top w:type="dxa" w:w="60"/>
              <w:left w:type="dxa" w:w="100"/>
              <w:bottom w:type="dxa" w:w="60"/>
              <w:right w:type="dxa" w:w="100"/>
            </w:tcMar>
            <w:vAlign w:val="top"/>
          </w:tcPr>
          <w:p>
            <w:r>
              <w:rPr>
                <w:sz w:val="16"/>
                <w:szCs w:val="16"/>
              </w:rPr>
              <w:t xml:space="preserve">0.38 – 1.84 ×</w:t>
            </w:r>
          </w:p>
        </w:tc>
      </w:tr>
      <w:tr>
        <w:trPr>
          <w:cantSplit/>
        </w:trPr>
        <w:tc>
          <w:tcPr>
            <w:tcW w:type="dxa" w:w="6438"/>
            <w:shd w:fill="F7F9FC" w:color="auto" w:val="clear"/>
            <w:tcMar>
              <w:top w:type="dxa" w:w="60"/>
              <w:left w:type="dxa" w:w="100"/>
              <w:bottom w:type="dxa" w:w="60"/>
              <w:right w:type="dxa" w:w="100"/>
            </w:tcMar>
            <w:vAlign w:val="top"/>
          </w:tcPr>
          <w:p>
            <w:r>
              <w:rPr>
                <w:sz w:val="16"/>
                <w:szCs w:val="16"/>
              </w:rPr>
              <w:t xml:space="preserve">Share of the variance of log G explained by κ, n₁, Ωc and n₂</w:t>
            </w:r>
          </w:p>
        </w:tc>
        <w:tc>
          <w:tcPr>
            <w:tcW w:type="dxa" w:w="3200"/>
            <w:shd w:fill="F7F9FC" w:color="auto" w:val="clear"/>
            <w:tcMar>
              <w:top w:type="dxa" w:w="60"/>
              <w:left w:type="dxa" w:w="100"/>
              <w:bottom w:type="dxa" w:w="60"/>
              <w:right w:type="dxa" w:w="100"/>
            </w:tcMar>
            <w:vAlign w:val="top"/>
          </w:tcPr>
          <w:p>
            <w:r>
              <w:rPr>
                <w:sz w:val="16"/>
                <w:szCs w:val="16"/>
              </w:rPr>
              <w:t xml:space="preserve">78%, 6.5%, 3.5%, 0.8%</w:t>
            </w:r>
          </w:p>
        </w:tc>
      </w:tr>
    </w:tbl>
    <w:p>
      <w:pPr>
        <w:spacing w:after="160"/>
      </w:pPr>
    </w:p>
    <w:p>
      <w:pPr>
        <w:pStyle w:val="ListParagraph"/>
        <w:numPr>
          <w:ilvl w:val="0"/>
          <w:numId w:val="2"/>
        </w:numPr>
        <w:spacing w:after="60"/>
        <w:jc w:val="both"/>
      </w:pPr>
      <w:r>
        <w:rPr>
          <w:b/>
          <w:bCs/>
        </w:rPr>
        <w:t xml:space="preserve">Equilibrium is an upper bound, and often a poor one.</w:t>
      </w:r>
      <w:r>
        <w:t xml:space="preserve"> The local-equilibrium model overestimates the dissolution by a median factor of 1.60, by more than 29.3 times in a tenth of the prior and by up to 264 times; in 43.4% of the prior the mixing zone is kinetically limited.</w:t>
      </w:r>
    </w:p>
    <w:p>
      <w:pPr>
        <w:pStyle w:val="ListParagraph"/>
        <w:numPr>
          <w:ilvl w:val="0"/>
          <w:numId w:val="2"/>
        </w:numPr>
        <w:spacing w:after="60"/>
        <w:jc w:val="both"/>
      </w:pPr>
      <w:r>
        <w:rPr>
          <w:b/>
          <w:bCs/>
        </w:rPr>
        <w:t xml:space="preserve">The shape of the rate law matters near equilibrium.</w:t>
      </w:r>
      <w:r>
        <w:t xml:space="preserve"> With the same prefactor, the linear law gives between 0.38 and 1.84 times the dissolution of the kinked law (10th to 90th percentile), because the mixing zone lives at saturation ratios between 0.58 and 1, where the order </w:t>
      </w:r>
      <m:oMath>
        <m:sSub>
          <m:e>
            <m:r>
              <m:t>n</m:t>
            </m:r>
          </m:e>
          <m:sub>
            <m:r>
              <m:t>1</m:t>
            </m:r>
          </m:sub>
        </m:sSub>
      </m:oMath>
      <w:r>
        <w:t xml:space="preserve"> decides how fast the rate vanishes.</w:t>
      </w:r>
    </w:p>
    <w:p>
      <w:pPr>
        <w:pStyle w:val="ListParagraph"/>
        <w:numPr>
          <w:ilvl w:val="0"/>
          <w:numId w:val="2"/>
        </w:numPr>
        <w:spacing w:after="60"/>
        <w:jc w:val="both"/>
      </w:pPr>
      <w:r>
        <w:rPr>
          <w:b/>
          <w:bCs/>
        </w:rPr>
        <w:t xml:space="preserve">The field prefactor dominates.</w:t>
      </w:r>
      <w:r>
        <w:t xml:space="preserve"> It explains 78% of the variance of </w:t>
      </w:r>
      <m:oMath>
        <m:r>
          <m:rPr>
            <m:sty m:val="p"/>
          </m:rPr>
          <m:t>log</m:t>
        </m:r>
        <m:r>
          <m:t>G</m:t>
        </m:r>
      </m:oMath>
      <w:r>
        <w:t xml:space="preserve">; the near-equilibrium order explains 6.5%, the critical saturation 3.5% and the far-from-equilibrium order only 0.8%, because the mixing zone hardly reaches the far branch.</w:t>
      </w:r>
    </w:p>
    <w:p>
      <w:pPr>
        <w:pStyle w:val="Heading3"/>
      </w:pPr>
      <w:r>
        <w:rPr>
          <w:color w:val="1F3864"/>
        </w:rPr>
        <w:t xml:space="preserve">8.5 Result 2: the parameters and the goal disagree</w:t>
      </w:r>
    </w:p>
    <w:p>
      <w:pPr>
        <w:keepNext/>
        <w:spacing w:after="60" w:before="120"/>
        <w:jc w:val="center"/>
      </w:pPr>
      <w:r>
        <w:drawing>
          <wp:inline distT="0" distB="0" distL="0" distR="0">
            <wp:extent cx="5762625" cy="2038350"/>
            <wp:effectExtent t="0" r="0" b="0" l="0"/>
            <wp:docPr id="1" name="Correct decisions on the equilibrium question, information about the rate law, and the effect of the precision of the field data" descr="Correct decisions on the equilibrium question, information about the rate law, and the effect of the precision of the field data" title="Correct decisions on the equilibrium question, information about the rate law, and the effect of the precision of the fiel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038350"/>
                    </a:xfrm>
                    <a:prstGeom prst="rect">
                      <a:avLst/>
                    </a:prstGeom>
                  </pic:spPr>
                </pic:pic>
              </a:graphicData>
            </a:graphic>
          </wp:inline>
        </w:drawing>
      </w:r>
    </w:p>
    <w:p>
      <w:pPr>
        <w:spacing w:after="200"/>
        <w:jc w:val="both"/>
      </w:pPr>
      <w:r>
        <w:rPr>
          <w:b/>
          <w:bCs/>
          <w:color w:val="3A4350"/>
          <w:sz w:val="18"/>
          <w:szCs w:val="18"/>
        </w:rPr>
        <w:t xml:space="preserve">Figure 8.2.</w:t>
      </w:r>
      <w:r>
        <w:rPr>
          <w:color w:val="3A4350"/>
          <w:sz w:val="18"/>
          <w:szCs w:val="18"/>
        </w:rPr>
        <w:t xml:space="preserve"> (a) Correct decisions on whether the local-equilibrium model is adequate, by design; the dotted line is the decision without data. (b) Information gained about the rate law. (c) Correct decisions against the error of the field calcium excess, for the well alone and with near-equilibrium laboratory rates.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038"/>
        <w:gridCol w:w="2200"/>
        <w:gridCol w:w="2200"/>
        <w:gridCol w:w="2200"/>
      </w:tblGrid>
      <w:tr>
        <w:trPr>
          <w:cantSplit/>
          <w:tblHeader/>
        </w:trPr>
        <w:tc>
          <w:tcPr>
            <w:tcW w:type="dxa" w:w="3038"/>
            <w:shd w:fill="065F46" w:color="auto" w:val="clear"/>
            <w:tcMar>
              <w:top w:type="dxa" w:w="60"/>
              <w:left w:type="dxa" w:w="100"/>
              <w:bottom w:type="dxa" w:w="60"/>
              <w:right w:type="dxa" w:w="100"/>
            </w:tcMar>
            <w:vAlign w:val="top"/>
          </w:tcPr>
          <w:p>
            <w:r>
              <w:rPr>
                <w:b/>
                <w:bCs/>
                <w:color w:val="FFFFFF"/>
                <w:sz w:val="16"/>
                <w:szCs w:val="16"/>
              </w:rPr>
              <w:t xml:space="preserve">Design</w:t>
            </w:r>
          </w:p>
        </w:tc>
        <w:tc>
          <w:tcPr>
            <w:tcW w:type="dxa" w:w="2200"/>
            <w:shd w:fill="065F46" w:color="auto" w:val="clear"/>
            <w:tcMar>
              <w:top w:type="dxa" w:w="60"/>
              <w:left w:type="dxa" w:w="100"/>
              <w:bottom w:type="dxa" w:w="60"/>
              <w:right w:type="dxa" w:w="100"/>
            </w:tcMar>
            <w:vAlign w:val="top"/>
          </w:tcPr>
          <w:p>
            <w:r>
              <w:rPr>
                <w:b/>
                <w:bCs/>
                <w:color w:val="FFFFFF"/>
                <w:sz w:val="16"/>
                <w:szCs w:val="16"/>
              </w:rPr>
              <w:t xml:space="preserve">Correct decisions, %</w:t>
            </w:r>
          </w:p>
        </w:tc>
        <w:tc>
          <w:tcPr>
            <w:tcW w:type="dxa" w:w="2200"/>
            <w:shd w:fill="065F46" w:color="auto" w:val="clear"/>
            <w:tcMar>
              <w:top w:type="dxa" w:w="60"/>
              <w:left w:type="dxa" w:w="100"/>
              <w:bottom w:type="dxa" w:w="60"/>
              <w:right w:type="dxa" w:w="100"/>
            </w:tcMar>
            <w:vAlign w:val="top"/>
          </w:tcPr>
          <w:p>
            <w:r>
              <w:rPr>
                <w:b/>
                <w:bCs/>
                <w:color w:val="FFFFFF"/>
                <w:sz w:val="16"/>
                <w:szCs w:val="16"/>
              </w:rPr>
              <w:t xml:space="preserve">Posterior SD of log₁₀ G</w:t>
            </w:r>
          </w:p>
        </w:tc>
        <w:tc>
          <w:tcPr>
            <w:tcW w:type="dxa" w:w="2200"/>
            <w:shd w:fill="065F46" w:color="auto" w:val="clear"/>
            <w:tcMar>
              <w:top w:type="dxa" w:w="60"/>
              <w:left w:type="dxa" w:w="100"/>
              <w:bottom w:type="dxa" w:w="60"/>
              <w:right w:type="dxa" w:w="100"/>
            </w:tcMar>
            <w:vAlign w:val="top"/>
          </w:tcPr>
          <w:p>
            <w:r>
              <w:rPr>
                <w:b/>
                <w:bCs/>
                <w:color w:val="FFFFFF"/>
                <w:sz w:val="16"/>
                <w:szCs w:val="16"/>
              </w:rPr>
              <w:t xml:space="preserve">Information about the rate law, nats</w:t>
            </w:r>
          </w:p>
        </w:tc>
      </w:tr>
      <w:tr>
        <w:trPr>
          <w:cantSplit/>
        </w:trPr>
        <w:tc>
          <w:tcPr>
            <w:tcW w:type="dxa" w:w="3038"/>
            <w:tcMar>
              <w:top w:type="dxa" w:w="60"/>
              <w:left w:type="dxa" w:w="100"/>
              <w:bottom w:type="dxa" w:w="60"/>
              <w:right w:type="dxa" w:w="100"/>
            </w:tcMar>
            <w:vAlign w:val="top"/>
          </w:tcPr>
          <w:p>
            <w:r>
              <w:rPr>
                <w:sz w:val="16"/>
                <w:szCs w:val="16"/>
              </w:rPr>
              <w:t xml:space="preserve">no data (prior)</w:t>
            </w:r>
          </w:p>
        </w:tc>
        <w:tc>
          <w:tcPr>
            <w:tcW w:type="dxa" w:w="2200"/>
            <w:tcMar>
              <w:top w:type="dxa" w:w="60"/>
              <w:left w:type="dxa" w:w="100"/>
              <w:bottom w:type="dxa" w:w="60"/>
              <w:right w:type="dxa" w:w="100"/>
            </w:tcMar>
            <w:vAlign w:val="top"/>
          </w:tcPr>
          <w:p>
            <w:r>
              <w:rPr>
                <w:sz w:val="16"/>
                <w:szCs w:val="16"/>
              </w:rPr>
              <w:t xml:space="preserve">59.2</w:t>
            </w:r>
          </w:p>
        </w:tc>
        <w:tc>
          <w:tcPr>
            <w:tcW w:type="dxa" w:w="2200"/>
            <w:tcMar>
              <w:top w:type="dxa" w:w="60"/>
              <w:left w:type="dxa" w:w="100"/>
              <w:bottom w:type="dxa" w:w="60"/>
              <w:right w:type="dxa" w:w="100"/>
            </w:tcMar>
            <w:vAlign w:val="top"/>
          </w:tcPr>
          <w:p>
            <w:r>
              <w:rPr>
                <w:sz w:val="16"/>
                <w:szCs w:val="16"/>
              </w:rPr>
              <w:t xml:space="preserve">0.60</w:t>
            </w:r>
          </w:p>
        </w:tc>
        <w:tc>
          <w:tcPr>
            <w:tcW w:type="dxa" w:w="2200"/>
            <w:tcMar>
              <w:top w:type="dxa" w:w="60"/>
              <w:left w:type="dxa" w:w="100"/>
              <w:bottom w:type="dxa" w:w="60"/>
              <w:right w:type="dxa" w:w="100"/>
            </w:tcMar>
            <w:vAlign w:val="top"/>
          </w:tcPr>
          <w:p>
            <w:r>
              <w:rPr>
                <w:sz w:val="16"/>
                <w:szCs w:val="16"/>
              </w:rPr>
              <w:t xml:space="preserve">0</w:t>
            </w:r>
          </w:p>
        </w:tc>
      </w:tr>
      <w:tr>
        <w:trPr>
          <w:cantSplit/>
        </w:trPr>
        <w:tc>
          <w:tcPr>
            <w:tcW w:type="dxa" w:w="3038"/>
            <w:shd w:fill="F7F9FC" w:color="auto" w:val="clear"/>
            <w:tcMar>
              <w:top w:type="dxa" w:w="60"/>
              <w:left w:type="dxa" w:w="100"/>
              <w:bottom w:type="dxa" w:w="60"/>
              <w:right w:type="dxa" w:w="100"/>
            </w:tcMar>
            <w:vAlign w:val="top"/>
          </w:tcPr>
          <w:p>
            <w:r>
              <w:rPr>
                <w:sz w:val="16"/>
                <w:szCs w:val="16"/>
              </w:rPr>
              <w:t xml:space="preserve">lab far from equilibrium</w:t>
            </w:r>
          </w:p>
        </w:tc>
        <w:tc>
          <w:tcPr>
            <w:tcW w:type="dxa" w:w="2200"/>
            <w:shd w:fill="F7F9FC" w:color="auto" w:val="clear"/>
            <w:tcMar>
              <w:top w:type="dxa" w:w="60"/>
              <w:left w:type="dxa" w:w="100"/>
              <w:bottom w:type="dxa" w:w="60"/>
              <w:right w:type="dxa" w:w="100"/>
            </w:tcMar>
            <w:vAlign w:val="top"/>
          </w:tcPr>
          <w:p>
            <w:r>
              <w:rPr>
                <w:sz w:val="16"/>
                <w:szCs w:val="16"/>
              </w:rPr>
              <w:t xml:space="preserve">59.2</w:t>
            </w:r>
          </w:p>
        </w:tc>
        <w:tc>
          <w:tcPr>
            <w:tcW w:type="dxa" w:w="2200"/>
            <w:shd w:fill="F7F9FC" w:color="auto" w:val="clear"/>
            <w:tcMar>
              <w:top w:type="dxa" w:w="60"/>
              <w:left w:type="dxa" w:w="100"/>
              <w:bottom w:type="dxa" w:w="60"/>
              <w:right w:type="dxa" w:w="100"/>
            </w:tcMar>
            <w:vAlign w:val="top"/>
          </w:tcPr>
          <w:p>
            <w:r>
              <w:rPr>
                <w:sz w:val="16"/>
                <w:szCs w:val="16"/>
              </w:rPr>
              <w:t xml:space="preserve">0.60</w:t>
            </w:r>
          </w:p>
        </w:tc>
        <w:tc>
          <w:tcPr>
            <w:tcW w:type="dxa" w:w="2200"/>
            <w:shd w:fill="F7F9FC" w:color="auto" w:val="clear"/>
            <w:tcMar>
              <w:top w:type="dxa" w:w="60"/>
              <w:left w:type="dxa" w:w="100"/>
              <w:bottom w:type="dxa" w:w="60"/>
              <w:right w:type="dxa" w:w="100"/>
            </w:tcMar>
            <w:vAlign w:val="top"/>
          </w:tcPr>
          <w:p>
            <w:r>
              <w:rPr>
                <w:sz w:val="16"/>
                <w:szCs w:val="16"/>
              </w:rPr>
              <w:t xml:space="preserve">0.92</w:t>
            </w:r>
          </w:p>
        </w:tc>
      </w:tr>
      <w:tr>
        <w:trPr>
          <w:cantSplit/>
        </w:trPr>
        <w:tc>
          <w:tcPr>
            <w:tcW w:type="dxa" w:w="3038"/>
            <w:tcMar>
              <w:top w:type="dxa" w:w="60"/>
              <w:left w:type="dxa" w:w="100"/>
              <w:bottom w:type="dxa" w:w="60"/>
              <w:right w:type="dxa" w:w="100"/>
            </w:tcMar>
            <w:vAlign w:val="top"/>
          </w:tcPr>
          <w:p>
            <w:r>
              <w:rPr>
                <w:sz w:val="16"/>
                <w:szCs w:val="16"/>
              </w:rPr>
              <w:t xml:space="preserve">lab near equilibrium</w:t>
            </w:r>
          </w:p>
        </w:tc>
        <w:tc>
          <w:tcPr>
            <w:tcW w:type="dxa" w:w="2200"/>
            <w:tcMar>
              <w:top w:type="dxa" w:w="60"/>
              <w:left w:type="dxa" w:w="100"/>
              <w:bottom w:type="dxa" w:w="60"/>
              <w:right w:type="dxa" w:w="100"/>
            </w:tcMar>
            <w:vAlign w:val="top"/>
          </w:tcPr>
          <w:p>
            <w:r>
              <w:rPr>
                <w:sz w:val="16"/>
                <w:szCs w:val="16"/>
              </w:rPr>
              <w:t xml:space="preserve">61.0</w:t>
            </w:r>
          </w:p>
        </w:tc>
        <w:tc>
          <w:tcPr>
            <w:tcW w:type="dxa" w:w="2200"/>
            <w:tcMar>
              <w:top w:type="dxa" w:w="60"/>
              <w:left w:type="dxa" w:w="100"/>
              <w:bottom w:type="dxa" w:w="60"/>
              <w:right w:type="dxa" w:w="100"/>
            </w:tcMar>
            <w:vAlign w:val="top"/>
          </w:tcPr>
          <w:p>
            <w:r>
              <w:rPr>
                <w:sz w:val="16"/>
                <w:szCs w:val="16"/>
              </w:rPr>
              <w:t xml:space="preserve">0.54</w:t>
            </w:r>
          </w:p>
        </w:tc>
        <w:tc>
          <w:tcPr>
            <w:tcW w:type="dxa" w:w="2200"/>
            <w:tcMar>
              <w:top w:type="dxa" w:w="60"/>
              <w:left w:type="dxa" w:w="100"/>
              <w:bottom w:type="dxa" w:w="60"/>
              <w:right w:type="dxa" w:w="100"/>
            </w:tcMar>
            <w:vAlign w:val="top"/>
          </w:tcPr>
          <w:p>
            <w:r>
              <w:rPr>
                <w:sz w:val="16"/>
                <w:szCs w:val="16"/>
              </w:rPr>
              <w:t xml:space="preserve">3.10</w:t>
            </w:r>
          </w:p>
        </w:tc>
      </w:tr>
      <w:tr>
        <w:trPr>
          <w:cantSplit/>
        </w:trPr>
        <w:tc>
          <w:tcPr>
            <w:tcW w:type="dxa" w:w="3038"/>
            <w:shd w:fill="F7F9FC" w:color="auto" w:val="clear"/>
            <w:tcMar>
              <w:top w:type="dxa" w:w="60"/>
              <w:left w:type="dxa" w:w="100"/>
              <w:bottom w:type="dxa" w:w="60"/>
              <w:right w:type="dxa" w:w="100"/>
            </w:tcMar>
            <w:vAlign w:val="top"/>
          </w:tcPr>
          <w:p>
            <w:r>
              <w:rPr>
                <w:sz w:val="16"/>
                <w:szCs w:val="16"/>
              </w:rPr>
              <w:t xml:space="preserve">lab spread</w:t>
            </w:r>
          </w:p>
        </w:tc>
        <w:tc>
          <w:tcPr>
            <w:tcW w:type="dxa" w:w="2200"/>
            <w:shd w:fill="F7F9FC" w:color="auto" w:val="clear"/>
            <w:tcMar>
              <w:top w:type="dxa" w:w="60"/>
              <w:left w:type="dxa" w:w="100"/>
              <w:bottom w:type="dxa" w:w="60"/>
              <w:right w:type="dxa" w:w="100"/>
            </w:tcMar>
            <w:vAlign w:val="top"/>
          </w:tcPr>
          <w:p>
            <w:r>
              <w:rPr>
                <w:sz w:val="16"/>
                <w:szCs w:val="16"/>
              </w:rPr>
              <w:t xml:space="preserve">61.6</w:t>
            </w:r>
          </w:p>
        </w:tc>
        <w:tc>
          <w:tcPr>
            <w:tcW w:type="dxa" w:w="2200"/>
            <w:shd w:fill="F7F9FC" w:color="auto" w:val="clear"/>
            <w:tcMar>
              <w:top w:type="dxa" w:w="60"/>
              <w:left w:type="dxa" w:w="100"/>
              <w:bottom w:type="dxa" w:w="60"/>
              <w:right w:type="dxa" w:w="100"/>
            </w:tcMar>
            <w:vAlign w:val="top"/>
          </w:tcPr>
          <w:p>
            <w:r>
              <w:rPr>
                <w:sz w:val="16"/>
                <w:szCs w:val="16"/>
              </w:rPr>
              <w:t xml:space="preserve">0.54</w:t>
            </w:r>
          </w:p>
        </w:tc>
        <w:tc>
          <w:tcPr>
            <w:tcW w:type="dxa" w:w="2200"/>
            <w:shd w:fill="F7F9FC" w:color="auto" w:val="clear"/>
            <w:tcMar>
              <w:top w:type="dxa" w:w="60"/>
              <w:left w:type="dxa" w:w="100"/>
              <w:bottom w:type="dxa" w:w="60"/>
              <w:right w:type="dxa" w:w="100"/>
            </w:tcMar>
            <w:vAlign w:val="top"/>
          </w:tcPr>
          <w:p>
            <w:r>
              <w:rPr>
                <w:sz w:val="16"/>
                <w:szCs w:val="16"/>
              </w:rPr>
              <w:t xml:space="preserve">4.17</w:t>
            </w:r>
          </w:p>
        </w:tc>
      </w:tr>
      <w:tr>
        <w:trPr>
          <w:cantSplit/>
        </w:trPr>
        <w:tc>
          <w:tcPr>
            <w:tcW w:type="dxa" w:w="3038"/>
            <w:tcMar>
              <w:top w:type="dxa" w:w="60"/>
              <w:left w:type="dxa" w:w="100"/>
              <w:bottom w:type="dxa" w:w="60"/>
              <w:right w:type="dxa" w:w="100"/>
            </w:tcMar>
            <w:vAlign w:val="top"/>
          </w:tcPr>
          <w:p>
            <w:r>
              <w:rPr>
                <w:sz w:val="16"/>
                <w:szCs w:val="16"/>
              </w:rPr>
              <w:t xml:space="preserve">field well</w:t>
            </w:r>
          </w:p>
        </w:tc>
        <w:tc>
          <w:tcPr>
            <w:tcW w:type="dxa" w:w="2200"/>
            <w:tcMar>
              <w:top w:type="dxa" w:w="60"/>
              <w:left w:type="dxa" w:w="100"/>
              <w:bottom w:type="dxa" w:w="60"/>
              <w:right w:type="dxa" w:w="100"/>
            </w:tcMar>
            <w:vAlign w:val="top"/>
          </w:tcPr>
          <w:p>
            <w:r>
              <w:rPr>
                <w:sz w:val="16"/>
                <w:szCs w:val="16"/>
              </w:rPr>
              <w:t xml:space="preserve">95.1</w:t>
            </w:r>
          </w:p>
        </w:tc>
        <w:tc>
          <w:tcPr>
            <w:tcW w:type="dxa" w:w="2200"/>
            <w:tcMar>
              <w:top w:type="dxa" w:w="60"/>
              <w:left w:type="dxa" w:w="100"/>
              <w:bottom w:type="dxa" w:w="60"/>
              <w:right w:type="dxa" w:w="100"/>
            </w:tcMar>
            <w:vAlign w:val="top"/>
          </w:tcPr>
          <w:p>
            <w:r>
              <w:rPr>
                <w:sz w:val="16"/>
                <w:szCs w:val="16"/>
              </w:rPr>
              <w:t xml:space="preserve">0.19</w:t>
            </w:r>
          </w:p>
        </w:tc>
        <w:tc>
          <w:tcPr>
            <w:tcW w:type="dxa" w:w="2200"/>
            <w:tcMar>
              <w:top w:type="dxa" w:w="60"/>
              <w:left w:type="dxa" w:w="100"/>
              <w:bottom w:type="dxa" w:w="60"/>
              <w:right w:type="dxa" w:w="100"/>
            </w:tcMar>
            <w:vAlign w:val="top"/>
          </w:tcPr>
          <w:p>
            <w:r>
              <w:rPr>
                <w:sz w:val="16"/>
                <w:szCs w:val="16"/>
              </w:rPr>
              <w:t xml:space="preserve">1.22</w:t>
            </w:r>
          </w:p>
        </w:tc>
      </w:tr>
      <w:tr>
        <w:trPr>
          <w:cantSplit/>
        </w:trPr>
        <w:tc>
          <w:tcPr>
            <w:tcW w:type="dxa" w:w="3038"/>
            <w:shd w:fill="F7F9FC" w:color="auto" w:val="clear"/>
            <w:tcMar>
              <w:top w:type="dxa" w:w="60"/>
              <w:left w:type="dxa" w:w="100"/>
              <w:bottom w:type="dxa" w:w="60"/>
              <w:right w:type="dxa" w:w="100"/>
            </w:tcMar>
            <w:vAlign w:val="top"/>
          </w:tcPr>
          <w:p>
            <w:r>
              <w:rPr>
                <w:sz w:val="16"/>
                <w:szCs w:val="16"/>
              </w:rPr>
              <w:t xml:space="preserve">well + lab far</w:t>
            </w:r>
          </w:p>
        </w:tc>
        <w:tc>
          <w:tcPr>
            <w:tcW w:type="dxa" w:w="2200"/>
            <w:shd w:fill="F7F9FC" w:color="auto" w:val="clear"/>
            <w:tcMar>
              <w:top w:type="dxa" w:w="60"/>
              <w:left w:type="dxa" w:w="100"/>
              <w:bottom w:type="dxa" w:w="60"/>
              <w:right w:type="dxa" w:w="100"/>
            </w:tcMar>
            <w:vAlign w:val="top"/>
          </w:tcPr>
          <w:p>
            <w:r>
              <w:rPr>
                <w:sz w:val="16"/>
                <w:szCs w:val="16"/>
              </w:rPr>
              <w:t xml:space="preserve">95.2</w:t>
            </w:r>
          </w:p>
        </w:tc>
        <w:tc>
          <w:tcPr>
            <w:tcW w:type="dxa" w:w="2200"/>
            <w:shd w:fill="F7F9FC" w:color="auto" w:val="clear"/>
            <w:tcMar>
              <w:top w:type="dxa" w:w="60"/>
              <w:left w:type="dxa" w:w="100"/>
              <w:bottom w:type="dxa" w:w="60"/>
              <w:right w:type="dxa" w:w="100"/>
            </w:tcMar>
            <w:vAlign w:val="top"/>
          </w:tcPr>
          <w:p>
            <w:r>
              <w:rPr>
                <w:sz w:val="16"/>
                <w:szCs w:val="16"/>
              </w:rPr>
              <w:t xml:space="preserve">0.19</w:t>
            </w:r>
          </w:p>
        </w:tc>
        <w:tc>
          <w:tcPr>
            <w:tcW w:type="dxa" w:w="2200"/>
            <w:shd w:fill="F7F9FC" w:color="auto" w:val="clear"/>
            <w:tcMar>
              <w:top w:type="dxa" w:w="60"/>
              <w:left w:type="dxa" w:w="100"/>
              <w:bottom w:type="dxa" w:w="60"/>
              <w:right w:type="dxa" w:w="100"/>
            </w:tcMar>
            <w:vAlign w:val="top"/>
          </w:tcPr>
          <w:p>
            <w:r>
              <w:rPr>
                <w:sz w:val="16"/>
                <w:szCs w:val="16"/>
              </w:rPr>
              <w:t xml:space="preserve">2.13</w:t>
            </w:r>
          </w:p>
        </w:tc>
      </w:tr>
      <w:tr>
        <w:trPr>
          <w:cantSplit/>
        </w:trPr>
        <w:tc>
          <w:tcPr>
            <w:tcW w:type="dxa" w:w="3038"/>
            <w:tcMar>
              <w:top w:type="dxa" w:w="60"/>
              <w:left w:type="dxa" w:w="100"/>
              <w:bottom w:type="dxa" w:w="60"/>
              <w:right w:type="dxa" w:w="100"/>
            </w:tcMar>
            <w:vAlign w:val="top"/>
          </w:tcPr>
          <w:p>
            <w:r>
              <w:rPr>
                <w:sz w:val="16"/>
                <w:szCs w:val="16"/>
              </w:rPr>
              <w:t xml:space="preserve">well + lab near</w:t>
            </w:r>
          </w:p>
        </w:tc>
        <w:tc>
          <w:tcPr>
            <w:tcW w:type="dxa" w:w="2200"/>
            <w:tcMar>
              <w:top w:type="dxa" w:w="60"/>
              <w:left w:type="dxa" w:w="100"/>
              <w:bottom w:type="dxa" w:w="60"/>
              <w:right w:type="dxa" w:w="100"/>
            </w:tcMar>
            <w:vAlign w:val="top"/>
          </w:tcPr>
          <w:p>
            <w:r>
              <w:rPr>
                <w:sz w:val="16"/>
                <w:szCs w:val="16"/>
              </w:rPr>
              <w:t xml:space="preserve">95.9</w:t>
            </w:r>
          </w:p>
        </w:tc>
        <w:tc>
          <w:tcPr>
            <w:tcW w:type="dxa" w:w="2200"/>
            <w:tcMar>
              <w:top w:type="dxa" w:w="60"/>
              <w:left w:type="dxa" w:w="100"/>
              <w:bottom w:type="dxa" w:w="60"/>
              <w:right w:type="dxa" w:w="100"/>
            </w:tcMar>
            <w:vAlign w:val="top"/>
          </w:tcPr>
          <w:p>
            <w:r>
              <w:rPr>
                <w:sz w:val="16"/>
                <w:szCs w:val="16"/>
              </w:rPr>
              <w:t xml:space="preserve">0.17</w:t>
            </w:r>
          </w:p>
        </w:tc>
        <w:tc>
          <w:tcPr>
            <w:tcW w:type="dxa" w:w="2200"/>
            <w:tcMar>
              <w:top w:type="dxa" w:w="60"/>
              <w:left w:type="dxa" w:w="100"/>
              <w:bottom w:type="dxa" w:w="60"/>
              <w:right w:type="dxa" w:w="100"/>
            </w:tcMar>
            <w:vAlign w:val="top"/>
          </w:tcPr>
          <w:p>
            <w:r>
              <w:rPr>
                <w:sz w:val="16"/>
                <w:szCs w:val="16"/>
              </w:rPr>
              <w:t xml:space="preserve">4.23</w:t>
            </w:r>
          </w:p>
        </w:tc>
      </w:tr>
      <w:tr>
        <w:trPr>
          <w:cantSplit/>
        </w:trPr>
        <w:tc>
          <w:tcPr>
            <w:tcW w:type="dxa" w:w="3038"/>
            <w:shd w:fill="F7F9FC" w:color="auto" w:val="clear"/>
            <w:tcMar>
              <w:top w:type="dxa" w:w="60"/>
              <w:left w:type="dxa" w:w="100"/>
              <w:bottom w:type="dxa" w:w="60"/>
              <w:right w:type="dxa" w:w="100"/>
            </w:tcMar>
            <w:vAlign w:val="top"/>
          </w:tcPr>
          <w:p>
            <w:r>
              <w:rPr>
                <w:sz w:val="16"/>
                <w:szCs w:val="16"/>
              </w:rPr>
              <w:t xml:space="preserve">well + lab spread</w:t>
            </w:r>
          </w:p>
        </w:tc>
        <w:tc>
          <w:tcPr>
            <w:tcW w:type="dxa" w:w="2200"/>
            <w:shd w:fill="F7F9FC" w:color="auto" w:val="clear"/>
            <w:tcMar>
              <w:top w:type="dxa" w:w="60"/>
              <w:left w:type="dxa" w:w="100"/>
              <w:bottom w:type="dxa" w:w="60"/>
              <w:right w:type="dxa" w:w="100"/>
            </w:tcMar>
            <w:vAlign w:val="top"/>
          </w:tcPr>
          <w:p>
            <w:r>
              <w:rPr>
                <w:sz w:val="16"/>
                <w:szCs w:val="16"/>
              </w:rPr>
              <w:t xml:space="preserve">96.0</w:t>
            </w:r>
          </w:p>
        </w:tc>
        <w:tc>
          <w:tcPr>
            <w:tcW w:type="dxa" w:w="2200"/>
            <w:shd w:fill="F7F9FC" w:color="auto" w:val="clear"/>
            <w:tcMar>
              <w:top w:type="dxa" w:w="60"/>
              <w:left w:type="dxa" w:w="100"/>
              <w:bottom w:type="dxa" w:w="60"/>
              <w:right w:type="dxa" w:w="100"/>
            </w:tcMar>
            <w:vAlign w:val="top"/>
          </w:tcPr>
          <w:p>
            <w:r>
              <w:rPr>
                <w:sz w:val="16"/>
                <w:szCs w:val="16"/>
              </w:rPr>
              <w:t xml:space="preserve">0.17</w:t>
            </w:r>
          </w:p>
        </w:tc>
        <w:tc>
          <w:tcPr>
            <w:tcW w:type="dxa" w:w="2200"/>
            <w:shd w:fill="F7F9FC" w:color="auto" w:val="clear"/>
            <w:tcMar>
              <w:top w:type="dxa" w:w="60"/>
              <w:left w:type="dxa" w:w="100"/>
              <w:bottom w:type="dxa" w:w="60"/>
              <w:right w:type="dxa" w:w="100"/>
            </w:tcMar>
            <w:vAlign w:val="top"/>
          </w:tcPr>
          <w:p>
            <w:r>
              <w:rPr>
                <w:sz w:val="16"/>
                <w:szCs w:val="16"/>
              </w:rPr>
              <w:t xml:space="preserve">5.29</w:t>
            </w:r>
          </w:p>
        </w:tc>
      </w:tr>
    </w:tbl>
    <w:p>
      <w:pPr>
        <w:spacing w:after="160"/>
      </w:pPr>
    </w:p>
    <w:p>
      <w:pPr>
        <w:spacing w:after="120"/>
        <w:jc w:val="both"/>
      </w:pPr>
      <w:r>
        <w:t xml:space="preserve">Field error 0.02 mmol/L; 20 noisy data sets for each prior parameter set.</w:t>
      </w:r>
    </w:p>
    <w:p>
      <w:pPr>
        <w:pStyle w:val="ListParagraph"/>
        <w:numPr>
          <w:ilvl w:val="0"/>
          <w:numId w:val="2"/>
        </w:numPr>
        <w:spacing w:after="60"/>
        <w:jc w:val="both"/>
      </w:pPr>
      <w:r>
        <w:rPr>
          <w:b/>
          <w:bCs/>
        </w:rPr>
        <w:t xml:space="preserve">The laboratory programme with the most information decides worst.</w:t>
      </w:r>
      <w:r>
        <w:t xml:space="preserve"> Eight rates spread over the whole range carry 4.17 nats of information about the rate law, 3.4 times more than the field well (1.22 nats), yet they decide the field question correctly in only 61.6% of cases, against 59.2% without data and 95.1% with the well. A parameter-oriented design would choose the laboratory; the goal requires the field.</w:t>
      </w:r>
    </w:p>
    <w:p>
      <w:pPr>
        <w:pStyle w:val="ListParagraph"/>
        <w:numPr>
          <w:ilvl w:val="0"/>
          <w:numId w:val="2"/>
        </w:numPr>
        <w:spacing w:after="60"/>
        <w:jc w:val="both"/>
      </w:pPr>
      <w:r>
        <w:rPr>
          <w:b/>
          <w:bCs/>
        </w:rPr>
        <w:t xml:space="preserve">Far-from-equilibrium rates are worthless here.</w:t>
      </w:r>
      <w:r>
        <w:t xml:space="preserve"> The usual laboratory practice adds nothing to the decision on its own (59.2%) or combined with the well (95.2% against 95.1%), because it informs the far branch of the rate law, which the mixing zone barely reaches.</w:t>
      </w:r>
    </w:p>
    <w:p>
      <w:pPr>
        <w:pStyle w:val="ListParagraph"/>
        <w:numPr>
          <w:ilvl w:val="0"/>
          <w:numId w:val="2"/>
        </w:numPr>
        <w:spacing w:after="60"/>
        <w:jc w:val="both"/>
      </w:pPr>
      <w:r>
        <w:rPr>
          <w:b/>
          <w:bCs/>
        </w:rPr>
        <w:t xml:space="preserve">Near-equilibrium rates complement the field.</w:t>
      </w:r>
      <w:r>
        <w:t xml:space="preserve"> Combined with the well, rates measured near equilibrium raise the correct decisions to 95.9% and reduce the posterior standard deviation of </w:t>
      </w:r>
      <m:oMath>
        <m:sSub>
          <m:e>
            <m:r>
              <m:rPr>
                <m:sty m:val="p"/>
              </m:rPr>
              <m:t>log</m:t>
            </m:r>
          </m:e>
          <m:sub>
            <m:r>
              <m:t>10</m:t>
            </m:r>
          </m:sub>
        </m:sSub>
        <m:r>
          <m:t>G</m:t>
        </m:r>
      </m:oMath>
      <w:r>
        <w:t xml:space="preserve"> from 0.19 to 0.17: the well fixes the field prefactor, the laboratory the shape of the rate law where it matters.</w:t>
      </w:r>
    </w:p>
    <w:p>
      <w:pPr>
        <w:pStyle w:val="Heading3"/>
      </w:pPr>
      <w:r>
        <w:rPr>
          <w:color w:val="1F3864"/>
        </w:rPr>
        <w:t xml:space="preserve">8.6 Result 3: precision and the model used to read the data</w:t>
      </w:r>
    </w:p>
    <w:p>
      <w:pPr>
        <w:pStyle w:val="ListParagraph"/>
        <w:numPr>
          <w:ilvl w:val="0"/>
          <w:numId w:val="2"/>
        </w:numPr>
        <w:spacing w:after="60"/>
        <w:jc w:val="both"/>
      </w:pPr>
      <w:r>
        <w:rPr>
          <w:b/>
          <w:bCs/>
        </w:rPr>
        <w:t xml:space="preserve">The precision of the calcium excess decides the value of the well.</w:t>
      </w:r>
      <w:r>
        <w:t xml:space="preserve"> With an error of 0.01 mmol/L the well alone decides correctly in 97.0% of cases (98.5% with near-equilibrium rates); with 0.05 mmol/L, in 87.7%. The calcium excess of the mixing zone is a small difference of large concentrations, so careful analyses and a good estimate of conservative mixing are part of the design.</w:t>
      </w:r>
    </w:p>
    <w:p>
      <w:pPr>
        <w:pStyle w:val="ListParagraph"/>
        <w:numPr>
          <w:ilvl w:val="0"/>
          <w:numId w:val="2"/>
        </w:numPr>
        <w:spacing w:after="60"/>
        <w:jc w:val="both"/>
      </w:pPr>
      <w:r>
        <w:rPr>
          <w:b/>
          <w:bCs/>
        </w:rPr>
        <w:t xml:space="preserve">A linear rate law reads the same well worse.</w:t>
      </w:r>
      <w:r>
        <w:t xml:space="preserve"> Interpreted with the linear law, the well data give 93.8% correct decisions instead of 95.1%, and a mean absolute error of 0.15 in </w:t>
      </w:r>
      <m:oMath>
        <m:sSub>
          <m:e>
            <m:r>
              <m:rPr>
                <m:sty m:val="p"/>
              </m:rPr>
              <m:t>log</m:t>
            </m:r>
          </m:e>
          <m:sub>
            <m:r>
              <m:t>10</m:t>
            </m:r>
          </m:sub>
        </m:sSub>
        <m:r>
          <m:t>G</m:t>
        </m:r>
      </m:oMath>
      <w:r>
        <w:t xml:space="preserve">, about a factor of 1.4.</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TRETJA-GO treats the departure from equilibrium in the coastal mixing zone as the object of the design, not as a nuisance. With PHREEQC mixing corrosion, a rate law that changes mechanism near equilibrium and a field prefactor uncertain by four orders of magnitude, the test shows that the parameter-oriented criterion prefers a laboratory programme (4.17 nats) that decides the field question hardly better than the prior alone (61.6% against 59.2%), while one multilevel well that measures the calcium excess (1.22 nats) decides it correctly in 95.1% of cases. Far-from-equilibrium laboratory rates, the usual practice, add nothing; near-equilibrium rates add to the well. The local-equilibrium model overestimates the dissolution by up to 264 times.</w:t>
      </w:r>
    </w:p>
    <w:p>
      <w:pPr>
        <w:pStyle w:val="Heading3"/>
      </w:pPr>
      <w:r>
        <w:rPr>
          <w:color w:val="1F3864"/>
        </w:rPr>
        <w:t xml:space="preserve">8.7 Application in Fushë-Kuqe</w:t>
      </w:r>
    </w:p>
    <w:p>
      <w:pPr>
        <w:spacing w:after="120"/>
        <w:jc w:val="both"/>
      </w:pPr>
      <w:r>
        <w:t xml:space="preserve">For the well field the rule has four steps. (1) From the monitoring record, establish the end members of the mixing zone, their CO₂ pressures and saturation states, and compute the mixing-corrosion curve with PHREEQC. (2) Sample a multilevel well across the interface for calcium and chloride, at the precision that the calcium excess requires; chloride gives the mixing fraction and calcium the excess. (3) Measure any laboratory kinetics near equilibrium, in the saturation range of the mixing zone. (4) Decide with the posterior whether local equilibrium may be assumed in the reactive-transport model; if not, carry the kinetic law and its uncertainty into the predictions.</w:t>
      </w:r>
    </w:p>
    <w:p>
      <w:pPr>
        <w:pStyle w:val="ListParagraph"/>
        <w:numPr>
          <w:ilvl w:val="0"/>
          <w:numId w:val="2"/>
        </w:numPr>
        <w:spacing w:after="60"/>
        <w:jc w:val="both"/>
      </w:pPr>
      <w:r>
        <w:t xml:space="preserve">Where the aquifer is carbonate-poor, the same reasoning applies to the other reactions that mixing drives, cation exchange and redox reactions of sulfate with organic matter, with their own rate laws.</w:t>
      </w:r>
    </w:p>
    <w:p>
      <w:pPr>
        <w:pStyle w:val="ListParagraph"/>
        <w:numPr>
          <w:ilvl w:val="0"/>
          <w:numId w:val="2"/>
        </w:numPr>
        <w:spacing w:after="60"/>
        <w:jc w:val="both"/>
      </w:pPr>
      <w:r>
        <w:t xml:space="preserve">Pumping cycles move the interface and increase mixing (section 1.4); the design should then be repeated for the mixing rates that the planned pumping creates.</w:t>
      </w:r>
    </w:p>
    <w:p>
      <w:pPr>
        <w:pStyle w:val="Heading3"/>
      </w:pPr>
      <w:r>
        <w:rPr>
          <w:color w:val="1F3864"/>
        </w:rPr>
        <w:t xml:space="preserve">8.8 How it builds on the 20 papers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065F46"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065F46" w:color="auto" w:val="clear"/>
            <w:tcMar>
              <w:top w:type="dxa" w:w="30"/>
              <w:left w:type="dxa" w:w="90"/>
              <w:bottom w:type="dxa" w:w="30"/>
              <w:right w:type="dxa" w:w="90"/>
            </w:tcMar>
            <w:vAlign w:val="top"/>
          </w:tcPr>
          <w:p>
            <w:r>
              <w:rPr>
                <w:b/>
                <w:bCs/>
                <w:color w:val="FFFFFF"/>
                <w:sz w:val="16"/>
                <w:szCs w:val="16"/>
              </w:rPr>
              <w:t xml:space="preserve">Papers</w:t>
            </w:r>
          </w:p>
        </w:tc>
        <w:tc>
          <w:tcPr>
            <w:tcW w:type="dxa" w:w="4538"/>
            <w:shd w:fill="065F46"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Kinked rate law near equilibrium</w:t>
            </w:r>
          </w:p>
        </w:tc>
        <w:tc>
          <w:tcPr>
            <w:tcW w:type="dxa" w:w="2350"/>
            <w:tcMar>
              <w:top w:type="dxa" w:w="30"/>
              <w:left w:type="dxa" w:w="90"/>
              <w:bottom w:type="dxa" w:w="30"/>
              <w:right w:type="dxa" w:w="90"/>
            </w:tcMar>
            <w:vAlign w:val="top"/>
          </w:tcPr>
          <w:p>
            <w:r>
              <w:rPr>
                <w:sz w:val="16"/>
                <w:szCs w:val="16"/>
              </w:rPr>
              <w:t xml:space="preserve">[C4] [O3] [P1]</w:t>
            </w:r>
          </w:p>
        </w:tc>
        <w:tc>
          <w:tcPr>
            <w:tcW w:type="dxa" w:w="4538"/>
            <w:tcMar>
              <w:top w:type="dxa" w:w="30"/>
              <w:left w:type="dxa" w:w="90"/>
              <w:bottom w:type="dxa" w:w="30"/>
              <w:right w:type="dxa" w:w="90"/>
            </w:tcMar>
            <w:vAlign w:val="top"/>
          </w:tcPr>
          <w:p>
            <w:r>
              <w:rPr>
                <w:sz w:val="16"/>
                <w:szCs w:val="16"/>
              </w:rPr>
              <w:t xml:space="preserve">A change of mechanism near a critical saturation [C4]; transport control from a surface at the solubility product [O3]; surface processes ahead of bulk saturation [P1].</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Field prefactor uncertain by orders of magnitude</w:t>
            </w:r>
          </w:p>
        </w:tc>
        <w:tc>
          <w:tcPr>
            <w:tcW w:type="dxa" w:w="2350"/>
            <w:shd w:fill="F7F9FC" w:color="auto" w:val="clear"/>
            <w:tcMar>
              <w:top w:type="dxa" w:w="30"/>
              <w:left w:type="dxa" w:w="90"/>
              <w:bottom w:type="dxa" w:w="30"/>
              <w:right w:type="dxa" w:w="90"/>
            </w:tcMar>
            <w:vAlign w:val="top"/>
          </w:tcPr>
          <w:p>
            <w:r>
              <w:rPr>
                <w:sz w:val="16"/>
                <w:szCs w:val="16"/>
              </w:rPr>
              <w:t xml:space="preserve">[P4] [O6] [O4]</w:t>
            </w:r>
          </w:p>
        </w:tc>
        <w:tc>
          <w:tcPr>
            <w:tcW w:type="dxa" w:w="4538"/>
            <w:shd w:fill="F7F9FC" w:color="auto" w:val="clear"/>
            <w:tcMar>
              <w:top w:type="dxa" w:w="30"/>
              <w:left w:type="dxa" w:w="90"/>
              <w:bottom w:type="dxa" w:w="30"/>
              <w:right w:type="dxa" w:w="90"/>
            </w:tcMar>
            <w:vAlign w:val="top"/>
          </w:tcPr>
          <w:p>
            <w:r>
              <w:rPr>
                <w:sz w:val="16"/>
                <w:szCs w:val="16"/>
              </w:rPr>
              <w:t xml:space="preserve">Field rates far below laboratory rates [P4]; the switch between kinetic and thermodynamic limits [O6]; pore-to-Darcy homogenisation [O4].</w:t>
            </w:r>
          </w:p>
        </w:tc>
      </w:tr>
      <w:tr>
        <w:trPr>
          <w:cantSplit/>
        </w:trPr>
        <w:tc>
          <w:tcPr>
            <w:tcW w:type="dxa" w:w="2750"/>
            <w:tcMar>
              <w:top w:type="dxa" w:w="30"/>
              <w:left w:type="dxa" w:w="90"/>
              <w:bottom w:type="dxa" w:w="30"/>
              <w:right w:type="dxa" w:w="90"/>
            </w:tcMar>
            <w:vAlign w:val="top"/>
          </w:tcPr>
          <w:p>
            <w:r>
              <w:rPr>
                <w:sz w:val="16"/>
                <w:szCs w:val="16"/>
              </w:rPr>
              <w:t xml:space="preserve">Mixing zone as the reactor</w:t>
            </w:r>
          </w:p>
        </w:tc>
        <w:tc>
          <w:tcPr>
            <w:tcW w:type="dxa" w:w="2350"/>
            <w:tcMar>
              <w:top w:type="dxa" w:w="30"/>
              <w:left w:type="dxa" w:w="90"/>
              <w:bottom w:type="dxa" w:w="30"/>
              <w:right w:type="dxa" w:w="90"/>
            </w:tcMar>
            <w:vAlign w:val="top"/>
          </w:tcPr>
          <w:p>
            <w:r>
              <w:rPr>
                <w:sz w:val="16"/>
                <w:szCs w:val="16"/>
              </w:rPr>
              <w:t xml:space="preserve">[C3] [O1] [O2]</w:t>
            </w:r>
          </w:p>
        </w:tc>
        <w:tc>
          <w:tcPr>
            <w:tcW w:type="dxa" w:w="4538"/>
            <w:tcMar>
              <w:top w:type="dxa" w:w="30"/>
              <w:left w:type="dxa" w:w="90"/>
              <w:bottom w:type="dxa" w:w="30"/>
              <w:right w:type="dxa" w:w="90"/>
            </w:tcMar>
            <w:vAlign w:val="top"/>
          </w:tcPr>
          <w:p>
            <w:r>
              <w:rPr>
                <w:sz w:val="16"/>
                <w:szCs w:val="16"/>
              </w:rPr>
              <w:t xml:space="preserve">Scalar dissipation at density interfaces [C3]; reactive porous flow driven by disequilibrium and its channelization [O1, O2].</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Feedbacks left out, but bounded (section 8.9)</w:t>
            </w:r>
          </w:p>
        </w:tc>
        <w:tc>
          <w:tcPr>
            <w:tcW w:type="dxa" w:w="2350"/>
            <w:shd w:fill="F7F9FC" w:color="auto" w:val="clear"/>
            <w:tcMar>
              <w:top w:type="dxa" w:w="30"/>
              <w:left w:type="dxa" w:w="90"/>
              <w:bottom w:type="dxa" w:w="30"/>
              <w:right w:type="dxa" w:w="90"/>
            </w:tcMar>
            <w:vAlign w:val="top"/>
          </w:tcPr>
          <w:p>
            <w:r>
              <w:rPr>
                <w:sz w:val="16"/>
                <w:szCs w:val="16"/>
              </w:rPr>
              <w:t xml:space="preserve">[C1] [C2] [O5]</w:t>
            </w:r>
          </w:p>
        </w:tc>
        <w:tc>
          <w:tcPr>
            <w:tcW w:type="dxa" w:w="4538"/>
            <w:shd w:fill="F7F9FC" w:color="auto" w:val="clear"/>
            <w:tcMar>
              <w:top w:type="dxa" w:w="30"/>
              <w:left w:type="dxa" w:w="90"/>
              <w:bottom w:type="dxa" w:w="30"/>
              <w:right w:type="dxa" w:w="90"/>
            </w:tcMar>
            <w:vAlign w:val="top"/>
          </w:tcPr>
          <w:p>
            <w:r>
              <w:rPr>
                <w:sz w:val="16"/>
                <w:szCs w:val="16"/>
              </w:rPr>
              <w:t xml:space="preserve">Porosity–permeability and clogging feedbacks that a longer simulation would need [C1, C2, O5].</w:t>
            </w:r>
          </w:p>
        </w:tc>
      </w:tr>
      <w:tr>
        <w:trPr>
          <w:cantSplit/>
        </w:trPr>
        <w:tc>
          <w:tcPr>
            <w:tcW w:type="dxa" w:w="2750"/>
            <w:tcMar>
              <w:top w:type="dxa" w:w="30"/>
              <w:left w:type="dxa" w:w="90"/>
              <w:bottom w:type="dxa" w:w="30"/>
              <w:right w:type="dxa" w:w="90"/>
            </w:tcMar>
            <w:vAlign w:val="top"/>
          </w:tcPr>
          <w:p>
            <w:r>
              <w:rPr>
                <w:sz w:val="16"/>
                <w:szCs w:val="16"/>
              </w:rPr>
              <w:t xml:space="preserve">Isotopes and microbes as further observables</w:t>
            </w:r>
          </w:p>
        </w:tc>
        <w:tc>
          <w:tcPr>
            <w:tcW w:type="dxa" w:w="2350"/>
            <w:tcMar>
              <w:top w:type="dxa" w:w="30"/>
              <w:left w:type="dxa" w:w="90"/>
              <w:bottom w:type="dxa" w:w="30"/>
              <w:right w:type="dxa" w:w="90"/>
            </w:tcMar>
            <w:vAlign w:val="top"/>
          </w:tcPr>
          <w:p>
            <w:r>
              <w:rPr>
                <w:sz w:val="16"/>
                <w:szCs w:val="16"/>
              </w:rPr>
              <w:t xml:space="preserve">[C6] [P2] [O7] [C7]</w:t>
            </w:r>
          </w:p>
        </w:tc>
        <w:tc>
          <w:tcPr>
            <w:tcW w:type="dxa" w:w="4538"/>
            <w:tcMar>
              <w:top w:type="dxa" w:w="30"/>
              <w:left w:type="dxa" w:w="90"/>
              <w:bottom w:type="dxa" w:w="30"/>
              <w:right w:type="dxa" w:w="90"/>
            </w:tcMar>
            <w:vAlign w:val="top"/>
          </w:tcPr>
          <w:p>
            <w:r>
              <w:rPr>
                <w:sz w:val="16"/>
                <w:szCs w:val="16"/>
              </w:rPr>
              <w:t xml:space="preserve">Isotopic records of the distance from equilibrium [C6, P2]; tracers of microbial reactions [O7, C7].</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Nonlinear carbonate chemistry and forcing</w:t>
            </w:r>
          </w:p>
        </w:tc>
        <w:tc>
          <w:tcPr>
            <w:tcW w:type="dxa" w:w="2350"/>
            <w:shd w:fill="F7F9FC" w:color="auto" w:val="clear"/>
            <w:tcMar>
              <w:top w:type="dxa" w:w="30"/>
              <w:left w:type="dxa" w:w="90"/>
              <w:bottom w:type="dxa" w:w="30"/>
              <w:right w:type="dxa" w:w="90"/>
            </w:tcMar>
            <w:vAlign w:val="top"/>
          </w:tcPr>
          <w:p>
            <w:r>
              <w:rPr>
                <w:sz w:val="16"/>
                <w:szCs w:val="16"/>
              </w:rPr>
              <w:t xml:space="preserve">[P5] [P3] [P6] [C5]</w:t>
            </w:r>
          </w:p>
        </w:tc>
        <w:tc>
          <w:tcPr>
            <w:tcW w:type="dxa" w:w="4538"/>
            <w:shd w:fill="F7F9FC" w:color="auto" w:val="clear"/>
            <w:tcMar>
              <w:top w:type="dxa" w:w="30"/>
              <w:left w:type="dxa" w:w="90"/>
              <w:bottom w:type="dxa" w:w="30"/>
              <w:right w:type="dxa" w:w="90"/>
            </w:tcMar>
            <w:vAlign w:val="top"/>
          </w:tcPr>
          <w:p>
            <w:r>
              <w:rPr>
                <w:sz w:val="16"/>
                <w:szCs w:val="16"/>
              </w:rPr>
              <w:t xml:space="preserve">The steep dependence of the carbonate system on pH [P5]; resonance with random forcing [P3]; surface and biological microenvironments [P6, C5].</w:t>
            </w:r>
          </w:p>
        </w:tc>
      </w:tr>
    </w:tbl>
    <w:p>
      <w:pPr>
        <w:spacing w:after="160"/>
      </w:pPr>
    </w:p>
    <w:p>
      <w:pPr>
        <w:pStyle w:val="Heading3"/>
      </w:pPr>
      <w:r>
        <w:rPr>
          <w:color w:val="1F3864"/>
        </w:rPr>
        <w:t xml:space="preserve">8.9 Limitations</w:t>
      </w:r>
    </w:p>
    <w:p>
      <w:pPr>
        <w:pStyle w:val="ListParagraph"/>
        <w:numPr>
          <w:ilvl w:val="0"/>
          <w:numId w:val="2"/>
        </w:numPr>
        <w:spacing w:after="60"/>
        <w:jc w:val="both"/>
      </w:pPr>
      <w:r>
        <w:t xml:space="preserve">The mixing zone is steady and two-layer; in the field it moves with tides, recharge and pumping, which increases mixing and makes the rate time-dependent.</w:t>
      </w:r>
    </w:p>
    <w:p>
      <w:pPr>
        <w:pStyle w:val="ListParagraph"/>
        <w:numPr>
          <w:ilvl w:val="0"/>
          <w:numId w:val="2"/>
        </w:numPr>
        <w:spacing w:after="60"/>
        <w:jc w:val="both"/>
      </w:pPr>
      <w:r>
        <w:t xml:space="preserve">Only calcite reacts, and only by dissolution; precipitation, clay exchange, redox reactions and degassing are omitted.</w:t>
      </w:r>
    </w:p>
    <w:p>
      <w:pPr>
        <w:pStyle w:val="ListParagraph"/>
        <w:numPr>
          <w:ilvl w:val="0"/>
          <w:numId w:val="2"/>
        </w:numPr>
        <w:spacing w:after="60"/>
        <w:jc w:val="both"/>
      </w:pPr>
      <w:r>
        <w:t xml:space="preserve">The rate law is a representative family with one kink; real surfaces may show inhibition by Mg²⁺, phosphate or organic matter, which changes the near-equilibrium branch.</w:t>
      </w:r>
    </w:p>
    <w:p>
      <w:pPr>
        <w:pStyle w:val="ListParagraph"/>
        <w:numPr>
          <w:ilvl w:val="0"/>
          <w:numId w:val="2"/>
        </w:numPr>
        <w:spacing w:after="60"/>
        <w:jc w:val="both"/>
      </w:pPr>
      <w:r>
        <w:t xml:space="preserve">Porosity and permeability are fixed, so the reaction–infiltration feedback of section 1.6 is absent; at these rates it would matter only over centuries.</w:t>
      </w:r>
    </w:p>
    <w:p>
      <w:pPr>
        <w:pStyle w:val="ListParagraph"/>
        <w:numPr>
          <w:ilvl w:val="0"/>
          <w:numId w:val="2"/>
        </w:numPr>
        <w:spacing w:after="60"/>
        <w:jc w:val="both"/>
      </w:pPr>
      <w:r>
        <w:t xml:space="preserve">The laboratory prefactor is assumed unrelated to the field one; partial transfer, for instance through measured surface areas, would raise the value of laboratory data.</w:t>
      </w:r>
    </w:p>
    <w:p>
      <w:pPr>
        <w:pStyle w:val="Heading1"/>
        <w:pageBreakBefore/>
      </w:pPr>
      <w:r>
        <w:rPr>
          <w:color w:val="1F3864"/>
        </w:rPr>
        <w:t xml:space="preserve">9. References</w:t>
      </w:r>
    </w:p>
    <w:p>
      <w:pPr>
        <w:pStyle w:val="Heading3"/>
      </w:pPr>
      <w:r>
        <w:rPr>
          <w:color w:val="1F3864"/>
        </w:rPr>
        <w:t xml:space="preserve">References of Part I (classical literature)</w:t>
      </w:r>
    </w:p>
    <w:p>
      <w:pPr>
        <w:tabs>
          <w:tab w:val="left" w:pos="567"/>
        </w:tabs>
        <w:spacing w:after="90"/>
        <w:ind w:left="567" w:hanging="567"/>
        <w:jc w:val="left"/>
      </w:pPr>
      <w:r>
        <w:rPr>
          <w:b/>
          <w:bCs/>
          <w:color w:val="1F3864"/>
          <w:sz w:val="19"/>
          <w:szCs w:val="19"/>
        </w:rPr>
        <w:t xml:space="preserve">[B1]	</w:t>
      </w:r>
      <w:r>
        <w:rPr>
          <w:sz w:val="19"/>
          <w:szCs w:val="19"/>
        </w:rPr>
        <w:t xml:space="preserve">Lasaga, A. C. (1998). </w:t>
      </w:r>
      <w:r>
        <w:rPr>
          <w:i/>
          <w:iCs/>
          <w:sz w:val="19"/>
          <w:szCs w:val="19"/>
        </w:rPr>
        <w:t xml:space="preserve">Kinetic Theory in the Earth Sciences</w:t>
      </w:r>
      <w:r>
        <w:rPr>
          <w:sz w:val="19"/>
          <w:szCs w:val="19"/>
        </w:rPr>
        <w:t xml:space="preserve">. Princeton University Press (details not verified).</w:t>
      </w:r>
    </w:p>
    <w:p>
      <w:pPr>
        <w:tabs>
          <w:tab w:val="left" w:pos="567"/>
        </w:tabs>
        <w:spacing w:after="90"/>
        <w:ind w:left="567" w:hanging="567"/>
        <w:jc w:val="left"/>
      </w:pPr>
      <w:r>
        <w:rPr>
          <w:b/>
          <w:bCs/>
          <w:color w:val="1F3864"/>
          <w:sz w:val="19"/>
          <w:szCs w:val="19"/>
        </w:rPr>
        <w:t xml:space="preserve">[B2]	</w:t>
      </w:r>
      <w:r>
        <w:rPr>
          <w:sz w:val="19"/>
          <w:szCs w:val="19"/>
        </w:rPr>
        <w:t xml:space="preserve">de Groot, S. R. &amp; Mazur, P. (1962). </w:t>
      </w:r>
      <w:r>
        <w:rPr>
          <w:i/>
          <w:iCs/>
          <w:sz w:val="19"/>
          <w:szCs w:val="19"/>
        </w:rPr>
        <w:t xml:space="preserve">Non-Equilibrium Thermodynamics</w:t>
      </w:r>
      <w:r>
        <w:rPr>
          <w:sz w:val="19"/>
          <w:szCs w:val="19"/>
        </w:rPr>
        <w:t xml:space="preserve">. North-Holland (details not verified).</w:t>
      </w:r>
    </w:p>
    <w:p>
      <w:pPr>
        <w:tabs>
          <w:tab w:val="left" w:pos="567"/>
        </w:tabs>
        <w:spacing w:after="90"/>
        <w:ind w:left="567" w:hanging="567"/>
        <w:jc w:val="left"/>
      </w:pPr>
      <w:r>
        <w:rPr>
          <w:b/>
          <w:bCs/>
          <w:color w:val="1F3864"/>
          <w:sz w:val="19"/>
          <w:szCs w:val="19"/>
        </w:rPr>
        <w:t xml:space="preserve">[B3]	</w:t>
      </w:r>
      <w:r>
        <w:rPr>
          <w:sz w:val="19"/>
          <w:szCs w:val="19"/>
        </w:rPr>
        <w:t xml:space="preserve">Steefel, C. I. &amp; Lasaga, A. C. (1994). A coupled model for transport of multiple chemical species and kinetic precipitation/dissolution reactions with application to reactive flow in single phase hydrothermal systems. </w:t>
      </w:r>
      <w:r>
        <w:rPr>
          <w:i/>
          <w:iCs/>
          <w:sz w:val="19"/>
          <w:szCs w:val="19"/>
        </w:rPr>
        <w:t xml:space="preserve">American Journal of Science</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[B4]	</w:t>
      </w:r>
      <w:r>
        <w:rPr>
          <w:sz w:val="19"/>
          <w:szCs w:val="19"/>
        </w:rPr>
        <w:t xml:space="preserve">Plummer, L. N., Wigley, T. M. L. &amp; Parkhurst, D. L. (1978). The kinetics of calcite dissolution in CO2–water systems at 5° to 60 °C and 0.0 to 1.0 atm CO2. </w:t>
      </w:r>
      <w:r>
        <w:rPr>
          <w:i/>
          <w:iCs/>
          <w:sz w:val="19"/>
          <w:szCs w:val="19"/>
        </w:rPr>
        <w:t xml:space="preserve">American Journal of Science</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[B5]	</w:t>
      </w:r>
      <w:r>
        <w:rPr>
          <w:sz w:val="19"/>
          <w:szCs w:val="19"/>
        </w:rPr>
        <w:t xml:space="preserve">Wigley, T. M. L. &amp; Plummer, L. N. (1976). Mixing of carbonate waters. </w:t>
      </w:r>
      <w:r>
        <w:rPr>
          <w:i/>
          <w:iCs/>
          <w:sz w:val="19"/>
          <w:szCs w:val="19"/>
        </w:rPr>
        <w:t xml:space="preserve">Geochimica et Cosmochimica Acta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[B6]	</w:t>
      </w:r>
      <w:r>
        <w:rPr>
          <w:sz w:val="19"/>
          <w:szCs w:val="19"/>
        </w:rPr>
        <w:t xml:space="preserve">De Simoni, M., Carrera, J., Sánchez-Vila, X. &amp; Guadagnini, A. (2005). A procedure for the solution of multicomponent reactive transport problems. </w:t>
      </w:r>
      <w:r>
        <w:rPr>
          <w:i/>
          <w:iCs/>
          <w:sz w:val="19"/>
          <w:szCs w:val="19"/>
        </w:rPr>
        <w:t xml:space="preserve">Water Resources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[B7]	</w:t>
      </w:r>
      <w:r>
        <w:rPr>
          <w:sz w:val="19"/>
          <w:szCs w:val="19"/>
        </w:rPr>
        <w:t xml:space="preserve">Chadam, J., Hoff, D., Merino, E., Ortoleva, P. &amp; Sen, A. (1986). Reactive infiltration instabilities. </w:t>
      </w:r>
      <w:r>
        <w:rPr>
          <w:i/>
          <w:iCs/>
          <w:sz w:val="19"/>
          <w:szCs w:val="19"/>
        </w:rPr>
        <w:t xml:space="preserve">IMA Journal of Applied Mathematics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[B8]	</w:t>
      </w:r>
      <w:r>
        <w:rPr>
          <w:sz w:val="19"/>
          <w:szCs w:val="19"/>
        </w:rPr>
        <w:t xml:space="preserve">Szymczak, P. &amp; Ladd, A. J. C. (2009). Wormhole formation in dissolving fractures. </w:t>
      </w:r>
      <w:r>
        <w:rPr>
          <w:i/>
          <w:iCs/>
          <w:sz w:val="19"/>
          <w:szCs w:val="19"/>
        </w:rPr>
        <w:t xml:space="preserve">Journal of Geophysical Research: Solid Earth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[B9]	</w:t>
      </w:r>
      <w:r>
        <w:rPr>
          <w:sz w:val="19"/>
          <w:szCs w:val="19"/>
        </w:rPr>
        <w:t xml:space="preserve">Correns, C. W. (1949). Growth and dissolution of crystals under linear pressure. </w:t>
      </w:r>
      <w:r>
        <w:rPr>
          <w:i/>
          <w:iCs/>
          <w:sz w:val="19"/>
          <w:szCs w:val="19"/>
        </w:rPr>
        <w:t xml:space="preserve">Discussions of the Faraday Society</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[B10]	</w:t>
      </w:r>
      <w:r>
        <w:rPr>
          <w:sz w:val="19"/>
          <w:szCs w:val="19"/>
        </w:rPr>
        <w:t xml:space="preserve">DePaolo, D. J. (2011). Surface kinetic model for isotopic and trace element fractionation during precipitation of calcite from aqueous solutions. </w:t>
      </w:r>
      <w:r>
        <w:rPr>
          <w:i/>
          <w:iCs/>
          <w:sz w:val="19"/>
          <w:szCs w:val="19"/>
        </w:rPr>
        <w:t xml:space="preserve">Geochimica et Cosmochimica Acta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[B11]	</w:t>
      </w:r>
      <w:r>
        <w:rPr>
          <w:sz w:val="19"/>
          <w:szCs w:val="19"/>
        </w:rPr>
        <w:t xml:space="preserve">Lasaga, A. C. &amp; Lüttge, A. (2001). Variation of crystal dissolution rate based on a dissolution stepwave model. </w:t>
      </w:r>
      <w:r>
        <w:rPr>
          <w:i/>
          <w:iCs/>
          <w:sz w:val="19"/>
          <w:szCs w:val="19"/>
        </w:rPr>
        <w:t xml:space="preserve">Science</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[B12]	</w:t>
      </w:r>
      <w:r>
        <w:rPr>
          <w:sz w:val="19"/>
          <w:szCs w:val="19"/>
        </w:rPr>
        <w:t xml:space="preserve">Burton, W. K., Cabrera, N. &amp; Frank, F. C. (1951). The growth of crystals and the equilibrium structure of their surfaces. </w:t>
      </w:r>
      <w:r>
        <w:rPr>
          <w:i/>
          <w:iCs/>
          <w:sz w:val="19"/>
          <w:szCs w:val="19"/>
        </w:rPr>
        <w:t xml:space="preserve">Philosophical Transactions of the Royal Society 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[B13]	</w:t>
      </w:r>
      <w:r>
        <w:rPr>
          <w:sz w:val="19"/>
          <w:szCs w:val="19"/>
        </w:rPr>
        <w:t xml:space="preserve">Sanford, W. E. &amp; Konikow, L. F. (1989). Simulation of calcite dissolution and porosity changes in saltwater mixing zones in coastal aquifers. </w:t>
      </w:r>
      <w:r>
        <w:rPr>
          <w:i/>
          <w:iCs/>
          <w:sz w:val="19"/>
          <w:szCs w:val="19"/>
        </w:rPr>
        <w:t xml:space="preserve">Water Resources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[B14]	</w:t>
      </w:r>
      <w:r>
        <w:rPr>
          <w:sz w:val="19"/>
          <w:szCs w:val="19"/>
        </w:rPr>
        <w:t xml:space="preserve">Monod, J. (1949). The growth of bacterial cultures. </w:t>
      </w:r>
      <w:r>
        <w:rPr>
          <w:i/>
          <w:iCs/>
          <w:sz w:val="19"/>
          <w:szCs w:val="19"/>
        </w:rPr>
        <w:t xml:space="preserve">Annual Review of Microbiology</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[B15]	</w:t>
      </w:r>
      <w:r>
        <w:rPr>
          <w:sz w:val="19"/>
          <w:szCs w:val="19"/>
        </w:rPr>
        <w:t xml:space="preserve">Dentz, M., Le Borgne, T., Englert, A. &amp; Bijeljic, B. (2011). Mixing, spreading and reaction in heterogeneous media: A brief review. </w:t>
      </w:r>
      <w:r>
        <w:rPr>
          <w:i/>
          <w:iCs/>
          <w:sz w:val="19"/>
          <w:szCs w:val="19"/>
        </w:rPr>
        <w:t xml:space="preserve">Journal of Contaminant Hydrology</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[B16]	</w:t>
      </w:r>
      <w:r>
        <w:rPr>
          <w:sz w:val="19"/>
          <w:szCs w:val="19"/>
        </w:rPr>
        <w:t xml:space="preserve">White, A. F. &amp; Brantley, S. L. (2003). The effect of time on the weathering of silicate minerals: why do weathering rates differ in the laboratory and field? </w:t>
      </w:r>
      <w:r>
        <w:rPr>
          <w:i/>
          <w:iCs/>
          <w:sz w:val="19"/>
          <w:szCs w:val="19"/>
        </w:rPr>
        <w:t xml:space="preserve">Chemical Geology</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[B17]	</w:t>
      </w:r>
      <w:r>
        <w:rPr>
          <w:sz w:val="19"/>
          <w:szCs w:val="19"/>
        </w:rPr>
        <w:t xml:space="preserve">Maher, K. (2010). The dependence of chemical weathering rates on fluid residence time. </w:t>
      </w:r>
      <w:r>
        <w:rPr>
          <w:i/>
          <w:iCs/>
          <w:sz w:val="19"/>
          <w:szCs w:val="19"/>
        </w:rPr>
        <w:t xml:space="preserve">Earth and Planetary Science Letters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[B18]	</w:t>
      </w:r>
      <w:r>
        <w:rPr>
          <w:sz w:val="19"/>
          <w:szCs w:val="19"/>
        </w:rPr>
        <w:t xml:space="preserve">Parkhurst, D. L. &amp; Appelo, C. A. J. (2013). Description of input and examples for PHREEQC version 3. </w:t>
      </w:r>
      <w:r>
        <w:rPr>
          <w:i/>
          <w:iCs/>
          <w:sz w:val="19"/>
          <w:szCs w:val="19"/>
        </w:rPr>
        <w:t xml:space="preserve">U.S. Geological Survey Techniques and Methods</w:t>
      </w:r>
      <w:r>
        <w:rPr>
          <w:sz w:val="19"/>
          <w:szCs w:val="19"/>
        </w:rPr>
        <w:t xml:space="preserve">, book 6, chapter A43 (details not verified).</w:t>
      </w:r>
    </w:p>
    <w:p>
      <w:pPr>
        <w:tabs>
          <w:tab w:val="left" w:pos="567"/>
        </w:tabs>
        <w:spacing w:after="90"/>
        <w:ind w:left="567" w:hanging="567"/>
        <w:jc w:val="left"/>
      </w:pPr>
      <w:r>
        <w:rPr>
          <w:b/>
          <w:bCs/>
          <w:color w:val="1F3864"/>
          <w:sz w:val="19"/>
          <w:szCs w:val="19"/>
        </w:rPr>
        <w:t xml:space="preserve">[B19]	</w:t>
      </w:r>
      <w:r>
        <w:rPr>
          <w:sz w:val="19"/>
          <w:szCs w:val="19"/>
        </w:rPr>
        <w:t xml:space="preserve">Palandri, J. L. &amp; Kharaka, Y. K. (2004). A compilation of rate parameters of water–mineral interaction kinetics for application to geochemical modeling. </w:t>
      </w:r>
      <w:r>
        <w:rPr>
          <w:i/>
          <w:iCs/>
          <w:sz w:val="19"/>
          <w:szCs w:val="19"/>
        </w:rPr>
        <w:t xml:space="preserve">U.S. Geological Survey Open-File Report</w:t>
      </w:r>
      <w:r>
        <w:rPr>
          <w:sz w:val="19"/>
          <w:szCs w:val="19"/>
        </w:rPr>
        <w:t xml:space="preserve"> 2004-1068 (details not verified).</w:t>
      </w:r>
    </w:p>
    <w:p>
      <w:pPr>
        <w:tabs>
          <w:tab w:val="left" w:pos="567"/>
        </w:tabs>
        <w:spacing w:after="90"/>
        <w:ind w:left="567" w:hanging="567"/>
        <w:jc w:val="left"/>
      </w:pPr>
      <w:r>
        <w:rPr>
          <w:b/>
          <w:bCs/>
          <w:color w:val="1F3864"/>
          <w:sz w:val="19"/>
          <w:szCs w:val="19"/>
        </w:rPr>
        <w:t xml:space="preserve">[B20]	</w:t>
      </w:r>
      <w:r>
        <w:rPr>
          <w:sz w:val="19"/>
          <w:szCs w:val="19"/>
        </w:rPr>
        <w:t xml:space="preserve">Ortoleva, P., Merino, E., Moore, C. &amp; Chadam, J. (1987). Geochemical self-organization I: Reaction-transport feedbacks and modeling approach. </w:t>
      </w:r>
      <w:r>
        <w:rPr>
          <w:i/>
          <w:iCs/>
          <w:sz w:val="19"/>
          <w:szCs w:val="19"/>
        </w:rPr>
        <w:t xml:space="preserve">American Journal of Science</w:t>
      </w:r>
      <w:r>
        <w:rPr>
          <w:sz w:val="19"/>
          <w:szCs w:val="19"/>
        </w:rPr>
        <w:t xml:space="preserve"> (volume, pages and DOI not verified).</w:t>
      </w:r>
    </w:p>
    <w:p>
      <w:pPr>
        <w:pStyle w:val="Heading3"/>
      </w:pPr>
      <w:r>
        <w:rPr>
          <w:color w:val="1F3864"/>
        </w:rPr>
        <w:t xml:space="preserve">References of Part II (the 20 papers)</w:t>
      </w:r>
    </w:p>
    <w:p>
      <w:pPr>
        <w:tabs>
          <w:tab w:val="left" w:pos="567"/>
        </w:tabs>
        <w:spacing w:after="90"/>
        <w:ind w:left="567" w:hanging="567"/>
        <w:jc w:val="left"/>
      </w:pPr>
      <w:r>
        <w:rPr>
          <w:b/>
          <w:bCs/>
          <w:color w:val="002147"/>
          <w:sz w:val="19"/>
          <w:szCs w:val="19"/>
        </w:rPr>
        <w:t xml:space="preserve">[O1]	</w:t>
      </w:r>
      <w:r>
        <w:rPr>
          <w:sz w:val="19"/>
          <w:szCs w:val="19"/>
        </w:rPr>
        <w:t xml:space="preserve">Rees Jones, D. W., Zhang, H. &amp; Katz, R. F. (2021). Magmatic channelization by reactive and shear-driven instabilities at mid-ocean ridges: a combined analysis. </w:t>
      </w:r>
      <w:r>
        <w:rPr>
          <w:i/>
          <w:iCs/>
          <w:sz w:val="19"/>
          <w:szCs w:val="19"/>
        </w:rPr>
        <w:t xml:space="preserve">Geophysical Journal International</w:t>
      </w:r>
      <w:r>
        <w:rPr>
          <w:sz w:val="19"/>
          <w:szCs w:val="19"/>
        </w:rPr>
        <w:t xml:space="preserve">, 226(1), 582–609.</w:t>
      </w:r>
      <w:r>
        <w:rPr>
          <w:sz w:val="19"/>
          <w:szCs w:val="19"/>
        </w:rPr>
        <w:t xml:space="preserve"> </w:t>
      </w:r>
      <w:hyperlink w:history="1" r:id="rIdsrgubghl8jyreuej0sgq0">
        <w:r>
          <w:rPr>
            <w:color w:val="1D4ED8"/>
            <w:sz w:val="19"/>
            <w:szCs w:val="19"/>
            <w:u w:val="single"/>
          </w:rPr>
          <w:t xml:space="preserve">https://doi.org/10.1093/gji/ggab112</w:t>
        </w:r>
      </w:hyperlink>
    </w:p>
    <w:p>
      <w:pPr>
        <w:tabs>
          <w:tab w:val="left" w:pos="567"/>
        </w:tabs>
        <w:spacing w:after="90"/>
        <w:ind w:left="567" w:hanging="567"/>
        <w:jc w:val="left"/>
      </w:pPr>
      <w:r>
        <w:rPr>
          <w:b/>
          <w:bCs/>
          <w:color w:val="002147"/>
          <w:sz w:val="19"/>
          <w:szCs w:val="19"/>
        </w:rPr>
        <w:t xml:space="preserve">[O2]	</w:t>
      </w:r>
      <w:r>
        <w:rPr>
          <w:sz w:val="19"/>
          <w:szCs w:val="19"/>
        </w:rPr>
        <w:t xml:space="preserve">Katz, R. F., Rees Jones, D. W., Rudge, J. F. &amp; Keller, T. (2022). Physics of melt extraction from the mantle: Speed and style. </w:t>
      </w:r>
      <w:r>
        <w:rPr>
          <w:i/>
          <w:iCs/>
          <w:sz w:val="19"/>
          <w:szCs w:val="19"/>
        </w:rPr>
        <w:t xml:space="preserve">Annual Review of Earth and Planetary Sciences</w:t>
      </w:r>
      <w:r>
        <w:rPr>
          <w:sz w:val="19"/>
          <w:szCs w:val="19"/>
        </w:rPr>
        <w:t xml:space="preserve">, 50, 507–540.</w:t>
      </w:r>
      <w:r>
        <w:rPr>
          <w:sz w:val="19"/>
          <w:szCs w:val="19"/>
        </w:rPr>
        <w:t xml:space="preserve"> </w:t>
      </w:r>
      <w:hyperlink w:history="1" r:id="rId8frj3y1t3p0jox80pbjmz">
        <w:r>
          <w:rPr>
            <w:color w:val="1D4ED8"/>
            <w:sz w:val="19"/>
            <w:szCs w:val="19"/>
            <w:u w:val="single"/>
          </w:rPr>
          <w:t xml:space="preserve">https://doi.org/10.1146/annurev-earth-032320-083704</w:t>
        </w:r>
      </w:hyperlink>
    </w:p>
    <w:p>
      <w:pPr>
        <w:tabs>
          <w:tab w:val="left" w:pos="567"/>
        </w:tabs>
        <w:spacing w:after="90"/>
        <w:ind w:left="567" w:hanging="567"/>
        <w:jc w:val="left"/>
      </w:pPr>
      <w:r>
        <w:rPr>
          <w:b/>
          <w:bCs/>
          <w:color w:val="002147"/>
          <w:sz w:val="19"/>
          <w:szCs w:val="19"/>
        </w:rPr>
        <w:t xml:space="preserve">[O3]	</w:t>
      </w:r>
      <w:r>
        <w:rPr>
          <w:sz w:val="19"/>
          <w:szCs w:val="19"/>
        </w:rPr>
        <w:t xml:space="preserve">Yang, M., Tan, L., Batchelor-McAuley, C. &amp; Compton, R. G. (2024). The solubility product controls the rate of calcite dissolution in pure water and seawater. </w:t>
      </w:r>
      <w:r>
        <w:rPr>
          <w:i/>
          <w:iCs/>
          <w:sz w:val="19"/>
          <w:szCs w:val="19"/>
        </w:rPr>
        <w:t xml:space="preserve">Chemical Science</w:t>
      </w:r>
      <w:r>
        <w:rPr>
          <w:sz w:val="19"/>
          <w:szCs w:val="19"/>
        </w:rPr>
        <w:t xml:space="preserve">, 15(7), 2464–2472.</w:t>
      </w:r>
      <w:r>
        <w:rPr>
          <w:sz w:val="19"/>
          <w:szCs w:val="19"/>
        </w:rPr>
        <w:t xml:space="preserve"> </w:t>
      </w:r>
      <w:hyperlink w:history="1" r:id="rIdw1eumrlbkef59v7gjllr1">
        <w:r>
          <w:rPr>
            <w:color w:val="1D4ED8"/>
            <w:sz w:val="19"/>
            <w:szCs w:val="19"/>
            <w:u w:val="single"/>
          </w:rPr>
          <w:t xml:space="preserve">https://doi.org/10.1039/D3SC04063A</w:t>
        </w:r>
      </w:hyperlink>
    </w:p>
    <w:p>
      <w:pPr>
        <w:tabs>
          <w:tab w:val="left" w:pos="567"/>
        </w:tabs>
        <w:spacing w:after="90"/>
        <w:ind w:left="567" w:hanging="567"/>
        <w:jc w:val="left"/>
      </w:pPr>
      <w:r>
        <w:rPr>
          <w:b/>
          <w:bCs/>
          <w:color w:val="002147"/>
          <w:sz w:val="19"/>
          <w:szCs w:val="19"/>
        </w:rPr>
        <w:t xml:space="preserve">[O4]	</w:t>
      </w:r>
      <w:r>
        <w:rPr>
          <w:sz w:val="19"/>
          <w:szCs w:val="19"/>
        </w:rPr>
        <w:t xml:space="preserve">Auton, L. C., Pramanik, S., Dalwadi, M. P., MacMinn, C. W. &amp; Griffiths, I. M. (2022). A homogenised model for flow, transport and sorption in a heterogeneous porous medium. </w:t>
      </w:r>
      <w:r>
        <w:rPr>
          <w:i/>
          <w:iCs/>
          <w:sz w:val="19"/>
          <w:szCs w:val="19"/>
        </w:rPr>
        <w:t xml:space="preserve">Journal of Fluid Mechanics</w:t>
      </w:r>
      <w:r>
        <w:rPr>
          <w:sz w:val="19"/>
          <w:szCs w:val="19"/>
        </w:rPr>
        <w:t xml:space="preserve">, 932, A34.</w:t>
      </w:r>
      <w:r>
        <w:rPr>
          <w:sz w:val="19"/>
          <w:szCs w:val="19"/>
        </w:rPr>
        <w:t xml:space="preserve"> </w:t>
      </w:r>
      <w:hyperlink w:history="1" r:id="rIdpv1gleul8406q7s68juof">
        <w:r>
          <w:rPr>
            <w:color w:val="1D4ED8"/>
            <w:sz w:val="19"/>
            <w:szCs w:val="19"/>
            <w:u w:val="single"/>
          </w:rPr>
          <w:t xml:space="preserve">https://doi.org/10.1017/jfm.2021.938</w:t>
        </w:r>
      </w:hyperlink>
    </w:p>
    <w:p>
      <w:pPr>
        <w:tabs>
          <w:tab w:val="left" w:pos="567"/>
        </w:tabs>
        <w:spacing w:after="90"/>
        <w:ind w:left="567" w:hanging="567"/>
        <w:jc w:val="left"/>
      </w:pPr>
      <w:r>
        <w:rPr>
          <w:b/>
          <w:bCs/>
          <w:color w:val="002147"/>
          <w:sz w:val="19"/>
          <w:szCs w:val="19"/>
        </w:rPr>
        <w:t xml:space="preserve">[O5]	</w:t>
      </w:r>
      <w:r>
        <w:rPr>
          <w:sz w:val="19"/>
          <w:szCs w:val="19"/>
        </w:rPr>
        <w:t xml:space="preserve">Luckins, E., Breward, C., Griffiths, I. M. &amp; Please, C. (2024). Mathematical modelling of impurity deposition during evaporation of dirty liquid in a porous material. </w:t>
      </w:r>
      <w:r>
        <w:rPr>
          <w:i/>
          <w:iCs/>
          <w:sz w:val="19"/>
          <w:szCs w:val="19"/>
        </w:rPr>
        <w:t xml:space="preserve">Journal of Fluid Mechanics</w:t>
      </w:r>
      <w:r>
        <w:rPr>
          <w:sz w:val="19"/>
          <w:szCs w:val="19"/>
        </w:rPr>
        <w:t xml:space="preserve">, 986, A31 (initials of the second and fourth authors not verified).</w:t>
      </w:r>
      <w:r>
        <w:rPr>
          <w:sz w:val="19"/>
          <w:szCs w:val="19"/>
        </w:rPr>
        <w:t xml:space="preserve"> </w:t>
      </w:r>
      <w:hyperlink w:history="1" r:id="rIdnpb4bi5s7jxi6c3kc59u2">
        <w:r>
          <w:rPr>
            <w:color w:val="1D4ED8"/>
            <w:sz w:val="19"/>
            <w:szCs w:val="19"/>
            <w:u w:val="single"/>
          </w:rPr>
          <w:t xml:space="preserve">https://doi.org/10.1017/jfm.2024.360</w:t>
        </w:r>
      </w:hyperlink>
    </w:p>
    <w:p>
      <w:pPr>
        <w:tabs>
          <w:tab w:val="left" w:pos="567"/>
        </w:tabs>
        <w:spacing w:after="90"/>
        <w:ind w:left="567" w:hanging="567"/>
        <w:jc w:val="left"/>
      </w:pPr>
      <w:r>
        <w:rPr>
          <w:b/>
          <w:bCs/>
          <w:color w:val="002147"/>
          <w:sz w:val="19"/>
          <w:szCs w:val="19"/>
        </w:rPr>
        <w:t xml:space="preserve">[O6]	</w:t>
      </w:r>
      <w:r>
        <w:rPr>
          <w:sz w:val="19"/>
          <w:szCs w:val="19"/>
        </w:rPr>
        <w:t xml:space="preserve">Graham, R. J. &amp; Pierrehumbert, R. (2020). Thermodynamic and energetic limits on continental silicate weathering strongly impact the climate and habitability of wet, rocky worlds. </w:t>
      </w:r>
      <w:r>
        <w:rPr>
          <w:i/>
          <w:iCs/>
          <w:sz w:val="19"/>
          <w:szCs w:val="19"/>
        </w:rPr>
        <w:t xml:space="preserve">The Astrophysical Journal</w:t>
      </w:r>
      <w:r>
        <w:rPr>
          <w:sz w:val="19"/>
          <w:szCs w:val="19"/>
        </w:rPr>
        <w:t xml:space="preserve">, 896(2), 115 (DOI not verified).</w:t>
      </w:r>
      <w:r>
        <w:rPr>
          <w:sz w:val="19"/>
          <w:szCs w:val="19"/>
        </w:rPr>
        <w:t xml:space="preserve"> </w:t>
      </w:r>
      <w:hyperlink w:history="1" r:id="rIdncyvkqohbfcwbrjhk1hsl">
        <w:r>
          <w:rPr>
            <w:color w:val="1D4ED8"/>
            <w:sz w:val="19"/>
            <w:szCs w:val="19"/>
            <w:u w:val="single"/>
          </w:rPr>
          <w:t xml:space="preserve">https://ora.ox.ac.uk/objects/uuid:aac7ee7f-c4a8-4120-92e9-8e8cd1cf32c9</w:t>
        </w:r>
      </w:hyperlink>
    </w:p>
    <w:p>
      <w:pPr>
        <w:tabs>
          <w:tab w:val="left" w:pos="567"/>
        </w:tabs>
        <w:spacing w:after="90"/>
        <w:ind w:left="567" w:hanging="567"/>
        <w:jc w:val="left"/>
      </w:pPr>
      <w:r>
        <w:rPr>
          <w:b/>
          <w:bCs/>
          <w:color w:val="002147"/>
          <w:sz w:val="19"/>
          <w:szCs w:val="19"/>
        </w:rPr>
        <w:t xml:space="preserve">[O7]	</w:t>
      </w:r>
      <w:r>
        <w:rPr>
          <w:sz w:val="19"/>
          <w:szCs w:val="19"/>
        </w:rPr>
        <w:t xml:space="preserve">Tyne, R. L., Barry, P. H., Lawson, M., Byrne, D. J., Warr, O., Xie, H., Hillegonds, D. J., Formolo, M., Summers, Z. M., Skinner, B., Eiler, J. M. &amp; Ballentine, C. J. (2021). Rapid microbial methanogenesis during CO2 storage in hydrocarbon reservoirs. </w:t>
      </w:r>
      <w:r>
        <w:rPr>
          <w:i/>
          <w:iCs/>
          <w:sz w:val="19"/>
          <w:szCs w:val="19"/>
        </w:rPr>
        <w:t xml:space="preserve">Nature</w:t>
      </w:r>
      <w:r>
        <w:rPr>
          <w:sz w:val="19"/>
          <w:szCs w:val="19"/>
        </w:rPr>
        <w:t xml:space="preserve">, 600(7890), 670–674.</w:t>
      </w:r>
      <w:r>
        <w:rPr>
          <w:sz w:val="19"/>
          <w:szCs w:val="19"/>
        </w:rPr>
        <w:t xml:space="preserve"> </w:t>
      </w:r>
      <w:hyperlink w:history="1" r:id="rIdgbprsbe3y1c9patslhz8m">
        <w:r>
          <w:rPr>
            <w:color w:val="1D4ED8"/>
            <w:sz w:val="19"/>
            <w:szCs w:val="19"/>
            <w:u w:val="single"/>
          </w:rPr>
          <w:t xml:space="preserve">https://doi.org/10.1038/s41586-021-04153-3</w:t>
        </w:r>
      </w:hyperlink>
    </w:p>
    <w:p>
      <w:pPr>
        <w:tabs>
          <w:tab w:val="left" w:pos="567"/>
        </w:tabs>
        <w:spacing w:after="90"/>
        <w:ind w:left="567" w:hanging="567"/>
        <w:jc w:val="left"/>
      </w:pPr>
      <w:r>
        <w:rPr>
          <w:b/>
          <w:bCs/>
          <w:color w:val="B4410C"/>
          <w:sz w:val="19"/>
          <w:szCs w:val="19"/>
        </w:rPr>
        <w:t xml:space="preserve">[C1]	</w:t>
      </w:r>
      <w:r>
        <w:rPr>
          <w:sz w:val="19"/>
          <w:szCs w:val="19"/>
        </w:rPr>
        <w:t xml:space="preserve">Fu, X., Jimenez-Martinez, Nguyen, Carey, Viswanathan, Cueto-Felgueroso &amp; Juanes, R. (2020). Crustal fingering facilitates free-gas methane migration through the hydrate stability zone. </w:t>
      </w:r>
      <w:r>
        <w:rPr>
          <w:i/>
          <w:iCs/>
          <w:sz w:val="19"/>
          <w:szCs w:val="19"/>
        </w:rPr>
        <w:t xml:space="preserve">Proceedings of the National Academy of Sciences</w:t>
      </w:r>
      <w:r>
        <w:rPr>
          <w:sz w:val="19"/>
          <w:szCs w:val="19"/>
        </w:rPr>
        <w:t xml:space="preserve">, 117(50), 31660–31664 (initials of the middle five authors not verified).</w:t>
      </w:r>
      <w:r>
        <w:rPr>
          <w:sz w:val="19"/>
          <w:szCs w:val="19"/>
        </w:rPr>
        <w:t xml:space="preserve"> </w:t>
      </w:r>
      <w:hyperlink w:history="1" r:id="rIdvjdegbci9idghqkehgrjf">
        <w:r>
          <w:rPr>
            <w:color w:val="1D4ED8"/>
            <w:sz w:val="19"/>
            <w:szCs w:val="19"/>
            <w:u w:val="single"/>
          </w:rPr>
          <w:t xml:space="preserve">https://doi.org/10.1073/pnas.2011064117</w:t>
        </w:r>
      </w:hyperlink>
    </w:p>
    <w:p>
      <w:pPr>
        <w:tabs>
          <w:tab w:val="left" w:pos="567"/>
        </w:tabs>
        <w:spacing w:after="90"/>
        <w:ind w:left="567" w:hanging="567"/>
        <w:jc w:val="left"/>
      </w:pPr>
      <w:r>
        <w:rPr>
          <w:b/>
          <w:bCs/>
          <w:color w:val="B4410C"/>
          <w:sz w:val="19"/>
          <w:szCs w:val="19"/>
        </w:rPr>
        <w:t xml:space="preserve">[C2]	</w:t>
      </w:r>
      <w:r>
        <w:rPr>
          <w:sz w:val="19"/>
          <w:szCs w:val="19"/>
        </w:rPr>
        <w:t xml:space="preserve">Karimi, M. &amp; Bhattacharya, K. (2024). A learning-based multiscale model for reactive flow in porous media. </w:t>
      </w:r>
      <w:r>
        <w:rPr>
          <w:i/>
          <w:iCs/>
          <w:sz w:val="19"/>
          <w:szCs w:val="19"/>
        </w:rPr>
        <w:t xml:space="preserve">Water Resources Research</w:t>
      </w:r>
      <w:r>
        <w:rPr>
          <w:sz w:val="19"/>
          <w:szCs w:val="19"/>
        </w:rPr>
        <w:t xml:space="preserve">, 60(9), e2023WR036303.</w:t>
      </w:r>
      <w:r>
        <w:rPr>
          <w:sz w:val="19"/>
          <w:szCs w:val="19"/>
        </w:rPr>
        <w:t xml:space="preserve"> </w:t>
      </w:r>
      <w:hyperlink w:history="1" r:id="rIdvahnyhclvl2_3lcddbtjh">
        <w:r>
          <w:rPr>
            <w:color w:val="1D4ED8"/>
            <w:sz w:val="19"/>
            <w:szCs w:val="19"/>
            <w:u w:val="single"/>
          </w:rPr>
          <w:t xml:space="preserve">https://doi.org/10.1029/2023WR036303</w:t>
        </w:r>
      </w:hyperlink>
    </w:p>
    <w:p>
      <w:pPr>
        <w:tabs>
          <w:tab w:val="left" w:pos="567"/>
        </w:tabs>
        <w:spacing w:after="90"/>
        <w:ind w:left="567" w:hanging="567"/>
        <w:jc w:val="left"/>
      </w:pPr>
      <w:r>
        <w:rPr>
          <w:b/>
          <w:bCs/>
          <w:color w:val="B4410C"/>
          <w:sz w:val="19"/>
          <w:szCs w:val="19"/>
        </w:rPr>
        <w:t xml:space="preserve">[C3]	</w:t>
      </w:r>
      <w:r>
        <w:rPr>
          <w:sz w:val="19"/>
          <w:szCs w:val="19"/>
        </w:rPr>
        <w:t xml:space="preserve">Liyanage, R., Fu, X., Pini, R. &amp; Juanes, R. (2024). Direct comparison of density-driven convective mixing in a three-dimensional porous medium using experiments and simulation. </w:t>
      </w:r>
      <w:r>
        <w:rPr>
          <w:i/>
          <w:iCs/>
          <w:sz w:val="19"/>
          <w:szCs w:val="19"/>
        </w:rPr>
        <w:t xml:space="preserve">Physical Review Fluids</w:t>
      </w:r>
      <w:r>
        <w:rPr>
          <w:sz w:val="19"/>
          <w:szCs w:val="19"/>
        </w:rPr>
        <w:t xml:space="preserve">, 9, 043802.</w:t>
      </w:r>
      <w:r>
        <w:rPr>
          <w:sz w:val="19"/>
          <w:szCs w:val="19"/>
        </w:rPr>
        <w:t xml:space="preserve"> </w:t>
      </w:r>
      <w:hyperlink w:history="1" r:id="rIdthqfqyxnezhla6pq4_vx1">
        <w:r>
          <w:rPr>
            <w:color w:val="1D4ED8"/>
            <w:sz w:val="19"/>
            <w:szCs w:val="19"/>
            <w:u w:val="single"/>
          </w:rPr>
          <w:t xml:space="preserve">https://doi.org/10.1103/PhysRevFluids.9.043802</w:t>
        </w:r>
      </w:hyperlink>
    </w:p>
    <w:p>
      <w:pPr>
        <w:tabs>
          <w:tab w:val="left" w:pos="567"/>
        </w:tabs>
        <w:spacing w:after="90"/>
        <w:ind w:left="567" w:hanging="567"/>
        <w:jc w:val="left"/>
      </w:pPr>
      <w:r>
        <w:rPr>
          <w:b/>
          <w:bCs/>
          <w:color w:val="B4410C"/>
          <w:sz w:val="19"/>
          <w:szCs w:val="19"/>
        </w:rPr>
        <w:t xml:space="preserve">[C4]	</w:t>
      </w:r>
      <w:r>
        <w:rPr>
          <w:sz w:val="19"/>
          <w:szCs w:val="19"/>
        </w:rPr>
        <w:t xml:space="preserve">Dong, S., Berelson, W. M., Adkins, J. F., Rollins, N. E., Naviaux, J. D., Pirbadian, S., El-Naggar, M. Y. &amp; Teng, H. H. (2020). An atomic force microscopy study of calcite dissolution in seawater. </w:t>
      </w:r>
      <w:r>
        <w:rPr>
          <w:i/>
          <w:iCs/>
          <w:sz w:val="19"/>
          <w:szCs w:val="19"/>
        </w:rPr>
        <w:t xml:space="preserve">Geochimica et Cosmochimica Acta</w:t>
      </w:r>
      <w:r>
        <w:rPr>
          <w:sz w:val="19"/>
          <w:szCs w:val="19"/>
        </w:rPr>
        <w:t xml:space="preserve">, 283, 40–53.</w:t>
      </w:r>
      <w:r>
        <w:rPr>
          <w:sz w:val="19"/>
          <w:szCs w:val="19"/>
        </w:rPr>
        <w:t xml:space="preserve"> </w:t>
      </w:r>
      <w:hyperlink w:history="1" r:id="rId349-7c8m8zkljjs-2yfoe">
        <w:r>
          <w:rPr>
            <w:color w:val="1D4ED8"/>
            <w:sz w:val="19"/>
            <w:szCs w:val="19"/>
            <w:u w:val="single"/>
          </w:rPr>
          <w:t xml:space="preserve">https://doi.org/10.1016/j.gca.2020.05.031</w:t>
        </w:r>
      </w:hyperlink>
    </w:p>
    <w:p>
      <w:pPr>
        <w:tabs>
          <w:tab w:val="left" w:pos="567"/>
        </w:tabs>
        <w:spacing w:after="90"/>
        <w:ind w:left="567" w:hanging="567"/>
        <w:jc w:val="left"/>
      </w:pPr>
      <w:r>
        <w:rPr>
          <w:b/>
          <w:bCs/>
          <w:color w:val="B4410C"/>
          <w:sz w:val="19"/>
          <w:szCs w:val="19"/>
        </w:rPr>
        <w:t xml:space="preserve">[C5]	</w:t>
      </w:r>
      <w:r>
        <w:rPr>
          <w:sz w:val="19"/>
          <w:szCs w:val="19"/>
        </w:rPr>
        <w:t xml:space="preserve">Subhas, A. V., Dong, S., Naviaux, J. D., Rollins, N. E., et al., Berelson, W. M. &amp; Adkins, J. F. (2022). Shallow calcium carbonate cycling in the North Pacific Ocean. </w:t>
      </w:r>
      <w:r>
        <w:rPr>
          <w:i/>
          <w:iCs/>
          <w:sz w:val="19"/>
          <w:szCs w:val="19"/>
        </w:rPr>
        <w:t xml:space="preserve">Global Biogeochemical Cycles</w:t>
      </w:r>
      <w:r>
        <w:rPr>
          <w:sz w:val="19"/>
          <w:szCs w:val="19"/>
        </w:rPr>
        <w:t xml:space="preserve">, 36(5), e2022GB007388.</w:t>
      </w:r>
      <w:r>
        <w:rPr>
          <w:sz w:val="19"/>
          <w:szCs w:val="19"/>
        </w:rPr>
        <w:t xml:space="preserve"> </w:t>
      </w:r>
      <w:hyperlink w:history="1" r:id="rIdowgkerk1kcut0c_8llxu6">
        <w:r>
          <w:rPr>
            <w:color w:val="1D4ED8"/>
            <w:sz w:val="19"/>
            <w:szCs w:val="19"/>
            <w:u w:val="single"/>
          </w:rPr>
          <w:t xml:space="preserve">https://doi.org/10.1029/2022GB007388</w:t>
        </w:r>
      </w:hyperlink>
    </w:p>
    <w:p>
      <w:pPr>
        <w:tabs>
          <w:tab w:val="left" w:pos="567"/>
        </w:tabs>
        <w:spacing w:after="90"/>
        <w:ind w:left="567" w:hanging="567"/>
        <w:jc w:val="left"/>
      </w:pPr>
      <w:r>
        <w:rPr>
          <w:b/>
          <w:bCs/>
          <w:color w:val="B4410C"/>
          <w:sz w:val="19"/>
          <w:szCs w:val="19"/>
        </w:rPr>
        <w:t xml:space="preserve">[C6]	</w:t>
      </w:r>
      <w:r>
        <w:rPr>
          <w:sz w:val="19"/>
          <w:szCs w:val="19"/>
        </w:rPr>
        <w:t xml:space="preserve">Thiagarajan, N., Crémière, Blättler, Lepland, Kirsimäe, Higgins, Brunstad &amp; Eiler, J. M. (2020). Stable and clumped isotope characterization of authigenic carbonates in methane cold seep environments. </w:t>
      </w:r>
      <w:r>
        <w:rPr>
          <w:i/>
          <w:iCs/>
          <w:sz w:val="19"/>
          <w:szCs w:val="19"/>
        </w:rPr>
        <w:t xml:space="preserve">Geochimica et Cosmochimica Acta</w:t>
      </w:r>
      <w:r>
        <w:rPr>
          <w:sz w:val="19"/>
          <w:szCs w:val="19"/>
        </w:rPr>
        <w:t xml:space="preserve">, 279, 204–219 (initials of the middle six authors not verified).</w:t>
      </w:r>
      <w:r>
        <w:rPr>
          <w:sz w:val="19"/>
          <w:szCs w:val="19"/>
        </w:rPr>
        <w:t xml:space="preserve"> </w:t>
      </w:r>
      <w:hyperlink w:history="1" r:id="rIdtymrbbfseblpzxkzqhee6">
        <w:r>
          <w:rPr>
            <w:color w:val="1D4ED8"/>
            <w:sz w:val="19"/>
            <w:szCs w:val="19"/>
            <w:u w:val="single"/>
          </w:rPr>
          <w:t xml:space="preserve">https://doi.org/10.1016/j.gca.2020.03.015</w:t>
        </w:r>
      </w:hyperlink>
    </w:p>
    <w:p>
      <w:pPr>
        <w:tabs>
          <w:tab w:val="left" w:pos="567"/>
        </w:tabs>
        <w:spacing w:after="90"/>
        <w:ind w:left="567" w:hanging="567"/>
        <w:jc w:val="left"/>
      </w:pPr>
      <w:r>
        <w:rPr>
          <w:b/>
          <w:bCs/>
          <w:color w:val="B4410C"/>
          <w:sz w:val="19"/>
          <w:szCs w:val="19"/>
        </w:rPr>
        <w:t xml:space="preserve">[C7]	</w:t>
      </w:r>
      <w:r>
        <w:rPr>
          <w:sz w:val="19"/>
          <w:szCs w:val="19"/>
        </w:rPr>
        <w:t xml:space="preserve">He, X., Chadwick, G. L., Kempes, C. P., Orphan, V. J. &amp; Meile, C. (2021). Controls on interspecies electron transport and size limitation of anaerobically methane-oxidizing microbial consortia. </w:t>
      </w:r>
      <w:r>
        <w:rPr>
          <w:i/>
          <w:iCs/>
          <w:sz w:val="19"/>
          <w:szCs w:val="19"/>
        </w:rPr>
        <w:t xml:space="preserve">mBio</w:t>
      </w:r>
      <w:r>
        <w:rPr>
          <w:sz w:val="19"/>
          <w:szCs w:val="19"/>
        </w:rPr>
        <w:t xml:space="preserve">, 12(3), e03620-20.</w:t>
      </w:r>
      <w:r>
        <w:rPr>
          <w:sz w:val="19"/>
          <w:szCs w:val="19"/>
        </w:rPr>
        <w:t xml:space="preserve"> </w:t>
      </w:r>
      <w:hyperlink w:history="1" r:id="rIdzfkrwpci0blrzk_avilfi">
        <w:r>
          <w:rPr>
            <w:color w:val="1D4ED8"/>
            <w:sz w:val="19"/>
            <w:szCs w:val="19"/>
            <w:u w:val="single"/>
          </w:rPr>
          <w:t xml:space="preserve">https://doi.org/10.1128/mBio.03620-20</w:t>
        </w:r>
      </w:hyperlink>
    </w:p>
    <w:p>
      <w:pPr>
        <w:tabs>
          <w:tab w:val="left" w:pos="567"/>
        </w:tabs>
        <w:spacing w:after="90"/>
        <w:ind w:left="567" w:hanging="567"/>
        <w:jc w:val="left"/>
      </w:pPr>
      <w:r>
        <w:rPr>
          <w:b/>
          <w:bCs/>
          <w:color w:val="C25E00"/>
          <w:sz w:val="19"/>
          <w:szCs w:val="19"/>
        </w:rPr>
        <w:t xml:space="preserve">[P1]	</w:t>
      </w:r>
      <w:r>
        <w:rPr>
          <w:sz w:val="19"/>
          <w:szCs w:val="19"/>
        </w:rPr>
        <w:t xml:space="preserve">Lee, S. S., Koishi, A., Bourg, I. C. &amp; Fenter, P. (2021). Ion correlations drive charge overscreening and heterogeneous nucleation at solid–aqueous electrolyte interfaces. </w:t>
      </w:r>
      <w:r>
        <w:rPr>
          <w:i/>
          <w:iCs/>
          <w:sz w:val="19"/>
          <w:szCs w:val="19"/>
        </w:rPr>
        <w:t xml:space="preserve">Proceedings of the National Academy of Sciences</w:t>
      </w:r>
      <w:r>
        <w:rPr>
          <w:sz w:val="19"/>
          <w:szCs w:val="19"/>
        </w:rPr>
        <w:t xml:space="preserve">, 118, e2105154118.</w:t>
      </w:r>
      <w:r>
        <w:rPr>
          <w:sz w:val="19"/>
          <w:szCs w:val="19"/>
        </w:rPr>
        <w:t xml:space="preserve"> </w:t>
      </w:r>
      <w:hyperlink w:history="1" r:id="rIdaatavnmzh-qczzajulqgq">
        <w:r>
          <w:rPr>
            <w:color w:val="1D4ED8"/>
            <w:sz w:val="19"/>
            <w:szCs w:val="19"/>
            <w:u w:val="single"/>
          </w:rPr>
          <w:t xml:space="preserve">https://doi.org/10.1073/pnas.2105154118</w:t>
        </w:r>
      </w:hyperlink>
    </w:p>
    <w:p>
      <w:pPr>
        <w:tabs>
          <w:tab w:val="left" w:pos="567"/>
        </w:tabs>
        <w:spacing w:after="90"/>
        <w:ind w:left="567" w:hanging="567"/>
        <w:jc w:val="left"/>
      </w:pPr>
      <w:r>
        <w:rPr>
          <w:b/>
          <w:bCs/>
          <w:color w:val="C25E00"/>
          <w:sz w:val="19"/>
          <w:szCs w:val="19"/>
        </w:rPr>
        <w:t xml:space="preserve">[P2]	</w:t>
      </w:r>
      <w:r>
        <w:rPr>
          <w:sz w:val="19"/>
          <w:szCs w:val="19"/>
        </w:rPr>
        <w:t xml:space="preserve">Blättler, C. L., Hong, Kirsimäe, Higgins, J. A. &amp; Lepland (2021). Small calcium isotope fractionation at slow precipitation rates in methane seep authigenic carbonates. </w:t>
      </w:r>
      <w:r>
        <w:rPr>
          <w:i/>
          <w:iCs/>
          <w:sz w:val="19"/>
          <w:szCs w:val="19"/>
        </w:rPr>
        <w:t xml:space="preserve">Geochimica et Cosmochimica Acta</w:t>
      </w:r>
      <w:r>
        <w:rPr>
          <w:sz w:val="19"/>
          <w:szCs w:val="19"/>
        </w:rPr>
        <w:t xml:space="preserve">, 298, 227–239 (initials of three authors not verified).</w:t>
      </w:r>
      <w:r>
        <w:rPr>
          <w:sz w:val="19"/>
          <w:szCs w:val="19"/>
        </w:rPr>
        <w:t xml:space="preserve"> </w:t>
      </w:r>
      <w:hyperlink w:history="1" r:id="rIdo5o85ckxsfza5oqj1ledl">
        <w:r>
          <w:rPr>
            <w:color w:val="1D4ED8"/>
            <w:sz w:val="19"/>
            <w:szCs w:val="19"/>
            <w:u w:val="single"/>
          </w:rPr>
          <w:t xml:space="preserve">https://doi.org/10.1016/j.gca.2021.01.001</w:t>
        </w:r>
      </w:hyperlink>
    </w:p>
    <w:p>
      <w:pPr>
        <w:tabs>
          <w:tab w:val="left" w:pos="567"/>
        </w:tabs>
        <w:spacing w:after="90"/>
        <w:ind w:left="567" w:hanging="567"/>
        <w:jc w:val="left"/>
      </w:pPr>
      <w:r>
        <w:rPr>
          <w:b/>
          <w:bCs/>
          <w:color w:val="C25E00"/>
          <w:sz w:val="19"/>
          <w:szCs w:val="19"/>
        </w:rPr>
        <w:t xml:space="preserve">[P3]	</w:t>
      </w:r>
      <w:r>
        <w:rPr>
          <w:sz w:val="19"/>
          <w:szCs w:val="19"/>
        </w:rPr>
        <w:t xml:space="preserve">Calabrese, S., Barcellos, D., Thompson, A. &amp; Porporato, A. (2020). Theoretical constraints on Fe reduction rates in upland soils as a function of hydroclimatic conditions. </w:t>
      </w:r>
      <w:r>
        <w:rPr>
          <w:i/>
          <w:iCs/>
          <w:sz w:val="19"/>
          <w:szCs w:val="19"/>
        </w:rPr>
        <w:t xml:space="preserve">Journal of Geophysical Research: Biogeosciences</w:t>
      </w:r>
      <w:r>
        <w:rPr>
          <w:sz w:val="19"/>
          <w:szCs w:val="19"/>
        </w:rPr>
        <w:t xml:space="preserve">, 125(12), e2020JG005894.</w:t>
      </w:r>
      <w:r>
        <w:rPr>
          <w:sz w:val="19"/>
          <w:szCs w:val="19"/>
        </w:rPr>
        <w:t xml:space="preserve"> </w:t>
      </w:r>
      <w:hyperlink w:history="1" r:id="rIdwwua85kdpvlr34tf-bqyg">
        <w:r>
          <w:rPr>
            <w:color w:val="1D4ED8"/>
            <w:sz w:val="19"/>
            <w:szCs w:val="19"/>
            <w:u w:val="single"/>
          </w:rPr>
          <w:t xml:space="preserve">https://doi.org/10.1029/2020JG005894</w:t>
        </w:r>
      </w:hyperlink>
    </w:p>
    <w:p>
      <w:pPr>
        <w:tabs>
          <w:tab w:val="left" w:pos="567"/>
        </w:tabs>
        <w:spacing w:after="90"/>
        <w:ind w:left="567" w:hanging="567"/>
        <w:jc w:val="left"/>
      </w:pPr>
      <w:r>
        <w:rPr>
          <w:b/>
          <w:bCs/>
          <w:color w:val="C25E00"/>
          <w:sz w:val="19"/>
          <w:szCs w:val="19"/>
        </w:rPr>
        <w:t xml:space="preserve">[P4]	</w:t>
      </w:r>
      <w:r>
        <w:rPr>
          <w:sz w:val="19"/>
          <w:szCs w:val="19"/>
        </w:rPr>
        <w:t xml:space="preserve">Bertagni, M. B., Calabrese, S., Cipolla, G., Noto, L. V. &amp; Porporato, A. (2025). Advancing enhanced weathering modeling in soils: Critical comparison with experimental data. </w:t>
      </w:r>
      <w:r>
        <w:rPr>
          <w:i/>
          <w:iCs/>
          <w:sz w:val="19"/>
          <w:szCs w:val="19"/>
        </w:rPr>
        <w:t xml:space="preserve">Journal of Advances in Modeling Earth Systems</w:t>
      </w:r>
      <w:r>
        <w:rPr>
          <w:sz w:val="19"/>
          <w:szCs w:val="19"/>
        </w:rPr>
        <w:t xml:space="preserve">, 17(1), e2024MS004224.</w:t>
      </w:r>
      <w:r>
        <w:rPr>
          <w:sz w:val="19"/>
          <w:szCs w:val="19"/>
        </w:rPr>
        <w:t xml:space="preserve"> </w:t>
      </w:r>
      <w:hyperlink w:history="1" r:id="rIdme5cgu2vnwrlfeplgqoxy">
        <w:r>
          <w:rPr>
            <w:color w:val="1D4ED8"/>
            <w:sz w:val="19"/>
            <w:szCs w:val="19"/>
            <w:u w:val="single"/>
          </w:rPr>
          <w:t xml:space="preserve">https://doi.org/10.1029/2024MS004224</w:t>
        </w:r>
      </w:hyperlink>
    </w:p>
    <w:p>
      <w:pPr>
        <w:tabs>
          <w:tab w:val="left" w:pos="567"/>
        </w:tabs>
        <w:spacing w:after="90"/>
        <w:ind w:left="567" w:hanging="567"/>
        <w:jc w:val="left"/>
      </w:pPr>
      <w:r>
        <w:rPr>
          <w:b/>
          <w:bCs/>
          <w:color w:val="C25E00"/>
          <w:sz w:val="19"/>
          <w:szCs w:val="19"/>
        </w:rPr>
        <w:t xml:space="preserve">[P5]	</w:t>
      </w:r>
      <w:r>
        <w:rPr>
          <w:sz w:val="19"/>
          <w:szCs w:val="19"/>
        </w:rPr>
        <w:t xml:space="preserve">Bertagni, M. B. &amp; Porporato, A. (2022). The carbon-capture efficiency of natural water alkalinization: Implications for enhanced weathering. </w:t>
      </w:r>
      <w:r>
        <w:rPr>
          <w:i/>
          <w:iCs/>
          <w:sz w:val="19"/>
          <w:szCs w:val="19"/>
        </w:rPr>
        <w:t xml:space="preserve">Science of the Total Environment</w:t>
      </w:r>
      <w:r>
        <w:rPr>
          <w:sz w:val="19"/>
          <w:szCs w:val="19"/>
        </w:rPr>
        <w:t xml:space="preserve">, 838, 156524.</w:t>
      </w:r>
      <w:r>
        <w:rPr>
          <w:sz w:val="19"/>
          <w:szCs w:val="19"/>
        </w:rPr>
        <w:t xml:space="preserve"> </w:t>
      </w:r>
      <w:hyperlink w:history="1" r:id="rIdrtyg_s_pygzanqhgj-g1h">
        <w:r>
          <w:rPr>
            <w:color w:val="1D4ED8"/>
            <w:sz w:val="19"/>
            <w:szCs w:val="19"/>
            <w:u w:val="single"/>
          </w:rPr>
          <w:t xml:space="preserve">https://doi.org/10.1016/j.scitotenv.2022.156524</w:t>
        </w:r>
      </w:hyperlink>
    </w:p>
    <w:p>
      <w:pPr>
        <w:tabs>
          <w:tab w:val="left" w:pos="567"/>
        </w:tabs>
        <w:spacing w:after="90"/>
        <w:ind w:left="567" w:hanging="567"/>
        <w:jc w:val="left"/>
      </w:pPr>
      <w:r>
        <w:rPr>
          <w:b/>
          <w:bCs/>
          <w:color w:val="C25E00"/>
          <w:sz w:val="19"/>
          <w:szCs w:val="19"/>
        </w:rPr>
        <w:t xml:space="preserve">[P6]	</w:t>
      </w:r>
      <w:r>
        <w:rPr>
          <w:sz w:val="19"/>
          <w:szCs w:val="19"/>
        </w:rPr>
        <w:t xml:space="preserve">Kleber, M., Bourg, I. C., Coward, E. K., Hansel, C. M., Myneni, S. C. B. &amp; Nunan, N. (2021). Dynamic interactions at the mineral–organic matter interface. </w:t>
      </w:r>
      <w:r>
        <w:rPr>
          <w:i/>
          <w:iCs/>
          <w:sz w:val="19"/>
          <w:szCs w:val="19"/>
        </w:rPr>
        <w:t xml:space="preserve">Nature Reviews Earth &amp; Environment</w:t>
      </w:r>
      <w:r>
        <w:rPr>
          <w:sz w:val="19"/>
          <w:szCs w:val="19"/>
        </w:rPr>
        <w:t xml:space="preserve">, 2, 402–421.</w:t>
      </w:r>
      <w:r>
        <w:rPr>
          <w:sz w:val="19"/>
          <w:szCs w:val="19"/>
        </w:rPr>
        <w:t xml:space="preserve"> </w:t>
      </w:r>
      <w:hyperlink w:history="1" r:id="rIdhjycquaqwdeb1kafulnri">
        <w:r>
          <w:rPr>
            <w:color w:val="1D4ED8"/>
            <w:sz w:val="19"/>
            <w:szCs w:val="19"/>
            <w:u w:val="single"/>
          </w:rPr>
          <w:t xml:space="preserve">https://doi.org/10.1038/s43017-021-00162-y</w:t>
        </w:r>
      </w:hyperlink>
    </w:p>
    <w:p>
      <w:pPr>
        <w:spacing w:after="200"/>
      </w:pPr>
    </w:p>
    <w:p>
      <w:pPr>
        <w:spacing w:after="120"/>
      </w:pPr>
      <w:r>
        <w:rPr>
          <w:i/>
          <w:iCs/>
          <w:color w:val="5B6573"/>
          <w:sz w:val="18"/>
          <w:szCs w:val="18"/>
        </w:rPr>
        <w:t xml:space="preserve">Note on verification: no full text was opened, and direct access to publisher pages, Crossref and arXiv was blocked in this environment, so all data were verified from search-engine summaries; the equations of the papers are representative formulations. All 20 titles and DOIs were checked against the papers of the 29 previous documents of this series, with no overlap. Unconfirmed points: the affiliation block of [O1] and the institution of H. Zhang; the first page of [O2] (507 or 508 in different sources); the initials of C. Breward and C. Please [O5] and whether its impurity is dissolved or particulate; the DOI of [O6] (the ORA record is given instead); the department of each author of [O4]; the middle initials of several coauthors of [C1], [C6] and [P2]; the author block of the journal version of [C2]; the volume and pages of [C6], which come from a secondary listing; the issue of [P1]; the per-author affiliations of [P1] and [P4]. The classical references of Part I were not verified. The numbers of section 8 come from the code in experiments/tretja_go/ and are reproduced with two commands.</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Non-equilibrium and nonlinear hydrogeochemistry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ibktuvdkqvb4rgr41gmu7" Type="http://schemas.openxmlformats.org/officeDocument/2006/relationships/hyperlink" Target="https://doi.org/10.1093/gji/ggab112" TargetMode="External"/><Relationship Id="rIdpplygmjpxgj-ebxcvptdl" Type="http://schemas.openxmlformats.org/officeDocument/2006/relationships/hyperlink" Target="https://doi.org/10.1146/annurev-earth-032320-083704" TargetMode="External"/><Relationship Id="rIdkp9wbmaicvn1n0dpntsx5" Type="http://schemas.openxmlformats.org/officeDocument/2006/relationships/hyperlink" Target="https://doi.org/10.1039/D3SC04063A" TargetMode="External"/><Relationship Id="rId6kgbrwct44tf4wo7_8kbu" Type="http://schemas.openxmlformats.org/officeDocument/2006/relationships/hyperlink" Target="https://doi.org/10.1017/jfm.2021.938" TargetMode="External"/><Relationship Id="rId22ebxlbo4n1rtybokxg7y" Type="http://schemas.openxmlformats.org/officeDocument/2006/relationships/hyperlink" Target="https://doi.org/10.1017/jfm.2024.360" TargetMode="External"/><Relationship Id="rIduvqh5uzv_pfom47ullo9e" Type="http://schemas.openxmlformats.org/officeDocument/2006/relationships/hyperlink" Target="https://ora.ox.ac.uk/objects/uuid:aac7ee7f-c4a8-4120-92e9-8e8cd1cf32c9" TargetMode="External"/><Relationship Id="rIdyyiszmtbw8xtp4tavty4o" Type="http://schemas.openxmlformats.org/officeDocument/2006/relationships/hyperlink" Target="https://doi.org/10.1038/s41586-021-04153-3" TargetMode="External"/><Relationship Id="rIdj3xaxgo67-4vygoykgnjs" Type="http://schemas.openxmlformats.org/officeDocument/2006/relationships/hyperlink" Target="https://doi.org/10.1073/pnas.2011064117" TargetMode="External"/><Relationship Id="rIdgq3dynhubrhf6z-g1cyvi" Type="http://schemas.openxmlformats.org/officeDocument/2006/relationships/hyperlink" Target="https://doi.org/10.1029/2023WR036303" TargetMode="External"/><Relationship Id="rIdxewof19j1gtzr3lqrqrls" Type="http://schemas.openxmlformats.org/officeDocument/2006/relationships/hyperlink" Target="https://doi.org/10.1103/PhysRevFluids.9.043802" TargetMode="External"/><Relationship Id="rIdgilqnuuwpuf9_wt08plb7" Type="http://schemas.openxmlformats.org/officeDocument/2006/relationships/hyperlink" Target="https://doi.org/10.1016/j.gca.2020.05.031" TargetMode="External"/><Relationship Id="rIde8dxlv9pqho0wdwitudvh" Type="http://schemas.openxmlformats.org/officeDocument/2006/relationships/hyperlink" Target="https://doi.org/10.1029/2022GB007388" TargetMode="External"/><Relationship Id="rId8fde-kawd_gxuevnju143" Type="http://schemas.openxmlformats.org/officeDocument/2006/relationships/hyperlink" Target="https://doi.org/10.1016/j.gca.2020.03.015" TargetMode="External"/><Relationship Id="rIdtn4u5xhpnn42tdjmxdppm" Type="http://schemas.openxmlformats.org/officeDocument/2006/relationships/hyperlink" Target="https://doi.org/10.1128/mBio.03620-20" TargetMode="External"/><Relationship Id="rIdetbylkmrxpvctbogjs-qa" Type="http://schemas.openxmlformats.org/officeDocument/2006/relationships/hyperlink" Target="https://doi.org/10.1073/pnas.2105154118" TargetMode="External"/><Relationship Id="rIdjgdcynuq0i96hpe8mgi3r" Type="http://schemas.openxmlformats.org/officeDocument/2006/relationships/hyperlink" Target="https://doi.org/10.1016/j.gca.2021.01.001" TargetMode="External"/><Relationship Id="rIdbxuioyqmq9k9oujbbznp3" Type="http://schemas.openxmlformats.org/officeDocument/2006/relationships/hyperlink" Target="https://doi.org/10.1029/2020JG005894" TargetMode="External"/><Relationship Id="rIdpfzo34febxxko_ditjy68" Type="http://schemas.openxmlformats.org/officeDocument/2006/relationships/hyperlink" Target="https://doi.org/10.1029/2024MS004224" TargetMode="External"/><Relationship Id="rIdedx9mdyzzwz74yvdrb32v" Type="http://schemas.openxmlformats.org/officeDocument/2006/relationships/hyperlink" Target="https://doi.org/10.1016/j.scitotenv.2022.156524" TargetMode="External"/><Relationship Id="rIdx9phmjte1nisfj2katu2p" Type="http://schemas.openxmlformats.org/officeDocument/2006/relationships/hyperlink" Target="https://doi.org/10.1038/s43017-021-00162-y" TargetMode="External"/><Relationship Id="rIdoawtxcdmu6tfbsx1hg5x6" Type="http://schemas.openxmlformats.org/officeDocument/2006/relationships/hyperlink" Target="https://doi.org/10.1038/s41586-023-06581-9" TargetMode="External"/><Relationship Id="rId4rpufurkrrvoqoefjjrkd" Type="http://schemas.openxmlformats.org/officeDocument/2006/relationships/hyperlink" Target="https://doi.org/10.1021/acsmeasuresciau.2c00025" TargetMode="External"/><Relationship Id="rIda36v02tqc4vmst_358nb2" Type="http://schemas.openxmlformats.org/officeDocument/2006/relationships/hyperlink" Target="https://doi.org/10.1017/jfm.2025.189" TargetMode="External"/><Relationship Id="rIdsi29x57jhxnf35exklnzm" Type="http://schemas.openxmlformats.org/officeDocument/2006/relationships/hyperlink" Target="https://doi.org/10.1126/science.abd1515" TargetMode="External"/><Relationship Id="rId2h7hnoflvzyistpohvvg1" Type="http://schemas.openxmlformats.org/officeDocument/2006/relationships/hyperlink" Target="https://doi.org/10.1038/s41586-020-2468-5" TargetMode="External"/><Relationship Id="rIdsqt80qiunhzzfhyevagtz" Type="http://schemas.openxmlformats.org/officeDocument/2006/relationships/hyperlink" Target="https://doi.org/10.1029/2021JC017363" TargetMode="External"/><Relationship Id="rIdo2fzi2sgxlo-cud_7bmvs" Type="http://schemas.openxmlformats.org/officeDocument/2006/relationships/hyperlink" Target="https://doi.org/10.1021/acs.est.2c03163" TargetMode="External"/><Relationship Id="rId7nosfssaue0k_olwb6vf9" Type="http://schemas.openxmlformats.org/officeDocument/2006/relationships/hyperlink" Target="https://doi.org/10.1088/2515-7620/abad7b" TargetMode="External"/><Relationship Id="rIduxoswlgyedwqyfqdabviu" Type="http://schemas.openxmlformats.org/officeDocument/2006/relationships/hyperlink" Target="https://doi.org/10.1016/j.advwatres.2021.103949" TargetMode="External"/><Relationship Id="rIdsrgubghl8jyreuej0sgq0" Type="http://schemas.openxmlformats.org/officeDocument/2006/relationships/hyperlink" Target="https://doi.org/10.1093/gji/ggab112" TargetMode="External"/><Relationship Id="rId8frj3y1t3p0jox80pbjmz" Type="http://schemas.openxmlformats.org/officeDocument/2006/relationships/hyperlink" Target="https://doi.org/10.1146/annurev-earth-032320-083704" TargetMode="External"/><Relationship Id="rIdw1eumrlbkef59v7gjllr1" Type="http://schemas.openxmlformats.org/officeDocument/2006/relationships/hyperlink" Target="https://doi.org/10.1039/D3SC04063A" TargetMode="External"/><Relationship Id="rIdpv1gleul8406q7s68juof" Type="http://schemas.openxmlformats.org/officeDocument/2006/relationships/hyperlink" Target="https://doi.org/10.1017/jfm.2021.938" TargetMode="External"/><Relationship Id="rIdnpb4bi5s7jxi6c3kc59u2" Type="http://schemas.openxmlformats.org/officeDocument/2006/relationships/hyperlink" Target="https://doi.org/10.1017/jfm.2024.360" TargetMode="External"/><Relationship Id="rIdncyvkqohbfcwbrjhk1hsl" Type="http://schemas.openxmlformats.org/officeDocument/2006/relationships/hyperlink" Target="https://ora.ox.ac.uk/objects/uuid:aac7ee7f-c4a8-4120-92e9-8e8cd1cf32c9" TargetMode="External"/><Relationship Id="rIdgbprsbe3y1c9patslhz8m" Type="http://schemas.openxmlformats.org/officeDocument/2006/relationships/hyperlink" Target="https://doi.org/10.1038/s41586-021-04153-3" TargetMode="External"/><Relationship Id="rIdvjdegbci9idghqkehgrjf" Type="http://schemas.openxmlformats.org/officeDocument/2006/relationships/hyperlink" Target="https://doi.org/10.1073/pnas.2011064117" TargetMode="External"/><Relationship Id="rIdvahnyhclvl2_3lcddbtjh" Type="http://schemas.openxmlformats.org/officeDocument/2006/relationships/hyperlink" Target="https://doi.org/10.1029/2023WR036303" TargetMode="External"/><Relationship Id="rIdthqfqyxnezhla6pq4_vx1" Type="http://schemas.openxmlformats.org/officeDocument/2006/relationships/hyperlink" Target="https://doi.org/10.1103/PhysRevFluids.9.043802" TargetMode="External"/><Relationship Id="rId349-7c8m8zkljjs-2yfoe" Type="http://schemas.openxmlformats.org/officeDocument/2006/relationships/hyperlink" Target="https://doi.org/10.1016/j.gca.2020.05.031" TargetMode="External"/><Relationship Id="rIdowgkerk1kcut0c_8llxu6" Type="http://schemas.openxmlformats.org/officeDocument/2006/relationships/hyperlink" Target="https://doi.org/10.1029/2022GB007388" TargetMode="External"/><Relationship Id="rIdtymrbbfseblpzxkzqhee6" Type="http://schemas.openxmlformats.org/officeDocument/2006/relationships/hyperlink" Target="https://doi.org/10.1016/j.gca.2020.03.015" TargetMode="External"/><Relationship Id="rIdzfkrwpci0blrzk_avilfi" Type="http://schemas.openxmlformats.org/officeDocument/2006/relationships/hyperlink" Target="https://doi.org/10.1128/mBio.03620-20" TargetMode="External"/><Relationship Id="rIdaatavnmzh-qczzajulqgq" Type="http://schemas.openxmlformats.org/officeDocument/2006/relationships/hyperlink" Target="https://doi.org/10.1073/pnas.2105154118" TargetMode="External"/><Relationship Id="rIdo5o85ckxsfza5oqj1ledl" Type="http://schemas.openxmlformats.org/officeDocument/2006/relationships/hyperlink" Target="https://doi.org/10.1016/j.gca.2021.01.001" TargetMode="External"/><Relationship Id="rIdwwua85kdpvlr34tf-bqyg" Type="http://schemas.openxmlformats.org/officeDocument/2006/relationships/hyperlink" Target="https://doi.org/10.1029/2020JG005894" TargetMode="External"/><Relationship Id="rIdme5cgu2vnwrlfeplgqoxy" Type="http://schemas.openxmlformats.org/officeDocument/2006/relationships/hyperlink" Target="https://doi.org/10.1029/2024MS004224" TargetMode="External"/><Relationship Id="rIdrtyg_s_pygzanqhgj-g1h" Type="http://schemas.openxmlformats.org/officeDocument/2006/relationships/hyperlink" Target="https://doi.org/10.1016/j.scitotenv.2022.156524" TargetMode="External"/><Relationship Id="rIdhjycquaqwdeb1kafulnri" Type="http://schemas.openxmlformats.org/officeDocument/2006/relationships/hyperlink" Target="https://doi.org/10.1038/s43017-021-00162-y" TargetMode="External"/><Relationship Id="rId11" Type="http://schemas.openxmlformats.org/officeDocument/2006/relationships/image" Target="media/1e8c797e04efda2f3697a23c229226da384e1f8d.png"/><Relationship Id="rId12" Type="http://schemas.openxmlformats.org/officeDocument/2006/relationships/image" Target="media/84cc3d610d7921eae09557802987e5996e9b3b2d.png"/><Relationship Id="rId6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Hydrogeochemistry away from equilibrium: non-equilibrium and nonlinear processes in water–rock systems</dc:title>
  <dc:subject>Literature review: non-equilibrium and nonlinear hydrogeochemistry, 2020–2026</dc:subject>
  <dc:creator>D. Zeqiraj</dc:creator>
  <dc:description>Theoretical introduction and the 20 most relevant papers (2020–2026) from Oxford, Caltech and Princeton on non-equilibrium, nonlinear hydrogeochemistry, with a numerically tested innovation for the calcite mixing zone of a coastal aquifer</dc:description>
  <cp:lastModifiedBy>D. Zeqiraj</cp:lastModifiedBy>
  <cp:revision>1</cp:revision>
  <dcterms:created xsi:type="dcterms:W3CDTF">2026-10-20T10:51:52.552Z</dcterms:created>
  <dcterms:modified xsi:type="dcterms:W3CDTF">2026-10-20T10:51:52.552Z</dcterms:modified>
</cp:coreProperties>
</file>

<file path=docProps/custom.xml><?xml version="1.0" encoding="utf-8"?>
<Properties xmlns="http://schemas.openxmlformats.org/officeDocument/2006/custom-properties" xmlns:vt="http://schemas.openxmlformats.org/officeDocument/2006/docPropsVTypes"/>
</file>