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2"/>
        </w:rPr>
        <w:t>Critical mass of the network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Range of expertise. </w:t>
      </w:r>
      <w:r>
        <w:rPr>
          <w:rFonts w:ascii="Arial" w:hAnsi="Arial"/>
          <w:sz w:val="22"/>
        </w:rPr>
        <w:t>The challenge needs eleven competences, and the network was assembled against that list. Physics and method: variable-density flow and transport modelling; hydrogeochemistry of intrusion; Bayesian inverse methods, experimental design and statistical learning from records; multi-criteria decision analysis. Aquifers: coastal karst; alluvial and deltaic systems; geophysical imaging of the fresh–saline interface. Practice and custody: managed aquifer recharge; long-term monitoring records (geological surveys); well-field operation and pumping records (water utilities); status classification (water agencies and river basin authorities).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Critical mass. </w:t>
      </w:r>
      <w:r>
        <w:rPr>
          <w:rFonts w:ascii="Arial" w:hAnsi="Arial"/>
          <w:sz w:val="22"/>
        </w:rPr>
        <w:t>The network comprises 58 proposers from more than twenty COST countries, about 60% from Inclusiveness Target Countries; more than half are young researchers and innovators and close to 40% are women. About 90% are universities and research organisations; the rest are governmental bodies and a water utility that operates a coastal well field and brings pumping records and operators' logs. All eleven competences are present, the methodological ones in several independent groups.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Plan to grow. </w:t>
      </w:r>
      <w:r>
        <w:rPr>
          <w:rFonts w:ascii="Arial" w:hAnsi="Arial"/>
          <w:sz w:val="22"/>
        </w:rPr>
        <w:t>Three gaps are stated. Applied mathematics and statistics are not yet any proposer's core field: at least three such groups will be recruited by Month 12. At least two more utilities will join Working Group 4 by Month 12, with consultancies and instrument makers in a Stakeholder Advisory Panel. Operating recharge schemes are scarce, so their role is kept light. New sites are recruited for contrast in hydrogeological setting, not convenience, and every member has a defined role in a Working Group deliverable.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