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36217" cy="590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OMAR_Impac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36217" cy="590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i/>
          <w:sz w:val="22"/>
        </w:rPr>
        <w:t>Figure. Impact related to objectives: for each impact area (science, technology and method, policy, society and economy, coordination and capacity) and the objectives it serves, the short-, medium- and long-term impact, the indicator that makes it realistic, and the three outcomes that make it innovative. Content as in annex sections 2.A and 3.C.</w:t>
      </w:r>
    </w:p>
    <w:sectPr w:rsidR="00FC693F" w:rsidRPr="0006063C" w:rsidSect="00034616">
      <w:pgSz w:w="16838" w:h="11906" w:orient="landscape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