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Arial" w:hAnsi="Arial"/>
          <w:b/>
          <w:i w:val="0"/>
          <w:sz w:val="26"/>
        </w:rPr>
        <w:t>References</w:t>
      </w:r>
    </w:p>
    <w:p>
      <w:pPr>
        <w:spacing w:after="120" w:before="0"/>
      </w:pPr>
      <w:r>
        <w:rPr>
          <w:rFonts w:ascii="Arial" w:hAnsi="Arial"/>
          <w:b/>
          <w:i w:val="0"/>
          <w:sz w:val="22"/>
        </w:rPr>
        <w:t>A. Scientific literature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Abarca, E., Carrera, J., Sánchez-Vila, X. and Dentz, M. (2007). Anisotropic dispersive Henry problem. Advances in Water Resources 30(4), 913–926. doi:10.1016/j.advwatres.2006.08.005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Alexanderian, A., Gloor, P.J. and Ghattas, O. (2016a). On Bayesian A- and D-optimal experimental designs in infinite dimensions. Bayesian Analysis 11(3), 671–695.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Alexanderian, A., Petra, N., Stadler, G. and Ghattas, O. (2016b). A fast and scalable method for A-optimal design of experiments for infinite-dimensional Bayesian nonlinear inverse problems. SIAM Journal on Scientific Computing 38(1), A243–A272.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Alexanderian, A. (2021). Optimal experimental design for infinite-dimensional Bayesian inverse problems governed by PDEs: a review. Inverse Problems 37(4), 043001. doi:10.1088/1361-6420/abe10c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Appelo, C.A.J. and Postma, D. (2005). Geochemistry, Groundwater and Pollution, 2nd edition. A.A. Balkema, Leiden. doi:10.1201/9781439833544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Attia, A., Alexanderian, A. and Saibaba, A.K. (2018). Goal-oriented optimal design of experiments for large-scale Bayesian linear inverse problems. Inverse Problems 34(9), 095009. doi:10.1088/1361-6420/aad210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Barber, D. and Agakov, F. (2003). The IM algorithm: a variational approach to information maximization. Advances in Neural Information Processing Systems 16.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Boudreau, B.P., Meysman, F.J.R. and Middelburg, J.J. (2004). Multicomponent ionic diffusion in porewaters: Coulombic effects revisited. Earth and Planetary Science Letters 222(2), 653–666.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Diersch, H.-J.G. and Kolditz, O. (2002). Variable-density flow and transport in porous media: approaches and challenges. Advances in Water Resources 25(8–12), 899–944.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Foster, A., Jankowiak, M., Bingham, E., Horsfall, P., Teh, Y.W., Rainforth, T. and Goodman, N. (2019). Variational Bayesian optimal experimental design. Advances in Neural Information Processing Systems 32.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Frind, E.O. (1982). Simulation of long-term transient density-dependent transport in groundwater. Advances in Water Resources 5(2), 73–88.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Huan, X., Jagalur, J. and Marzouk, Y. (2024). Optimal experimental design: formulations and computations. Acta Numerica 33, 715–840. doi:10.1017/S0962492924000023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Huyakorn, P.S., Andersen, P.F., Mercer, J.W. and White, H.O. (1987). Saltwater intrusion in aquifers: development and testing of a three-dimensional finite element model. Water Resources Research 23(2), 293–312.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Kourakos, G. and Mantoglou, A. (2009). Pumping optimization of coastal aquifers based on evolutionary algorithms and surrogate modular neural network models. Advances in Water Resources 32(4), 507–521.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Koval, K., Herzog, R. and Scheichl, R. (2024). Tractable optimal experimental design using transport maps. Inverse Problems 40(12), 125002. doi:10.1088/1361-6420/ad8260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Krause, A., Singh, A. and Guestrin, C. (2008). Near-optimal sensor placements in Gaussian processes: theory, efficient algorithms and empirical studies. Journal of Machine Learning Research 9, 235–284.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Lal, A. and Datta, B. (2019). Application of monitoring network design and feedback information for adaptive management of coastal groundwater resources. International Journal of Environmental Research and Public Health 16(22), 4365. doi:10.3390/ijerph16224365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Leube, P.C., Geiges, A. and Nowak, W. (2012). Bayesian assessment of the expected data impact on prediction confidence in optimal sampling design. Water Resources Research 48, W02501.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Lichtner, P.C. (1985). Continuum model for simultaneous chemical reactions and mass transport in hydrothermal systems. Geochimica et Cosmochimica Acta 49(3), 779–800.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Lykkegaard, M.B. and Dodwell, T.J. (2022). Where to drill next? A dual-weighted approach to adaptive optimal design of groundwater surveys. Advances in Water Resources 164, 104219.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Nemhauser, G.L., Wolsey, L.A. and Fisher, M.L. (1978). An analysis of approximations for maximizing submodular set functions—I. Mathematical Programming 14(1), 265–294.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Neuberger, J.N., Alexanderian, A. and van Bloemen Waanders, B. (2025). Goal oriented optimal design of infinite-dimensional Bayesian inverse problems using quadratic approximations. Journal of Scientific Computing 105(2), 55. doi:10.1007/s10915-025-03073-y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Nowak, W., de Barros, F.P.J. and Rubin, Y. (2010). Bayesian geostatistical design: task-driven optimal site investigation when the geostatistical model is uncertain. Water Resources Research 46, W03535.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Pauw, P.S. et al. (2015). [full reference being checked]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Plummer, M. (2015). Cuts in Bayesian graphical models. Statistics and Computing 25(1), 37–43. doi:10.1007/s11222-014-9503-z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Pool, M. and Carrera, J. (2010). Dynamics of negative hydraulic barriers to prevent seawater intrusion. Hydrogeology Journal 18(1), 95–105.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Rainforth, T., Foster, A., Ivanova, D.R. and Bickford Smith, F. (2024). Modern Bayesian experimental design. Statistical Science 39(1), 100–114. doi:10.1214/23-STS915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Rashidinejad, P., Zhu, B., Ma, C., Jiao, J. and Russell, S. (2022). Bridging offline reinforcement learning and imitation learning: a tale of pessimism. IEEE Transactions on Information Theory 68(12), 8156–8196.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Rolle, M., Muniruzzaman, M., Haberer, C.M. and Grathwohl, P. (2013). Coulombic effects in advection-dominated transport of electrolytes in porous media: multicomponent ionic dispersion. Geochimica et Cosmochimica Acta 120, 195–205. doi:10.1016/j.gca.2013.06.031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Saaltink, M.W., Ayora, C. and Carrera, J. (1998). A mathematical formulation for reactive transport that eliminates mineral concentrations. Water Resources Research 34(7), 1649–1656.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Simpson, M.J. and Clement, T.P. (2004). Improving the worthiness of the Henry problem as a benchmark for density-dependent groundwater flow models. Water Resources Research 40, W01504.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Sreekanth, J. and Datta, B. (2010). Multi-objective management of saltwater intrusion in coastal aquifers using genetic programming and modular neural network based surrogate models. Journal of Hydrology 393(3–4), 245–256. doi:10.1016/j.jhydrol.2010.08.023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Wagenmaker, A.J., Simchowitz, M. and Jamieson, K. (2021). Task-optimal exploration in linear dynamical systems. Proceedings of the 38th International Conference on Machine Learning, PMLR 139, 10641–10652.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Wöhling, T., Geiges, A. and Nowak, W. (2016). Optimal design of multitype groundwater monitoring networks using easily accessible tools. Groundwater 54(6), 861–870.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Yoon, … et al. (2020). [full reference being checked]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Ziemann, I. and Sandberg, H. (2021). On uninformative optimal policies in adaptive LQR with unknown B-matrix. Proceedings of the 3rd Conference on Learning for Dynamics and Control, PMLR 144, 213–226.</w:t>
      </w:r>
    </w:p>
    <w:p>
      <w:pPr>
        <w:spacing w:after="120" w:before="160"/>
      </w:pPr>
      <w:r>
        <w:rPr>
          <w:rFonts w:ascii="Arial" w:hAnsi="Arial"/>
          <w:b/>
          <w:i w:val="0"/>
          <w:sz w:val="22"/>
        </w:rPr>
        <w:t>B. European law, policy and standards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Directive 2000/60/EC of the European Parliament and of the Council of 23 October 2000 establishing a framework for Community action in the field of water policy (Water Framework Directive). Official Journal of the European Communities L 327, 22.12.2000, 1–73.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Directive (EU) 2026/805 of 30 March 2026 [full title and Official Journal reference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European Commission (2025). European Water Resilience Strategy. Communication from the Commission [document number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Directive 2007/2/EC of the European Parliament and of the Council of 14 March 2007 establishing an Infrastructure for Spatial Information in the European Community (INSPIRE). Official Journal of the European Union L 108, 25.4.2007, 1–14.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Open Geospatial Consortium. OGC WaterML 2: Part 4 – GroundWaterML 2 (GWML2) [document number and year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IGRAC, International Groundwater Resources Assessment Centre. Global MAR Inventory (managed aquifer recharge) [portal name and URL being checked].</w:t>
      </w:r>
    </w:p>
    <w:p>
      <w:pPr>
        <w:spacing w:after="120" w:before="160"/>
      </w:pPr>
      <w:r>
        <w:rPr>
          <w:rFonts w:ascii="Arial" w:hAnsi="Arial"/>
          <w:b/>
          <w:i w:val="0"/>
          <w:sz w:val="22"/>
        </w:rPr>
        <w:t>C. Related COST Actions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COST Action CA21112, OFF-SOURCE [official title and years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COST Action CA19120, WATSON [official title and years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COST Action CA22144, SUSTAIN [official title and years being checked].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 w:val="0"/>
          <w:sz w:val="22"/>
        </w:rPr>
        <w:t>COST Action 621 [official title and years being checked].</w:t>
      </w:r>
    </w:p>
    <w:p>
      <w:pPr>
        <w:spacing w:after="120" w:before="200"/>
      </w:pPr>
      <w:r>
        <w:rPr>
          <w:rFonts w:ascii="Arial" w:hAnsi="Arial"/>
          <w:b/>
          <w:i w:val="0"/>
          <w:sz w:val="22"/>
        </w:rPr>
        <w:t>Notes for the applicant (delete before submission)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/>
          <w:sz w:val="20"/>
        </w:rPr>
        <w:t>• Version 1. Entries with a DOI were confirmed against the publisher earlier in this work. The others are being checked now; the final version adds their DOIs and corrects any detail that differs.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/>
          <w:sz w:val="20"/>
        </w:rPr>
        <w:t>• Still open: Pauw et al. (2015) and Yoon et al. (2020), which need the exact paper the annex means; Directive (EU) 2026/805; the Water Resilience Strategy number; the GroundWaterML 2 document number; the IGRAC inventory; the four COST Actions.</w:t>
      </w:r>
    </w:p>
    <w:p>
      <w:pPr>
        <w:spacing w:after="80" w:before="0"/>
        <w:ind w:left="425" w:hanging="425"/>
      </w:pPr>
      <w:r>
        <w:rPr>
          <w:rFonts w:ascii="Arial" w:hAnsi="Arial"/>
          <w:b w:val="0"/>
          <w:i/>
          <w:sz w:val="20"/>
        </w:rPr>
        <w:t>• Alexanderian et al. (2016a) and (2016b) are lettered by the second author, Gloor before Petra; the annex cites both together, so no change to the text is needed.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