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left"/>
      </w:pPr>
      <w:r>
        <w:rPr>
          <w:b/>
          <w:bCs/>
          <w:sz w:val="32"/>
          <w:szCs w:val="32"/>
        </w:rPr>
        <w:t xml:space="preserve">Supplementary Material</w:t>
      </w:r>
    </w:p>
    <w:p>
      <w:pPr>
        <w:spacing w:after="240" w:line="300"/>
      </w:pPr>
      <w:r>
        <w:rPr>
          <w:sz w:val="25"/>
          <w:szCs w:val="25"/>
        </w:rPr>
        <w:t xml:space="preserve">for: </w:t>
      </w:r>
      <w:r>
        <w:rPr>
          <w:i/>
          <w:iCs/>
          <w:sz w:val="25"/>
          <w:szCs w:val="25"/>
        </w:rPr>
        <w:t xml:space="preserve">From sparse hydrochemistry to decision-relevant information: probabilistic chloride mapping and goal-oriented monitoring design for seawater intrusion in the Fushë-Kuqe coastal aquifer, Albania</w:t>
      </w:r>
    </w:p>
    <w:p>
      <w:pPr>
        <w:spacing w:after="80"/>
      </w:pPr>
      <w:r>
        <w:rPr>
          <w:sz w:val="24"/>
          <w:szCs w:val="24"/>
        </w:rPr>
        <w:t xml:space="preserve">Dulian Zeqiraj</w:t>
      </w:r>
      <w:r>
        <w:rPr>
          <w:sz w:val="24"/>
          <w:szCs w:val="24"/>
          <w:vertAlign w:val="superscript"/>
        </w:rPr>
        <w:t xml:space="preserve">a,*</w:t>
      </w:r>
    </w:p>
    <w:p>
      <w:pPr>
        <w:spacing w:after="60" w:line="276"/>
      </w:pPr>
      <w:r>
        <w:rPr>
          <w:i/>
          <w:iCs/>
          <w:vertAlign w:val="superscript"/>
        </w:rPr>
        <w:t xml:space="preserve">a</w:t>
      </w:r>
      <w:r>
        <w:rPr>
          <w:i/>
          <w:iCs/>
        </w:rPr>
        <w:t xml:space="preserve"> Department of Energy Resources, Faculty of Geology and Mining, Polytechnic University of Tirana, Tirana, Albania</w:t>
      </w:r>
    </w:p>
    <w:p>
      <w:pPr>
        <w:spacing w:after="240" w:line="276"/>
      </w:pPr>
      <w:r>
        <w:rPr>
          <w:vertAlign w:val="superscript"/>
        </w:rPr>
        <w:t xml:space="preserve">*</w:t>
      </w:r>
      <w:r>
        <w:t xml:space="preserve"> Corresponding author. E-mail address: dulian.zeqiraj@fgjm.edu.al</w:t>
      </w:r>
    </w:p>
    <w:p>
      <w:pPr>
        <w:spacing w:after="120" w:line="360"/>
        <w:jc w:val="both"/>
      </w:pPr>
      <w:r>
        <w:t xml:space="preserve">Contents: S1 Data, derived inputs and result files; S2 Sea contact; S3 Calibration summaries and sensitivity; S4 Parameter posteriors; S5 Variable-density solver and section runs; S6 Sampling design: the SINERGO condition and full results; S7 The decision modules; S8 The MATLAB R2026b package and reproduction map.</w:t>
      </w:r>
    </w:p>
    <w:p>
      <w:pPr>
        <w:spacing w:after="120" w:line="360"/>
        <w:jc w:val="both"/>
      </w:pPr>
      <w:r>
        <w:t xml:space="preserve">Paths refer to the code repository </w:t>
      </w:r>
      <w:hyperlink w:history="1" r:id="rIdz6mjuk18r3ihfca6oinc8">
        <w:r>
          <w:rPr>
            <w:color w:val="1D4ED8"/>
            <w:u w:val="single"/>
          </w:rPr>
          <w:t xml:space="preserve">https://github.com/dulianzeqiraj/swi-goal-oed</w:t>
        </w:r>
      </w:hyperlink>
      <w:r>
        <w:t xml:space="preserve">. Equation, figure and table numbers without the prefix S refer to the main text.</w:t>
      </w:r>
    </w:p>
    <w:p>
      <w:r>
        <w:br w:type="page"/>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S1. Data, derived inputs and result files</w:t>
      </w:r>
    </w:p>
    <w:p>
      <w:pPr>
        <w:spacing w:after="120" w:line="360"/>
        <w:jc w:val="both"/>
      </w:pPr>
      <w:r>
        <w:t xml:space="preserve">The chloride study uses the sheets of the data workbook listed in Table 1 of the main text. The derived inputs and results are listed in Table S1; every file is written by the code named in the last column, in Python (chloride_fk/python) or MATLAB (chloride_fk/matlab).</w:t>
      </w:r>
    </w:p>
    <w:p>
      <w:pPr>
        <w:keepNext/>
        <w:spacing w:after="80" w:before="200" w:line="276"/>
      </w:pPr>
      <w:r>
        <w:rPr>
          <w:b/>
          <w:bCs/>
          <w:sz w:val="20"/>
          <w:szCs w:val="20"/>
        </w:rPr>
        <w:t xml:space="preserve">Table S1.</w:t>
      </w:r>
      <w:r>
        <w:rPr>
          <w:sz w:val="20"/>
          <w:szCs w:val="20"/>
        </w:rPr>
        <w:t xml:space="preserve"> Derived inputs and result files of the chloride study (folder chloride_fk).</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200"/>
        <w:gridCol w:w="1870"/>
      </w:tblGrid>
      <w:tr>
        <w:trPr>
          <w:cantSplit/>
          <w:tblHeader/>
        </w:trPr>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File</w:t>
            </w:r>
          </w:p>
        </w:tc>
        <w:tc>
          <w:tcPr>
            <w:tcW w:type="dxa" w:w="4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Content</w:t>
            </w:r>
          </w:p>
        </w:tc>
        <w:tc>
          <w:tcPr>
            <w:tcW w:type="dxa" w:w="1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Written by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derived/shoreline_rows.csv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GLOBE shoreline: easternmost sea point west of the aquifer, per 0.25 km model row</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fkcl_geo.py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derived/shoreline_polyline.csv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shoreline as polylines (distance to the shore)</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fkcl_geo.py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derived/places.csv, origin.csv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place labels; origin of the local coordinates</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fkcl_geo.py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results/calib_prior_draws.csv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20 000 prior draws (shared by Python and MATLAB)</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fkcl_export.py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results/calib_summary.json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prior and posterior quantiles of summaries and parameters, ESS</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fkcl_calib.py / fkcl_calibrate.m</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results/calib_sensitivity.json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six readings of the documented facts (Table S4)</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fkcl_sensitivity.py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results/post_idx.csv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systematic resample of 2000 members (1-based indices)</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fkcl_export.py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results/post_cells.csv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per-cell posterior quantiles of chloride, exceedance probabilities, wedge probability</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fkcl_post.py / fkcl_posterior.m</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results/post_summary.json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areas above 250 mg/L at three depths and wedge area</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fkcl_post.py</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results/design_summary.json, design_candidates.csv</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design results for both goals; linear EIG of all candidates</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fkcl_design.py / fkcl_design.m</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results/section_*.npz, section_summary.json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variable-density sections (Table S7)</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fkcl_section.py / fkcl_section.m</w:t>
            </w:r>
          </w:p>
        </w:tc>
      </w:tr>
      <w:tr>
        <w:trPr>
          <w:cantSplit/>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results/hydrochem.json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seawater fraction, ion deltas, BEX, Revelle ratio (MATLAB: results_matlab/hydrochem.csv)</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fkcl_hydrochem.py / fkcl_hydrochem.m</w:t>
            </w:r>
          </w:p>
        </w:tc>
      </w:tr>
      <w:tr>
        <w:trPr>
          <w:cantSplit/>
        </w:trPr>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results/selftest_S500.csv</w:t>
            </w:r>
          </w:p>
        </w:tc>
        <w:tc>
          <w:tcPr>
            <w:tcW w:type="dxa" w:w="4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reference summaries of the first 500 draws (self-test 6)</w:t>
            </w:r>
          </w:p>
        </w:tc>
        <w:tc>
          <w:tcPr>
            <w:tcW w:type="dxa" w:w="1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fkcl_calib.py</w:t>
            </w:r>
          </w:p>
        </w:tc>
      </w:tr>
    </w:tbl>
    <w:p>
      <w:pPr>
        <w:spacing w:after="160"/>
      </w:pP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S2. Sea contact</w:t>
      </w:r>
    </w:p>
    <w:p>
      <w:pPr>
        <w:spacing w:after="120" w:line="360"/>
        <w:jc w:val="both"/>
      </w:pPr>
      <w:r>
        <w:t xml:space="preserve">The GLOBE land mask (30 arc-second grid) was transformed from WGS84 to the Gauss–Krüger zone 4 grid of the workbook (Pulkovo 1942, EPSG:28404). For each 0.25 km row of the model grid, the shoreline position is the easternmost sea point west of the aquifer. A row drains to the sea if the western edge of the aquifer lies within 5 km of that point; the gap g ≥ 0 between them (negative gaps, where the polygon extends up to 1.35 km beyond the GLOBE coast within the resolution of the mask, are set to zero) gives the conductance of the Robin link, Δx/(g + Δx/2) per unit thickness. Table S2 summarizes the contact by latitude band. All 92 contact cells lie north of y = 29 km; south of it the nearest sea is 10–13 km west of the aquifer.</w:t>
      </w:r>
    </w:p>
    <w:p>
      <w:pPr>
        <w:keepNext/>
        <w:spacing w:after="80" w:before="200" w:line="276"/>
      </w:pPr>
      <w:r>
        <w:rPr>
          <w:b/>
          <w:bCs/>
          <w:sz w:val="20"/>
          <w:szCs w:val="20"/>
        </w:rPr>
        <w:t xml:space="preserve">Table S2.</w:t>
      </w:r>
      <w:r>
        <w:rPr>
          <w:sz w:val="20"/>
          <w:szCs w:val="20"/>
        </w:rPr>
        <w:t xml:space="preserve"> Sea contact of the model rows by latitude band (sector y ≥ 24 km).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1500"/>
        <w:gridCol w:w="2000"/>
        <w:gridCol w:w="3570"/>
      </w:tblGrid>
      <w:tr>
        <w:trPr>
          <w:cantSplit/>
          <w:tblHeader/>
        </w:trPr>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y band [km]</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Rows</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Contact rows</w:t>
            </w:r>
          </w:p>
        </w:tc>
        <w:tc>
          <w:tcPr>
            <w:tcW w:type="dxa" w:w="3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9"/>
                <w:szCs w:val="19"/>
              </w:rPr>
              <w:t xml:space="preserve">Gap min / median / max [km]</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24–28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10.00 / 12.35 / 12.85</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28–32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0.50 / 1.98 / 12.10</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32–36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−0.05 / 1.15 / 2.25</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36–40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1.15 / 1.83 / 4.35</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40–44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1.15 / 1.60 / 2.05</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44–48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−1.10 / −0.57 / 1.85</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48–52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16</w:t>
            </w:r>
          </w:p>
        </w:tc>
        <w:tc>
          <w:tcPr>
            <w:tcW w:type="dxa" w:w="3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9"/>
                <w:szCs w:val="19"/>
              </w:rPr>
              <w:t xml:space="preserve">−1.35 / −0.13 / 0.90</w:t>
            </w:r>
          </w:p>
        </w:tc>
      </w:tr>
      <w:tr>
        <w:trPr>
          <w:cantSplit/>
        </w:trPr>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52–52.5</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1</w:t>
            </w:r>
          </w:p>
        </w:tc>
        <w:tc>
          <w:tcPr>
            <w:tcW w:type="dxa" w:w="3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9"/>
                <w:szCs w:val="19"/>
              </w:rPr>
              <w:t xml:space="preserve">0.90 / 0.90 / 0.90</w:t>
            </w:r>
          </w:p>
        </w:tc>
      </w:tr>
    </w:tbl>
    <w:p>
      <w:pPr>
        <w:spacing w:after="240" w:before="60" w:line="240"/>
      </w:pPr>
      <w:r>
        <w:rPr>
          <w:sz w:val="18"/>
          <w:szCs w:val="18"/>
        </w:rPr>
        <w:t xml:space="preserve">Total: 92 contact rows (one contact cell each), 23 km of shoreline.</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S3. Calibration summaries and sensitivity</w:t>
      </w:r>
    </w:p>
    <w:p>
      <w:pPr>
        <w:spacing w:after="120" w:line="360"/>
        <w:jc w:val="both"/>
      </w:pPr>
      <w:r>
        <w:t xml:space="preserve">Bands used by the summaries (all within rows in sea contact): SW band, y = 30–40 km and 0.5–2.5 km from the shore; central band, y = 30–40 km and 3–6 km; NE band, y = 36–46 km and at least 7 km. Table S3 defines the 15 summaries computed for every draw and gives their prior and posterior quantiles; S1, S2, S11 and S5 enter the likelihood (Eq. 8 of the main text, with the second-aquifer reading of T3a), S4 and S15 are the held-out predictions for well 340.</w:t>
      </w:r>
    </w:p>
    <w:p>
      <w:pPr>
        <w:keepNext/>
        <w:spacing w:after="80" w:before="200" w:line="276"/>
      </w:pPr>
      <w:r>
        <w:rPr>
          <w:b/>
          <w:bCs/>
          <w:sz w:val="20"/>
          <w:szCs w:val="20"/>
        </w:rPr>
        <w:t xml:space="preserve">Table S3.</w:t>
      </w:r>
      <w:r>
        <w:rPr>
          <w:sz w:val="20"/>
          <w:szCs w:val="20"/>
        </w:rPr>
        <w:t xml:space="preserve"> Summary statistics of the areal model: definition, prior and posterior (5 %, 50 %, 95 %).</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4100"/>
        <w:gridCol w:w="2235"/>
        <w:gridCol w:w="2235"/>
      </w:tblGrid>
      <w:tr>
        <w:trPr>
          <w:cantSplit/>
          <w:tblHeader/>
        </w:trPr>
        <w:tc>
          <w:tcPr>
            <w:tcW w:type="dxa" w:w="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p>
        </w:tc>
        <w:tc>
          <w:tcPr>
            <w:tcW w:type="dxa" w:w="4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Definition</w:t>
            </w:r>
          </w:p>
        </w:tc>
        <w:tc>
          <w:tcPr>
            <w:tcW w:type="dxa" w:w="22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Prior</w:t>
            </w:r>
          </w:p>
        </w:tc>
        <w:tc>
          <w:tcPr>
            <w:tcW w:type="dxa" w:w="22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Posterior</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area with upper-screen Cl &gt; 250 mg/L / polygon area (349.1 km²) — T1</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0.0 / 0.0 / 0.4</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0.0 / 0.1 / 0.2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S2</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head in the SW band [m] — T2</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2.57 / 4.10 / 7.41</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3.45 / 4.03 / 4.85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S3</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first-aquifer seawater fraction, SW band</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2.9e-65 / 1.1e-6 / 0.0810</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9.8e-10 / 3.7e-4 / 0.0076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S4</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first-aquifer seawater fraction, central band (held out)</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9.1e-194 / 5.0e-13 / 0.0200</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7.1e-19 / 5.3e-7 / 2.3e-4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S5</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upper-screen chloride, NE band [mg/L] — T3c</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12.9 / 12.9 / 214.3</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12.9 / 12.9 / 13.0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S6</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area of the seawater wedge at the base [km²]</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24.9 / 91.6 / 180.2</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63.6 / 94.8 / 124.5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S7</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area with base chloride &gt; 250 mg/L / polygon area</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0.107 / 0.349 / 0.586</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0.317 / 0.378 / 0.468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S8</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base seawater fraction, SW band</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4.4e-8 / 0.798 / 1.000</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0.437 / 0.790 / 0.995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S9</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maximum upper-screen chloride, SW and central bands [mg/L]</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13 / 743 / 7091</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297 / 1783 / 3571</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S10</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maximum base chloride, SW and central bands [mg/L]</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18429 / 21095 / 21894</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20197 / 21110 / 21877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S11</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second-aquifer seawater fraction, SW band — T3a</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7.5e-26 / 0.052 / 0.774</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0.029 / 0.096 / 0.258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S12</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upper-screen chloride, SW band [mg/L]</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12.9 / 12.9 / 1731.6</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12.9 / 20.9 / 174.2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S13</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mid-screen chloride, SW band [mg/L]</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13 / 1126 / 16513</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625 / 2053 / 5489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S14</w:t>
            </w:r>
          </w:p>
        </w:tc>
        <w:tc>
          <w:tcPr>
            <w:tcW w:type="dxa" w:w="4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area with mid-screen chloride &gt; 250 mg/L / polygon area</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0.037 / 0.214 / 0.553</w:t>
            </w:r>
          </w:p>
        </w:tc>
        <w:tc>
          <w:tcPr>
            <w:tcW w:type="dxa" w:w="22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0.192 / 0.269 / 0.358</w:t>
            </w:r>
          </w:p>
        </w:tc>
      </w:tr>
      <w:tr>
        <w:trPr>
          <w:cantSplit/>
        </w:trPr>
        <w:tc>
          <w:tcPr>
            <w:tcW w:type="dxa" w:w="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S15</w:t>
            </w:r>
          </w:p>
        </w:tc>
        <w:tc>
          <w:tcPr>
            <w:tcW w:type="dxa" w:w="4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median second-aquifer seawater fraction, central band (held out)</w:t>
            </w:r>
          </w:p>
        </w:tc>
        <w:tc>
          <w:tcPr>
            <w:tcW w:type="dxa" w:w="22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2.3e-133 / 3.2e-6 / 0.2636</w:t>
            </w:r>
          </w:p>
        </w:tc>
        <w:tc>
          <w:tcPr>
            <w:tcW w:type="dxa" w:w="22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4.5e-8 / 4.5e-4 / 0.0133</w:t>
            </w:r>
          </w:p>
        </w:tc>
      </w:tr>
    </w:tbl>
    <w:p>
      <w:pPr>
        <w:spacing w:after="160"/>
      </w:pPr>
    </w:p>
    <w:p>
      <w:pPr>
        <w:spacing w:after="120" w:line="360"/>
        <w:jc w:val="both"/>
      </w:pPr>
      <w:r>
        <w:t xml:space="preserve">Table S4 repeats the calibration under six readings of the documented facts. Only the primary reading is consistent with all facts at a large effective sample. Including the central well 340 as a first-aquifer sample collapses the effective sample and doubles to triples the first-aquifer area, in conflict with the documented 15 %; as a second-aquifer sample it requires a wide transition zone. These variants support the legacy-salinity reading of Section 4.2.</w:t>
      </w:r>
    </w:p>
    <w:p>
      <w:pPr>
        <w:keepNext/>
        <w:spacing w:after="80" w:before="200" w:line="276"/>
      </w:pPr>
      <w:r>
        <w:rPr>
          <w:b/>
          <w:bCs/>
          <w:sz w:val="20"/>
          <w:szCs w:val="20"/>
        </w:rPr>
        <w:t xml:space="preserve">Table S4.</w:t>
      </w:r>
      <w:r>
        <w:rPr>
          <w:sz w:val="20"/>
          <w:szCs w:val="20"/>
        </w:rPr>
        <w:t xml:space="preserve"> Sensitivity of the calibration to the reading of the documented facts. Posterior median (5–95 %).</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560"/>
        <w:gridCol w:w="1080"/>
        <w:gridCol w:w="1080"/>
        <w:gridCol w:w="1000"/>
        <w:gridCol w:w="900"/>
        <w:gridCol w:w="950"/>
        <w:gridCol w:w="900"/>
        <w:gridCol w:w="800"/>
      </w:tblGrid>
      <w:tr>
        <w:trPr>
          <w:cantSplit/>
          <w:tblHeader/>
        </w:trPr>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Variant</w:t>
            </w:r>
          </w:p>
        </w:tc>
        <w:tc>
          <w:tcPr>
            <w:tcW w:type="dxa" w:w="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ESS</w:t>
            </w:r>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Upper area &gt;250 [km²]</w:t>
            </w:r>
          </w:p>
        </w:tc>
        <w:tc>
          <w:tcPr>
            <w:tcW w:type="dxa" w:w="10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Mid area &gt;250 [km²]</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Wedge [km²]</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h</w:t>
            </w:r>
            <w:r>
              <w:rPr>
                <w:b/>
                <w:bCs/>
                <w:sz w:val="15"/>
                <w:szCs w:val="15"/>
                <w:vertAlign w:val="subscript"/>
              </w:rPr>
              <w:t xml:space="preserve">lit</w:t>
            </w:r>
            <w:r>
              <w:rPr>
                <w:b/>
                <w:bCs/>
                <w:sz w:val="15"/>
                <w:szCs w:val="15"/>
              </w:rPr>
              <w:t xml:space="preserve"> [m]</w:t>
            </w:r>
          </w:p>
        </w:tc>
        <w:tc>
          <w:tcPr>
            <w:tcW w:type="dxa" w:w="9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f</w:t>
            </w:r>
            <w:r>
              <w:rPr>
                <w:b/>
                <w:bCs/>
                <w:sz w:val="15"/>
                <w:szCs w:val="15"/>
                <w:vertAlign w:val="subscript"/>
              </w:rPr>
              <w:t xml:space="preserve">mid,SW</w:t>
            </w:r>
            <w:r>
              <w:rPr>
                <w:b/>
                <w:bCs/>
                <w:sz w:val="15"/>
                <w:szCs w:val="15"/>
              </w:rPr>
              <w:t xml:space="preserve"> [%]</w:t>
            </w:r>
          </w:p>
        </w:tc>
        <w:tc>
          <w:tcPr>
            <w:tcW w:type="dxa" w:w="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f</w:t>
            </w:r>
            <w:r>
              <w:rPr>
                <w:b/>
                <w:bCs/>
                <w:sz w:val="15"/>
                <w:szCs w:val="15"/>
                <w:vertAlign w:val="subscript"/>
              </w:rPr>
              <w:t xml:space="preserve">mid,c</w:t>
            </w:r>
            <w:r>
              <w:rPr>
                <w:b/>
                <w:bCs/>
                <w:sz w:val="15"/>
                <w:szCs w:val="15"/>
              </w:rPr>
              <w:t xml:space="preserve"> [%]</w:t>
            </w:r>
          </w:p>
        </w:tc>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w [m]</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Primary (T1, T2, T3a as second aquifer, T3c)</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3249</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31.3 (9.8–63.1)</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93.9 (67.2–125.0)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95 (64–125)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4.03 (3.45–4.85)</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9.6 (2.9–25.8)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0.05 (0.00–1.33)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29 (13–48)</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Wells 341, 503 in the first aquifer</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797</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70.8 (51.2–91.0)</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157.5 (121.9–191.4)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144 (85–197)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3.05 (2.29–4.15)</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49.6 (18.9–95.3)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6.94 (1.22–36.51)</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29 (13–50)</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T1 relative to the sector (221.6 km²)</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3032</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23.7 (9.1–42.8)</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87.2 (65.9–110.4)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96 (65–124)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4.00 (3.46–4.76)</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7.9 (2.6–22.1)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0.01 (0.00–0.41)</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25 (12–41)</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Well 340 included, first aquifer</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165</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93.5 (75.4–109.8)</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145.3 (130.0–171.2)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97 (69–134)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3.87 (3.20–4.64)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25.6 (18.2–42.4)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3.94 (2.05–8.37)</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50 (35–70)</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Well 340 included, second aquifer</w:t>
            </w:r>
          </w:p>
        </w:tc>
        <w:tc>
          <w:tcPr>
            <w:tcW w:type="dxa" w:w="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996</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55.8 (34.5–77.6)</w:t>
            </w:r>
          </w:p>
        </w:tc>
        <w:tc>
          <w:tcPr>
            <w:tcW w:type="dxa" w:w="10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123.5 (110.4–139.8)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108 (79–137)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3.76 (3.21–4.41)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21.7 (13.6–39.1)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1.21 (0.44–3.01)</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35 (23–51)</w:t>
            </w:r>
          </w:p>
        </w:tc>
      </w:tr>
      <w:tr>
        <w:trPr>
          <w:cantSplit/>
        </w:trPr>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Without T1</w:t>
            </w:r>
          </w:p>
        </w:tc>
        <w:tc>
          <w:tcPr>
            <w:tcW w:type="dxa" w:w="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4022</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13.8 (6.0–49.4)</w:t>
            </w:r>
          </w:p>
        </w:tc>
        <w:tc>
          <w:tcPr>
            <w:tcW w:type="dxa" w:w="10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76.6 (56.9–111.9)</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(70–124)</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3.88 (3.45–4.62)</w:t>
            </w:r>
          </w:p>
        </w:tc>
        <w:tc>
          <w:tcPr>
            <w:tcW w:type="dxa" w:w="9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6.5 (2.0–20.9)</w:t>
            </w:r>
          </w:p>
        </w:tc>
        <w:tc>
          <w:tcPr>
            <w:tcW w:type="dxa" w:w="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0.00 (0.00–0.45)</w:t>
            </w:r>
          </w:p>
        </w:tc>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19 (8–41)</w:t>
            </w:r>
          </w:p>
        </w:tc>
      </w:tr>
    </w:tbl>
    <w:p>
      <w:pPr>
        <w:spacing w:after="240" w:before="60" w:line="240"/>
      </w:pPr>
      <w:r>
        <w:rPr>
          <w:sz w:val="14"/>
          <w:szCs w:val="14"/>
        </w:rPr>
        <w:t xml:space="preserve">Observed at well 340: f = 1.86 %. Each variant uses the same 20 000 prior draws with its own weights.</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S4. Parameter posteriors</w:t>
      </w:r>
    </w:p>
    <w:p>
      <w:pPr>
        <w:spacing w:after="120" w:line="360"/>
        <w:jc w:val="both"/>
      </w:pPr>
      <w:r>
        <w:t xml:space="preserve">Table S5 gives the prior and posterior quantiles of the 12 zone log-conductivity multipliers. The zones are the pilot zones of the companion model; their prior is the facies-conditional Gaussian Γ</w:t>
      </w:r>
      <w:r>
        <w:rPr>
          <w:vertAlign w:val="subscript"/>
        </w:rPr>
        <w:t xml:space="preserve">F</w:t>
      </w:r>
      <w:r>
        <w:t xml:space="preserve"> at ρ</w:t>
      </w:r>
      <w:r>
        <w:rPr>
          <w:vertAlign w:val="subscript"/>
        </w:rPr>
        <w:t xml:space="preserve">F</w:t>
      </w:r>
      <w:r>
        <w:t xml:space="preserve"> = 0.805. The posterior medians move by less than 0.1 and the intervals narrow slightly: the four facts constrain the effective transmissivity of the coastal sector as a whole (through the recharge and the transmissive fraction, Table 2) more than its zonation.</w:t>
      </w:r>
    </w:p>
    <w:p>
      <w:pPr>
        <w:keepNext/>
        <w:spacing w:after="80" w:before="200" w:line="276"/>
      </w:pPr>
      <w:r>
        <w:rPr>
          <w:b/>
          <w:bCs/>
          <w:sz w:val="20"/>
          <w:szCs w:val="20"/>
        </w:rPr>
        <w:t xml:space="preserve">Table S5.</w:t>
      </w:r>
      <w:r>
        <w:rPr>
          <w:sz w:val="20"/>
          <w:szCs w:val="20"/>
        </w:rPr>
        <w:t xml:space="preserve"> Zone log-conductivity multipliers θ</w:t>
      </w:r>
      <w:r>
        <w:rPr>
          <w:sz w:val="20"/>
          <w:szCs w:val="20"/>
          <w:vertAlign w:val="subscript"/>
        </w:rPr>
        <w:t xml:space="preserve">z</w:t>
      </w:r>
      <w:r>
        <w:rPr>
          <w:sz w:val="20"/>
          <w:szCs w:val="20"/>
        </w:rPr>
        <w:t xml:space="preserve">: prior and posterior 5 / 50 / 95 % quantiles.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2135"/>
        <w:gridCol w:w="2135"/>
        <w:gridCol w:w="700"/>
        <w:gridCol w:w="2135"/>
        <w:gridCol w:w="1265"/>
      </w:tblGrid>
      <w:tr>
        <w:trPr>
          <w:cantSplit/>
          <w:tblHeader/>
        </w:trPr>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Zone</w:t>
            </w:r>
          </w:p>
        </w:tc>
        <w:tc>
          <w:tcPr>
            <w:tcW w:type="dxa" w:w="21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Prior</w:t>
            </w:r>
          </w:p>
        </w:tc>
        <w:tc>
          <w:tcPr>
            <w:tcW w:type="dxa" w:w="21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Posterior</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Zone</w:t>
            </w:r>
          </w:p>
        </w:tc>
        <w:tc>
          <w:tcPr>
            <w:tcW w:type="dxa" w:w="213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Prior</w:t>
            </w:r>
          </w:p>
        </w:tc>
        <w:tc>
          <w:tcPr>
            <w:tcW w:type="dxa" w:w="126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Posterior</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−0.74 / 0.00 / 0.74</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−0.77 / −0.07 / 0.65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−0.76 / −0.01 / 0.73</w:t>
            </w:r>
          </w:p>
        </w:tc>
        <w:tc>
          <w:tcPr>
            <w:tcW w:type="dxa" w:w="1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−0.75 / −0.01 / 0.73</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−0.75 / 0.00 / 0.74</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−0.80 / −0.04 / 0.71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8</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−0.73 / −0.01 / 0.73</w:t>
            </w:r>
          </w:p>
        </w:tc>
        <w:tc>
          <w:tcPr>
            <w:tcW w:type="dxa" w:w="1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−0.71 / −0.01 / 0.74</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−0.74 / 0.00 / 0.74</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−0.81 / −0.05 / 0.70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−0.74 / −0.00 / 0.74</w:t>
            </w:r>
          </w:p>
        </w:tc>
        <w:tc>
          <w:tcPr>
            <w:tcW w:type="dxa" w:w="1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−0.73 / 0.01 / 0.76</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−0.50 / −0.00 / 0.49</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−0.49 / −0.02 / 0.44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−0.74 / −0.01 / 0.73</w:t>
            </w:r>
          </w:p>
        </w:tc>
        <w:tc>
          <w:tcPr>
            <w:tcW w:type="dxa" w:w="1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−0.73 / −0.00 / 0.72</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−0.49 / 0.00 / 0.50</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−0.47 / 0.04 / 0.53</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w:t>
            </w:r>
          </w:p>
        </w:tc>
        <w:tc>
          <w:tcPr>
            <w:tcW w:type="dxa" w:w="213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−0.49 / 0.00 / 0.49</w:t>
            </w:r>
          </w:p>
        </w:tc>
        <w:tc>
          <w:tcPr>
            <w:tcW w:type="dxa" w:w="126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−0.48 / 0.00 / 0.51</w:t>
            </w:r>
          </w:p>
        </w:tc>
      </w:tr>
      <w:tr>
        <w:trPr>
          <w:cantSplit/>
        </w:trPr>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6</w:t>
            </w:r>
          </w:p>
        </w:tc>
        <w:tc>
          <w:tcPr>
            <w:tcW w:type="dxa" w:w="21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−0.48 / −0.00 / 0.50</w:t>
            </w:r>
          </w:p>
        </w:tc>
        <w:tc>
          <w:tcPr>
            <w:tcW w:type="dxa" w:w="21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−0.42 / 0.06 / 0.56</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12</w:t>
            </w:r>
          </w:p>
        </w:tc>
        <w:tc>
          <w:tcPr>
            <w:tcW w:type="dxa" w:w="213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−0.73 / −0.01 / 0.73</w:t>
            </w:r>
          </w:p>
        </w:tc>
        <w:tc>
          <w:tcPr>
            <w:tcW w:type="dxa" w:w="126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−0.73 / 0.01 / 0.77</w:t>
            </w:r>
          </w:p>
        </w:tc>
      </w:tr>
    </w:tbl>
    <w:p>
      <w:pPr>
        <w:spacing w:after="160"/>
      </w:pP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S5. Variable-density solver and section runs</w:t>
      </w:r>
    </w:p>
    <w:p>
      <w:pPr>
        <w:spacing w:after="120" w:line="360"/>
        <w:jc w:val="both"/>
      </w:pPr>
      <w:r>
        <w:t xml:space="preserve">The section solver (chloride_fk/python/fkcl_vd.py and chloride_fk/matlab/fkcl_vd_*.m) discretizes the flow and transport equations of Section 3.4 with cell-centred finite volumes on a masked rectangular grid; the active cells are those between the aquifer top and base of the member. Face conductivities are harmonic means and the buoyancy term uses the arithmetic mean of the two cell concentrations; advection is first-order upwind. Dispersion uses the diagonal of the tensor, D</w:t>
      </w:r>
      <w:r>
        <w:rPr>
          <w:vertAlign w:val="subscript"/>
        </w:rPr>
        <w:t xml:space="preserve">xx</w:t>
      </w:r>
      <w:r>
        <w:t xml:space="preserve"> = nD_m + (α</w:t>
      </w:r>
      <w:r>
        <w:rPr>
          <w:vertAlign w:val="subscript"/>
        </w:rPr>
        <w:t xml:space="preserve">L</w:t>
      </w:r>
      <w:r>
        <w:t xml:space="preserve"> q</w:t>
      </w:r>
      <w:r>
        <w:rPr>
          <w:vertAlign w:val="subscript"/>
        </w:rPr>
        <w:t xml:space="preserve">x</w:t>
      </w:r>
      <w:r>
        <w:t xml:space="preserve">² + α</w:t>
      </w:r>
      <w:r>
        <w:rPr>
          <w:vertAlign w:val="subscript"/>
        </w:rPr>
        <w:t xml:space="preserve">T</w:t>
      </w:r>
      <w:r>
        <w:t xml:space="preserve"> q</w:t>
      </w:r>
      <w:r>
        <w:rPr>
          <w:vertAlign w:val="subscript"/>
        </w:rPr>
        <w:t xml:space="preserve">z</w:t>
      </w:r>
      <w:r>
        <w:t xml:space="preserve">²)/|q| on vertical faces and D</w:t>
      </w:r>
      <w:r>
        <w:rPr>
          <w:vertAlign w:val="subscript"/>
        </w:rPr>
        <w:t xml:space="preserve">zz</w:t>
      </w:r>
      <w:r>
        <w:t xml:space="preserve"> = nD_m + (α</w:t>
      </w:r>
      <w:r>
        <w:rPr>
          <w:vertAlign w:val="subscript"/>
        </w:rPr>
        <w:t xml:space="preserve">T</w:t>
      </w:r>
      <w:r>
        <w:t xml:space="preserve"> q</w:t>
      </w:r>
      <w:r>
        <w:rPr>
          <w:vertAlign w:val="subscript"/>
        </w:rPr>
        <w:t xml:space="preserve">x</w:t>
      </w:r>
      <w:r>
        <w:t xml:space="preserve">² + α</w:t>
      </w:r>
      <w:r>
        <w:rPr>
          <w:vertAlign w:val="subscript"/>
        </w:rPr>
        <w:t xml:space="preserve">L</w:t>
      </w:r>
      <w:r>
        <w:t xml:space="preserve"> q</w:t>
      </w:r>
      <w:r>
        <w:rPr>
          <w:vertAlign w:val="subscript"/>
        </w:rPr>
        <w:t xml:space="preserve">z</w:t>
      </w:r>
      <w:r>
        <w:t xml:space="preserve">²)/|q| on horizontal faces, with the transverse velocity component averaged from the neighbouring faces; the cross terms are omitted. The sea face carries a hydrostatic equivalent freshwater head h</w:t>
      </w:r>
      <w:r>
        <w:rPr>
          <w:vertAlign w:val="subscript"/>
        </w:rPr>
        <w:t xml:space="preserve">f</w:t>
      </w:r>
      <w:r>
        <w:t xml:space="preserve"> = ε z over half a cell; seawater enters with c = 1 (advective and dispersive flux) and outflow carries the cell concentration. The inland face receives the member's freshwater discharge with c = 0, distributed in proportion to K</w:t>
      </w:r>
      <w:r>
        <w:rPr>
          <w:vertAlign w:val="subscript"/>
        </w:rPr>
        <w:t xml:space="preserve">x</w:t>
      </w:r>
      <w:r>
        <w:t xml:space="preserve"> Δz. The steady state is reached by implicit Euler steps whose flow–transport coupling is converged by inner Picard iterations (tolerance 10⁻⁸); a step is halved when the inner loop fails and the next one lengthened by 1.6 when it converges in fewer than seven iterations. Every 25 steps the steady transport equation is solved with the current velocities, and the march stops when that solution differs from the current concentration by less than 10⁻⁶ in the maximum norm (the gap in Table S6).</w:t>
      </w:r>
    </w:p>
    <w:p>
      <w:pPr>
        <w:spacing w:after="120" w:line="360"/>
        <w:jc w:val="both"/>
      </w:pPr>
      <w:r>
        <w:t xml:space="preserve">In Henry mode the concentration boundary values are applied at ghost cells one full cell beyond the domain, as in the Newton solver of the companion study (src/vd_solve_forward.m). The toe position at the base (c = 0.5) then matches that solver on the refinement ladder: 1.4226, 1.3971, 1.3918 and 1.3864 m at 16 × 8, 32 × 16, 41 × 21 and 61 × 31 cells (fkcl_henry_check.m; self-test 4).</w:t>
      </w:r>
    </w:p>
    <w:p>
      <w:pPr>
        <w:keepNext/>
        <w:spacing w:after="80" w:before="200" w:line="276"/>
      </w:pPr>
      <w:r>
        <w:rPr>
          <w:b/>
          <w:bCs/>
          <w:sz w:val="20"/>
          <w:szCs w:val="20"/>
        </w:rPr>
        <w:t xml:space="preserve">Table S6.</w:t>
      </w:r>
      <w:r>
        <w:rPr>
          <w:sz w:val="20"/>
          <w:szCs w:val="20"/>
        </w:rPr>
        <w:t xml:space="preserve"> Variable-density runs on section A–A′ (y = 36.5 km). Toe: c = 0.5 at the aquifer base, from the shoreline; w</w:t>
      </w:r>
      <w:r>
        <w:rPr>
          <w:sz w:val="20"/>
          <w:szCs w:val="20"/>
          <w:vertAlign w:val="subscript"/>
        </w:rPr>
        <w:t xml:space="preserve">sim</w:t>
      </w:r>
      <w:r>
        <w:rPr>
          <w:sz w:val="20"/>
          <w:szCs w:val="20"/>
        </w:rPr>
        <w:t xml:space="preserve">: median over columns of half the vertical distance between c = 0.16 and 0.84.</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700"/>
        <w:gridCol w:w="760"/>
        <w:gridCol w:w="600"/>
        <w:gridCol w:w="780"/>
        <w:gridCol w:w="800"/>
        <w:gridCol w:w="830"/>
        <w:gridCol w:w="760"/>
        <w:gridCol w:w="760"/>
        <w:gridCol w:w="650"/>
        <w:gridCol w:w="1180"/>
      </w:tblGrid>
      <w:tr>
        <w:trPr>
          <w:cantSplit/>
          <w:tblHeader/>
        </w:trPr>
        <w:tc>
          <w:tcPr>
            <w:tcW w:type="dxa" w:w="12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Run</w:t>
            </w:r>
          </w:p>
        </w:tc>
        <w:tc>
          <w:tcPr>
            <w:tcW w:type="dxa" w:w="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Member</w:t>
            </w:r>
          </w:p>
        </w:tc>
        <w:tc>
          <w:tcPr>
            <w:tcW w:type="dxa" w:w="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Cells [m]</w:t>
            </w:r>
          </w:p>
        </w:tc>
        <w:tc>
          <w:tcPr>
            <w:tcW w:type="dxa" w:w="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α</w:t>
            </w:r>
            <w:r>
              <w:rPr>
                <w:b/>
                <w:bCs/>
                <w:sz w:val="15"/>
                <w:szCs w:val="15"/>
                <w:vertAlign w:val="subscript"/>
              </w:rPr>
              <w:t xml:space="preserve">T</w:t>
            </w:r>
            <w:r>
              <w:rPr>
                <w:b/>
                <w:bCs/>
                <w:sz w:val="15"/>
                <w:szCs w:val="15"/>
              </w:rPr>
              <w:t xml:space="preserve"> [m]</w:t>
            </w:r>
          </w:p>
        </w:tc>
        <w:tc>
          <w:tcPr>
            <w:tcW w:type="dxa" w:w="7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Q</w:t>
            </w:r>
            <w:r>
              <w:rPr>
                <w:b/>
                <w:bCs/>
                <w:sz w:val="15"/>
                <w:szCs w:val="15"/>
                <w:vertAlign w:val="subscript"/>
              </w:rPr>
              <w:t xml:space="preserve">in</w:t>
            </w:r>
            <w:r>
              <w:rPr>
                <w:b/>
                <w:bCs/>
                <w:sz w:val="15"/>
                <w:szCs w:val="15"/>
              </w:rPr>
              <w:t xml:space="preserve"> [m²/d]</w:t>
            </w:r>
          </w:p>
        </w:tc>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Toe VD [km]</w:t>
            </w:r>
          </w:p>
        </w:tc>
        <w:tc>
          <w:tcPr>
            <w:tcW w:type="dxa" w:w="8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Toe sharp [km]</w:t>
            </w:r>
          </w:p>
        </w:tc>
        <w:tc>
          <w:tcPr>
            <w:tcW w:type="dxa" w:w="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w cal. [m]</w:t>
            </w:r>
          </w:p>
        </w:tc>
        <w:tc>
          <w:tcPr>
            <w:tcW w:type="dxa" w:w="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w</w:t>
            </w:r>
            <w:r>
              <w:rPr>
                <w:b/>
                <w:bCs/>
                <w:sz w:val="15"/>
                <w:szCs w:val="15"/>
                <w:vertAlign w:val="subscript"/>
              </w:rPr>
              <w:t xml:space="preserve">sim</w:t>
            </w:r>
            <w:r>
              <w:rPr>
                <w:b/>
                <w:bCs/>
                <w:sz w:val="15"/>
                <w:szCs w:val="15"/>
              </w:rPr>
              <w:t xml:space="preserve"> [m]</w:t>
            </w:r>
          </w:p>
        </w:tc>
        <w:tc>
          <w:tcPr>
            <w:tcW w:type="dxa" w:w="6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Steps</w:t>
            </w:r>
          </w:p>
        </w:tc>
        <w:tc>
          <w:tcPr>
            <w:tcW w:type="dxa" w:w="118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Gap</w:t>
            </w:r>
          </w:p>
        </w:tc>
      </w:tr>
      <w:tr>
        <w:trPr>
          <w:cantSplit/>
        </w:trP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P5 member</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843</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 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8.16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2.05</w:t>
            </w:r>
          </w:p>
        </w:tc>
        <w:tc>
          <w:tcPr>
            <w:tcW w:type="dxa" w:w="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2.67</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44.7</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27.8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1124</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5.3e-7</w:t>
            </w:r>
          </w:p>
        </w:tc>
      </w:tr>
      <w:tr>
        <w:trPr>
          <w:cantSplit/>
        </w:trP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P50 member</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847</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 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5.05</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2.74</w:t>
            </w:r>
          </w:p>
        </w:tc>
        <w:tc>
          <w:tcPr>
            <w:tcW w:type="dxa" w:w="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3.92</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18.8</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28.1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1624</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8.4e-7</w:t>
            </w:r>
          </w:p>
        </w:tc>
      </w:tr>
      <w:tr>
        <w:trPr>
          <w:cantSplit/>
        </w:trP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P95 member</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1472</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 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2.64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3.35</w:t>
            </w:r>
          </w:p>
        </w:tc>
        <w:tc>
          <w:tcPr>
            <w:tcW w:type="dxa" w:w="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5.92</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20.9</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29.1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2599</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8.3e-7</w:t>
            </w:r>
          </w:p>
        </w:tc>
      </w:tr>
      <w:tr>
        <w:trPr>
          <w:cantSplit/>
        </w:trP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P50, fine grid</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847</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50 × 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5.05</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2.71</w:t>
            </w:r>
          </w:p>
        </w:tc>
        <w:tc>
          <w:tcPr>
            <w:tcW w:type="dxa" w:w="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3.92</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18.8</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27.2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2474</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7.4e-7</w:t>
            </w:r>
          </w:p>
        </w:tc>
      </w:tr>
      <w:tr>
        <w:trPr>
          <w:cantSplit/>
        </w:trPr>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P50, α</w:t>
            </w:r>
            <w:r>
              <w:rPr>
                <w:b w:val="false"/>
                <w:bCs w:val="false"/>
                <w:sz w:val="15"/>
                <w:szCs w:val="15"/>
                <w:vertAlign w:val="subscript"/>
              </w:rPr>
              <w:t xml:space="preserve">T</w:t>
            </w:r>
            <w:r>
              <w:rPr>
                <w:b w:val="false"/>
                <w:bCs w:val="false"/>
                <w:sz w:val="15"/>
                <w:szCs w:val="15"/>
              </w:rPr>
              <w:t xml:space="preserve"> = 0.1 m</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847</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 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0.1</w:t>
            </w:r>
          </w:p>
        </w:tc>
        <w:tc>
          <w:tcPr>
            <w:tcW w:type="dxa" w:w="7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5.05</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3.20</w:t>
            </w:r>
          </w:p>
        </w:tc>
        <w:tc>
          <w:tcPr>
            <w:tcW w:type="dxa" w:w="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3.92</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18.8</w:t>
            </w:r>
          </w:p>
        </w:tc>
        <w:tc>
          <w:tcPr>
            <w:tcW w:type="dxa" w:w="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16.8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3249</w:t>
            </w:r>
          </w:p>
        </w:tc>
        <w:tc>
          <w:tcPr>
            <w:tcW w:type="dxa" w:w="118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9.4e-7</w:t>
            </w:r>
          </w:p>
        </w:tc>
      </w:tr>
      <w:tr>
        <w:trPr>
          <w:cantSplit/>
        </w:trPr>
        <w:tc>
          <w:tcPr>
            <w:tcW w:type="dxa" w:w="12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P50, α</w:t>
            </w:r>
            <w:r>
              <w:rPr>
                <w:b w:val="false"/>
                <w:bCs w:val="false"/>
                <w:sz w:val="15"/>
                <w:szCs w:val="15"/>
                <w:vertAlign w:val="subscript"/>
              </w:rPr>
              <w:t xml:space="preserve">T</w:t>
            </w:r>
            <w:r>
              <w:rPr>
                <w:b w:val="false"/>
                <w:bCs w:val="false"/>
                <w:sz w:val="15"/>
                <w:szCs w:val="15"/>
              </w:rPr>
              <w:t xml:space="preserve"> = 3 m</w:t>
            </w:r>
          </w:p>
        </w:tc>
        <w:tc>
          <w:tcPr>
            <w:tcW w:type="dxa" w:w="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847</w:t>
            </w:r>
          </w:p>
        </w:tc>
        <w:tc>
          <w:tcPr>
            <w:tcW w:type="dxa" w:w="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100 × 5</w:t>
            </w:r>
          </w:p>
        </w:tc>
        <w:tc>
          <w:tcPr>
            <w:tcW w:type="dxa" w:w="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3.0</w:t>
            </w:r>
          </w:p>
        </w:tc>
        <w:tc>
          <w:tcPr>
            <w:tcW w:type="dxa" w:w="7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5.05</w:t>
            </w:r>
          </w:p>
        </w:tc>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2.07</w:t>
            </w:r>
          </w:p>
        </w:tc>
        <w:tc>
          <w:tcPr>
            <w:tcW w:type="dxa" w:w="8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3.92</w:t>
            </w:r>
          </w:p>
        </w:tc>
        <w:tc>
          <w:tcPr>
            <w:tcW w:type="dxa" w:w="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18.8</w:t>
            </w:r>
          </w:p>
        </w:tc>
        <w:tc>
          <w:tcPr>
            <w:tcW w:type="dxa" w:w="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46.9</w:t>
            </w:r>
          </w:p>
        </w:tc>
        <w:tc>
          <w:tcPr>
            <w:tcW w:type="dxa" w:w="6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1074</w:t>
            </w:r>
          </w:p>
        </w:tc>
        <w:tc>
          <w:tcPr>
            <w:tcW w:type="dxa" w:w="118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9.5e-7</w:t>
            </w:r>
          </w:p>
        </w:tc>
      </w:tr>
    </w:tbl>
    <w:p>
      <w:pPr>
        <w:spacing w:after="240" w:before="60" w:line="240"/>
      </w:pPr>
      <w:r>
        <w:rPr>
          <w:sz w:val="14"/>
          <w:szCs w:val="14"/>
        </w:rPr>
        <w:t xml:space="preserve">Member: 0-based index in the posterior ensemble; P5, P50 and P95 are the members at those percentiles of the wedge area. All runs: α</w:t>
      </w:r>
      <w:r>
        <w:rPr>
          <w:sz w:val="14"/>
          <w:szCs w:val="14"/>
          <w:vertAlign w:val="subscript"/>
        </w:rPr>
        <w:t xml:space="preserve">L</w:t>
      </w:r>
      <w:r>
        <w:rPr>
          <w:sz w:val="14"/>
          <w:szCs w:val="14"/>
        </w:rPr>
        <w:t xml:space="preserve"> = max(10 α</w:t>
      </w:r>
      <w:r>
        <w:rPr>
          <w:sz w:val="14"/>
          <w:szCs w:val="14"/>
          <w:vertAlign w:val="subscript"/>
        </w:rPr>
        <w:t xml:space="preserve">T</w:t>
      </w:r>
      <w:r>
        <w:rPr>
          <w:sz w:val="14"/>
          <w:szCs w:val="14"/>
        </w:rPr>
        <w:t xml:space="preserve">, 10 m), n = 0.25, K</w:t>
      </w:r>
      <w:r>
        <w:rPr>
          <w:sz w:val="14"/>
          <w:szCs w:val="14"/>
          <w:vertAlign w:val="subscript"/>
        </w:rPr>
        <w:t xml:space="preserve">z</w:t>
      </w:r>
      <w:r>
        <w:rPr>
          <w:sz w:val="14"/>
          <w:szCs w:val="14"/>
        </w:rPr>
        <w:t xml:space="preserve">/K_x = 0.1, D</w:t>
      </w:r>
      <w:r>
        <w:rPr>
          <w:sz w:val="14"/>
          <w:szCs w:val="14"/>
          <w:vertAlign w:val="subscript"/>
        </w:rPr>
        <w:t xml:space="preserve">m</w:t>
      </w:r>
      <w:r>
        <w:rPr>
          <w:sz w:val="14"/>
          <w:szCs w:val="14"/>
        </w:rPr>
        <w:t xml:space="preserve"> = 8.64 × 10⁻⁵ m²/d.</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S6. Sampling design: the SINERGO condition and full results</w:t>
      </w:r>
    </w:p>
    <w:p>
      <w:pPr>
        <w:spacing w:after="120" w:line="360"/>
        <w:jc w:val="both"/>
      </w:pPr>
      <w:r>
        <w:t xml:space="preserve">For two samples a and b with correlations r</w:t>
      </w:r>
      <w:r>
        <w:rPr>
          <w:vertAlign w:val="subscript"/>
        </w:rPr>
        <w:t xml:space="preserve">a</w:t>
      </w:r>
      <w:r>
        <w:t xml:space="preserve"> and r</w:t>
      </w:r>
      <w:r>
        <w:rPr>
          <w:vertAlign w:val="subscript"/>
        </w:rPr>
        <w:t xml:space="preserve">b</w:t>
      </w:r>
      <w:r>
        <w:t xml:space="preserve"> with the goal Q (including the observation noise) and correlation ρ with each other, the squared multiple correlation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sSubSup>
                  <m:e>
                    <m:r>
                      <m:t>R</m:t>
                    </m:r>
                  </m:e>
                  <m:sub>
                    <m:r>
                      <m:t>Q</m:t>
                    </m:r>
                  </m:sub>
                  <m:sup>
                    <m:r>
                      <m:t>2</m:t>
                    </m:r>
                  </m:sup>
                </m:sSubSup>
                <m:d>
                  <m:dPr>
                    <m:begChr m:val="("/>
                    <m:sepChr m:val=""/>
                    <m:endChr m:val=")"/>
                    <m:grow/>
                  </m:dPr>
                  <m:e>
                    <m:r>
                      <m:rPr>
                        <m:sty m:val="p"/>
                      </m:rPr>
                      <m:t>{</m:t>
                    </m:r>
                    <m:r>
                      <m:t>a</m:t>
                    </m:r>
                    <m:r>
                      <m:rPr>
                        <m:sty m:val="p"/>
                      </m:rPr>
                      <m:t>,</m:t>
                    </m:r>
                    <m:r>
                      <m:t>b</m:t>
                    </m:r>
                    <m:r>
                      <m:rPr>
                        <m:sty m:val="p"/>
                      </m:rPr>
                      <m:t>}</m:t>
                    </m:r>
                  </m:e>
                </m:d>
                <m:r>
                  <m:rPr>
                    <m:sty m:val="p"/>
                  </m:rPr>
                  <m:t>=</m:t>
                </m:r>
                <m:f>
                  <m:fPr>
                    <m:type m:val="bar"/>
                  </m:fPr>
                  <m:num>
                    <m:sSubSup>
                      <m:e>
                        <m:r>
                          <m:t>r</m:t>
                        </m:r>
                      </m:e>
                      <m:sub>
                        <m:r>
                          <m:t>a</m:t>
                        </m:r>
                      </m:sub>
                      <m:sup>
                        <m:r>
                          <m:t>2</m:t>
                        </m:r>
                      </m:sup>
                    </m:sSubSup>
                    <m:r>
                      <m:rPr>
                        <m:sty m:val="p"/>
                      </m:rPr>
                      <m:t>+</m:t>
                    </m:r>
                    <m:sSubSup>
                      <m:e>
                        <m:r>
                          <m:t>r</m:t>
                        </m:r>
                      </m:e>
                      <m:sub>
                        <m:r>
                          <m:t>b</m:t>
                        </m:r>
                      </m:sub>
                      <m:sup>
                        <m:r>
                          <m:t>2</m:t>
                        </m:r>
                      </m:sup>
                    </m:sSubSup>
                    <m:r>
                      <m:rPr>
                        <m:sty m:val="p"/>
                      </m:rPr>
                      <m:t>−</m:t>
                    </m:r>
                    <m:r>
                      <m:t>2</m:t>
                    </m:r>
                    <m:r>
                      <m:t>ρ</m:t>
                    </m:r>
                    <m:r>
                      <m:t> </m:t>
                    </m:r>
                    <m:sSub>
                      <m:e>
                        <m:r>
                          <m:t>r</m:t>
                        </m:r>
                      </m:e>
                      <m:sub>
                        <m:r>
                          <m:t>a</m:t>
                        </m:r>
                      </m:sub>
                    </m:sSub>
                    <m:sSub>
                      <m:e>
                        <m:r>
                          <m:t>r</m:t>
                        </m:r>
                      </m:e>
                      <m:sub>
                        <m:r>
                          <m:t>b</m:t>
                        </m:r>
                      </m:sub>
                    </m:sSub>
                  </m:num>
                  <m:den>
                    <m:r>
                      <m:t>1</m:t>
                    </m:r>
                    <m:r>
                      <m:rPr>
                        <m:sty m:val="p"/>
                      </m:rPr>
                      <m:t>−</m:t>
                    </m:r>
                    <m:sSup>
                      <m:e>
                        <m:r>
                          <m:t>ρ</m:t>
                        </m:r>
                      </m:e>
                      <m:sup>
                        <m:r>
                          <m:t>2</m:t>
                        </m:r>
                      </m:sup>
                    </m:sSup>
                  </m:den>
                </m:f>
              </m:oMath>
            </m:oMathPara>
          </w:p>
        </w:tc>
        <w:tc>
          <w:tcPr>
            <w:tcW w:type="dxa" w:w="900"/>
            <w:vAlign w:val="center"/>
          </w:tcPr>
          <w:p>
            <w:pPr>
              <w:jc w:val="right"/>
            </w:pPr>
            <w:r>
              <w:t xml:space="preserve">(S1)</w:t>
            </w:r>
          </w:p>
        </w:tc>
      </w:tr>
    </w:tbl>
    <w:p>
      <w:pPr>
        <w:spacing w:after="120" w:line="360"/>
        <w:jc w:val="both"/>
      </w:pPr>
      <w:r>
        <w:t xml:space="preserve">so that R²</w:t>
      </w:r>
      <w:r>
        <w:rPr>
          <w:vertAlign w:val="subscript"/>
        </w:rPr>
        <w:t xml:space="preserve">Q</w:t>
      </w:r>
      <w:r>
        <w:t xml:space="preserve">({a, b}) &gt; r²_a + r²_b, i.e. the pair is worth more than the sum of its parts, exactly when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70"/>
        <w:gridCol w:w="900"/>
      </w:tblGrid>
      <w:tr>
        <w:trPr>
          <w:cantSplit/>
        </w:trPr>
        <w:tc>
          <w:tcPr>
            <w:tcW w:type="dxa" w:w="8170"/>
            <w:vAlign w:val="center"/>
          </w:tcPr>
          <w:p>
            <w:pPr>
              <w:spacing w:after="60" w:before="60"/>
              <w:jc w:val="center"/>
            </w:pPr>
            <m:oMathPara>
              <m:oMathParaPr>
                <m:jc m:val="center"/>
              </m:oMathParaPr>
              <m:oMath>
                <m:r>
                  <m:t>ρ</m:t>
                </m:r>
                <m:d>
                  <m:dPr>
                    <m:begChr m:val="["/>
                    <m:sepChr m:val=""/>
                    <m:endChr m:val="]"/>
                    <m:grow/>
                  </m:dPr>
                  <m:e>
                    <m:r>
                      <m:t>ρ</m:t>
                    </m:r>
                    <m:d>
                      <m:dPr>
                        <m:begChr m:val="("/>
                        <m:sepChr m:val=""/>
                        <m:endChr m:val=")"/>
                        <m:grow/>
                      </m:dPr>
                      <m:e>
                        <m:sSubSup>
                          <m:e>
                            <m:r>
                              <m:t>r</m:t>
                            </m:r>
                          </m:e>
                          <m:sub>
                            <m:r>
                              <m:t>a</m:t>
                            </m:r>
                          </m:sub>
                          <m:sup>
                            <m:r>
                              <m:t>2</m:t>
                            </m:r>
                          </m:sup>
                        </m:sSubSup>
                        <m:r>
                          <m:rPr>
                            <m:sty m:val="p"/>
                          </m:rPr>
                          <m:t>+</m:t>
                        </m:r>
                        <m:sSubSup>
                          <m:e>
                            <m:r>
                              <m:t>r</m:t>
                            </m:r>
                          </m:e>
                          <m:sub>
                            <m:r>
                              <m:t>b</m:t>
                            </m:r>
                          </m:sub>
                          <m:sup>
                            <m:r>
                              <m:t>2</m:t>
                            </m:r>
                          </m:sup>
                        </m:sSubSup>
                      </m:e>
                    </m:d>
                    <m:r>
                      <m:rPr>
                        <m:sty m:val="p"/>
                      </m:rPr>
                      <m:t>−</m:t>
                    </m:r>
                    <m:r>
                      <m:t>2</m:t>
                    </m:r>
                    <m:sSub>
                      <m:e>
                        <m:r>
                          <m:t>r</m:t>
                        </m:r>
                      </m:e>
                      <m:sub>
                        <m:r>
                          <m:t>a</m:t>
                        </m:r>
                      </m:sub>
                    </m:sSub>
                    <m:sSub>
                      <m:e>
                        <m:r>
                          <m:t>r</m:t>
                        </m:r>
                      </m:e>
                      <m:sub>
                        <m:r>
                          <m:t>b</m:t>
                        </m:r>
                      </m:sub>
                    </m:sSub>
                  </m:e>
                </m:d>
                <m:r>
                  <m:rPr>
                    <m:sty m:val="p"/>
                  </m:rPr>
                  <m:t>&gt;</m:t>
                </m:r>
                <m:r>
                  <m:t>0</m:t>
                </m:r>
              </m:oMath>
            </m:oMathPara>
          </w:p>
        </w:tc>
        <w:tc>
          <w:tcPr>
            <w:tcW w:type="dxa" w:w="900"/>
            <w:vAlign w:val="center"/>
          </w:tcPr>
          <w:p>
            <w:pPr>
              <w:jc w:val="right"/>
            </w:pPr>
            <w:r>
              <w:t xml:space="preserve">(S2)</w:t>
            </w:r>
          </w:p>
        </w:tc>
      </w:tr>
    </w:tbl>
    <w:p>
      <w:pPr>
        <w:spacing w:after="120" w:line="360"/>
        <w:jc w:val="both"/>
      </w:pPr>
      <w:r>
        <w:t xml:space="preserve">This holds, for example, when ρ and r</w:t>
      </w:r>
      <w:r>
        <w:rPr>
          <w:vertAlign w:val="subscript"/>
        </w:rPr>
        <w:t xml:space="preserve">a</w:t>
      </w:r>
      <w:r>
        <w:t xml:space="preserve"> r</w:t>
      </w:r>
      <w:r>
        <w:rPr>
          <w:vertAlign w:val="subscript"/>
        </w:rPr>
        <w:t xml:space="preserve">b</w:t>
      </w:r>
      <w:r>
        <w:t xml:space="preserve"> have opposite signs (a sample corrects the other's error), or when |ρ| is large and r</w:t>
      </w:r>
      <w:r>
        <w:rPr>
          <w:vertAlign w:val="subscript"/>
        </w:rPr>
        <w:t xml:space="preserve">a</w:t>
      </w:r>
      <w:r>
        <w:t xml:space="preserve">, r</w:t>
      </w:r>
      <w:r>
        <w:rPr>
          <w:vertAlign w:val="subscript"/>
        </w:rPr>
        <w:t xml:space="preserve">b</w:t>
      </w:r>
      <w:r>
        <w:t xml:space="preserve"> differ. Because the linear EIG is a monotone function of R²</w:t>
      </w:r>
      <w:r>
        <w:rPr>
          <w:vertAlign w:val="subscript"/>
        </w:rPr>
        <w:t xml:space="preserve">Q</w:t>
      </w:r>
      <w:r>
        <w:t xml:space="preserve">, such pairs violate submodularity, and a greedy search, which ranks samples one at a time, can miss them (Das and Kempe, 2018). The pairwise-greedy search (SINERGO) starts from the best pair and then adds samples greedily, or by pairs. In 40 random tests with head data on the companion model (four wells, exhaustive optimum over 35 960 combinations), greedy selection found the optimum in 15 % of the tests (mean 93.5 %, minimum 76.9 % of the optimal gain), and the pairwise-greedy search in all of them.</w:t>
      </w:r>
    </w:p>
    <w:p>
      <w:pPr>
        <w:keepNext/>
        <w:spacing w:after="80" w:before="200" w:line="276"/>
      </w:pPr>
      <w:r>
        <w:rPr>
          <w:b/>
          <w:bCs/>
          <w:sz w:val="20"/>
          <w:szCs w:val="20"/>
        </w:rPr>
        <w:t xml:space="preserve">Table S7.</w:t>
      </w:r>
      <w:r>
        <w:rPr>
          <w:sz w:val="20"/>
          <w:szCs w:val="20"/>
        </w:rPr>
        <w:t xml:space="preserve"> All designs, linear / exact EIG [nats]. Swap: best design after single-site exchanges from the greedy start.</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
        <w:gridCol w:w="350"/>
        <w:gridCol w:w="2000"/>
        <w:gridCol w:w="2000"/>
        <w:gridCol w:w="2000"/>
        <w:gridCol w:w="1920"/>
      </w:tblGrid>
      <w:tr>
        <w:trPr>
          <w:cantSplit/>
          <w:tblHeader/>
        </w:trPr>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Goal</w:t>
            </w:r>
          </w:p>
        </w:tc>
        <w:tc>
          <w:tcPr>
            <w:tcW w:type="dxa" w:w="3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k</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Greedy</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Pairwise greedy</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Swap</w:t>
            </w:r>
          </w:p>
        </w:tc>
        <w:tc>
          <w:tcPr>
            <w:tcW w:type="dxa" w:w="19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5"/>
                <w:szCs w:val="15"/>
              </w:rPr>
              <w:t xml:space="preserve">Exhaustive (top 40)</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first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(1.32 / 1.26)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(1.32 / 1.26)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(1.32 / 1.26)</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first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L109 (1.48 / 1.40)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(1.61 / 1.47)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(1.61 / 1.47)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(1.61 / 1.47)</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first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L109, P4 (1.60 / 1.45)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L103 (1.72 / 1.53)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H31, L117, L110 (1.77 / 1.55)</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L110, L117, H31 (1.77 / 1.55)</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first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L109, P4, V1 (1.86 / 1.65)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L112, L99 (1.83 / 1.65)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L110, L109, P4, V2 (1.89 / 1.64)</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first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L102, L109, P4, V1, L113 (1.96 / 1.67)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E52, L117, L112, L99, P4 (1.93 / 1.67)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L103, B5, P10, V1, L112 (1.98 / 1.66)</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second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(1.15 / 1.22)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(1.15 / 1.22)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(1.15 / 1.22)</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second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A10 (1.42 / 1.30)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(1.57 / 1.45)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(1.57 / 1.45)</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(1.57 / 1.45)</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second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A10, L110 (1.64 / 1.47)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P3 (1.67 / 1.50)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L105, H2/4, P3 (1.68 / 1.50)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L116, H2/4, L110 (1.72 / 1.56)</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second aquifer</w:t>
            </w:r>
          </w:p>
        </w:tc>
        <w:tc>
          <w:tcPr>
            <w:tcW w:type="dxa"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A10, L110, H2/4 (1.81 / 1.58)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P3, L103 (1.79 / 1.56)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L116, A10, L110, H2/4 (1.82 / 1.58)</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r>
        <w:trPr>
          <w:cantSplit/>
        </w:trPr>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second aquifer</w:t>
            </w:r>
          </w:p>
        </w:tc>
        <w:tc>
          <w:tcPr>
            <w:tcW w:type="dxa" w:w="3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5</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A28, A10, L110, H2/4, L116 (1.89 / 1.65)</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L113, H2/4, P3, L103, P12 (1.87 / 1.67)</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P10, A10, L110, H2/4, L116 (1.90 / 1.67)</w:t>
            </w:r>
          </w:p>
        </w:tc>
        <w:tc>
          <w:tcPr>
            <w:tcW w:type="dxa" w:w="19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5"/>
                <w:szCs w:val="15"/>
              </w:rPr>
              <w:t xml:space="preserve">–</w:t>
            </w:r>
          </w:p>
        </w:tc>
      </w:tr>
    </w:tbl>
    <w:p>
      <w:pPr>
        <w:spacing w:after="160"/>
      </w:pPr>
    </w:p>
    <w:p>
      <w:pPr>
        <w:keepNext/>
        <w:spacing w:after="80" w:before="200" w:line="276"/>
      </w:pPr>
      <w:r>
        <w:rPr>
          <w:b/>
          <w:bCs/>
          <w:sz w:val="20"/>
          <w:szCs w:val="20"/>
        </w:rPr>
        <w:t xml:space="preserve">Table S8.</w:t>
      </w:r>
      <w:r>
        <w:rPr>
          <w:sz w:val="20"/>
          <w:szCs w:val="20"/>
        </w:rPr>
        <w:t xml:space="preserve"> The 12 most informative single samples for each goal (linear EIG).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000"/>
        <w:gridCol w:w="1000"/>
        <w:gridCol w:w="1100"/>
        <w:gridCol w:w="1100"/>
        <w:gridCol w:w="1870"/>
        <w:gridCol w:w="1500"/>
      </w:tblGrid>
      <w:tr>
        <w:trPr>
          <w:cantSplit/>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Goal</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Well</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Screen</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x [km]</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y [km]</w:t>
            </w:r>
          </w:p>
        </w:tc>
        <w:tc>
          <w:tcPr>
            <w:tcW w:type="dxa" w:w="18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Distance to shore [km]</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EIG [nats]</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5.56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45.56</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2.95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1.323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6.76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46.50</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B5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7.26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48.03</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1.203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6.07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47.79</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6.99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45.63</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4.78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42.87</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5.05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46.71</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V10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4.15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44.73</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1.124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6.70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49.12</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1.114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E52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47.96</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1.083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4.42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41.61</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1.080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first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E49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upper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5.84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48.52</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1.065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5.70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37.96</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4.02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1.154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5.97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39.74</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1.125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5.50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36.71</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A4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7.10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36.66</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1.033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5.43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34.82</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3.07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0.994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7.61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42.45</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0.971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H339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6.40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34.93</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0.919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6.13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42.14</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L117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4.74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39.85</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0.892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V443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5.05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35.42</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0.887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4.80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37.58</w:t>
            </w:r>
          </w:p>
        </w:tc>
        <w:tc>
          <w:tcPr>
            <w:tcW w:type="dxa" w:w="18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0.878</w:t>
            </w:r>
          </w:p>
        </w:tc>
      </w:tr>
      <w:tr>
        <w:trPr>
          <w:cantSplit/>
        </w:trP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second aquifer</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L113</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middle</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7.36</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43.71</w:t>
            </w:r>
          </w:p>
        </w:tc>
        <w:tc>
          <w:tcPr>
            <w:tcW w:type="dxa" w:w="18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4.86</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0.861</w:t>
            </w:r>
          </w:p>
        </w:tc>
      </w:tr>
    </w:tbl>
    <w:p>
      <w:pPr>
        <w:spacing w:after="160"/>
      </w:pP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S7. The decision modules</w:t>
      </w:r>
    </w:p>
    <w:p>
      <w:pPr>
        <w:spacing w:after="120" w:line="360"/>
        <w:jc w:val="both"/>
      </w:pPr>
      <w:r>
        <w:t xml:space="preserve">Each module is a Python experiment in the folder experiments/ of the repository, with its own README, scripts, result file and figures; PRAG-MAR is also implemented in MATLAB (src/prag_mar.m). The tests use simplified models parameterized for Fushë-Kuqe with a known truth. PRAG-GO and PRAG-MAR used the companion field model with its full-margin sea boundary (see Section 5.2 of the main text); their site-specific numbers illustrate the methods and should be recomputed with the sea contact of Section 2.3. The summaries below give, for each module, the question, the model, the criterion, the experiment, the results, the limitations and the files.</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S7.1. PRAG-GO (threshold-risk goal-oriented monitoring design)</w:t>
      </w:r>
    </w:p>
    <w:p>
      <w:pPr>
        <w:spacing w:after="120" w:line="360"/>
        <w:jc w:val="both"/>
      </w:pPr>
      <w:r>
        <w:rPr>
          <w:i/>
          <w:iCs/>
        </w:rPr>
        <w:t xml:space="preserve">Code:</w:t>
      </w:r>
      <w:r>
        <w:t xml:space="preserve"> prag_go_henry/, prag_go_fushe_kuqe/</w:t>
      </w:r>
    </w:p>
    <w:p>
      <w:pPr>
        <w:spacing w:after="120" w:line="360"/>
        <w:jc w:val="both"/>
      </w:pPr>
      <w:r>
        <w:rPr>
          <w:b/>
          <w:bCs/>
        </w:rPr>
        <w:t xml:space="preserve">1. Question.</w:t>
      </w:r>
      <w:r>
        <w:t xml:space="preserve"> Does the network that is optimal for the companion study's current goal (salt mass / intruded area) also inform the regulatory question "does a supply well exceed the salinity threshold?", and does a closed-form threshold criterion find the exact optimum?</w:t>
      </w:r>
    </w:p>
    <w:p>
      <w:pPr>
        <w:spacing w:after="120" w:line="360"/>
        <w:jc w:val="both"/>
      </w:pPr>
      <w:r>
        <w:rPr>
          <w:b/>
          <w:bCs/>
        </w:rPr>
        <w:t xml:space="preserve">2. Model and parameters.</w:t>
      </w:r>
    </w:p>
    <w:p>
      <w:pPr>
        <w:pStyle w:val="ListParagraph"/>
        <w:numPr>
          <w:ilvl w:val="0"/>
          <w:numId w:val="2"/>
        </w:numPr>
        <w:spacing w:after="60" w:line="360"/>
        <w:jc w:val="both"/>
      </w:pPr>
      <w:r>
        <w:rPr>
          <w:i/>
          <w:iCs/>
        </w:rPr>
        <w:t xml:space="preserve">Henry:</w:t>
      </w:r>
      <w:r>
        <w:t xml:space="preserve"> Python port of src/vd_residual.m, 41×21 grid, toe 1.3918 m; ε = 0.025, φ = 0.35, φD = 6.6e-6 m²/s, inflow 6.6e-5 m²/s. Priors: gauss per-cell log-K, exponential covariance σ = 0.5, lengths 0.5 m (x) / 0.2 m (z); local σ = 0.7, 0.2/0.1 m; facies mean log-K ±0.5 w.p. ½. Supply wells A (0.61, 0.12) m, B (0.80, 0.60) m; τ = 0.01 (1% seawater); 32 candidates (x ∈ {0.32…1.68}, z ∈ {0.12, 0.31, 0.50, 0.69} m), noise sd 0.01, 3 wells/design → 4 960 designs; salt-mass window 1.0 &lt; x &lt; 1.6 m. Ensemble 12 000 inner + 2 000 outer. Prior P(A) = 0.35, P(A or B) = 0.38 (gauss).</w:t>
      </w:r>
    </w:p>
    <w:p>
      <w:pPr>
        <w:pStyle w:val="ListParagraph"/>
        <w:numPr>
          <w:ilvl w:val="0"/>
          <w:numId w:val="2"/>
        </w:numPr>
        <w:spacing w:after="60" w:line="360"/>
        <w:jc w:val="both"/>
      </w:pPr>
      <w:r>
        <w:rPr>
          <w:i/>
          <w:iCs/>
        </w:rPr>
        <w:t xml:space="preserve">Fushë-Kuqe field model:</w:t>
      </w:r>
      <w:r>
        <w:t xml:space="preserve"> port of src/fushe_kuqe_field_design.m; 5 589 active cells (0.25 km), 349.3 km², confined b = 30 m, base 40 m, R = 5e-4 m/d, δ = 0.025, intrusion if h &lt; h</w:t>
      </w:r>
      <w:r>
        <w:rPr>
          <w:vertAlign w:val="subscript"/>
        </w:rPr>
        <w:t xml:space="preserve">c</w:t>
      </w:r>
      <w:r>
        <w:t xml:space="preserve"> = δ·base = 1.0 m; 12 pilot zones, Lc = 8 km, facies sd 0.30/0.45/0.60, ρ</w:t>
      </w:r>
      <w:r>
        <w:rPr>
          <w:vertAlign w:val="subscript"/>
        </w:rPr>
        <w:t xml:space="preserve">F</w:t>
      </w:r>
      <w:r>
        <w:t xml:space="preserve"> = 0.6; head noise 0.2 m. Alternative priors rho805 (ρ</w:t>
      </w:r>
      <w:r>
        <w:rPr>
          <w:vertAlign w:val="subscript"/>
        </w:rPr>
        <w:t xml:space="preserve">F</w:t>
      </w:r>
      <w:r>
        <w:t xml:space="preserve"> = 0.805) and fine (50 zones, Lc = 3 km). Supply wells A = A23 (north), B = R16 (south), chosen by a pre-declared rule (inside well with prior P closest to ½ per sector, outside the published design); 30 candidates → 4 060 three-well and 142 506 five-well designs. Ensemble 12 000 + 2 000; 5-well picks re-checked with 48 000. Prior P(A) = 0.52, P(A or B) = 0.80, P(area &gt; 100 km²) = 0.44.</w:t>
      </w:r>
    </w:p>
    <w:p>
      <w:pPr>
        <w:spacing w:after="120" w:line="360"/>
        <w:jc w:val="both"/>
      </w:pPr>
      <w:r>
        <w:rPr>
          <w:b/>
          <w:bCs/>
        </w:rPr>
        <w:t xml:space="preserve">3. Criterion.</w:t>
      </w:r>
      <w:r>
        <w:t xml:space="preserve"> Linear-Gaussian moments; for one well, with t = (τ − μ</w:t>
      </w:r>
      <w:r>
        <w:rPr>
          <w:vertAlign w:val="subscript"/>
        </w:rPr>
        <w:t xml:space="preserve">z</w:t>
      </w:r>
      <w:r>
        <w:t xml:space="preserve">)/σ_z and R²(d) = c</w:t>
      </w:r>
      <w:r>
        <w:rPr>
          <w:vertAlign w:val="subscript"/>
        </w:rPr>
        <w:t xml:space="preserve">d</w:t>
      </w:r>
      <w:r>
        <w:t xml:space="preserve">ᵀ(A</w:t>
      </w:r>
      <w:r>
        <w:rPr>
          <w:vertAlign w:val="subscript"/>
        </w:rPr>
        <w:t xml:space="preserve">dd</w:t>
      </w:r>
      <w:r>
        <w:t xml:space="preserve"> + σ</w:t>
      </w:r>
      <w:r>
        <w:rPr>
          <w:vertAlign w:val="subscript"/>
        </w:rPr>
        <w:t xml:space="preserve">ε</w:t>
      </w:r>
      <w:r>
        <w:t xml:space="preserve">²I)⁻¹c</w:t>
      </w:r>
      <w:r>
        <w:rPr>
          <w:vertAlign w:val="subscript"/>
        </w:rPr>
        <w:t xml:space="preserve">d</w:t>
      </w:r>
      <w:r>
        <w:t xml:space="preserve">/σ_z²:</w:t>
      </w:r>
    </w:p>
    <w:p>
      <w:pPr>
        <w:spacing w:after="120" w:line="360"/>
        <w:jc w:val="both"/>
      </w:pPr>
      <w:r>
        <w:t xml:space="preserve">EIG(d) = h(1 − Φ(t)) − E</w:t>
      </w:r>
      <w:r>
        <w:rPr>
          <w:vertAlign w:val="subscript"/>
        </w:rPr>
        <w:t xml:space="preserve">u~N(0,1)</w:t>
      </w:r>
      <w:r>
        <w:t xml:space="preserve"> h(1 − Φ((t − √R² u)/√(1 − R²))).</w:t>
      </w:r>
    </w:p>
    <w:p>
      <w:pPr>
        <w:spacing w:after="120" w:line="360"/>
        <w:jc w:val="both"/>
      </w:pPr>
      <w:r>
        <w:t xml:space="preserve">For "A or B": EIG(d) = h(p₀) − E</w:t>
      </w:r>
      <w:r>
        <w:rPr>
          <w:vertAlign w:val="subscript"/>
        </w:rPr>
        <w:t xml:space="preserve">m~N(0,K_d)</w:t>
      </w:r>
      <w:r>
        <w:t xml:space="preserve"> h(1 − Φ₂((τ</w:t>
      </w:r>
      <w:r>
        <w:rPr>
          <w:vertAlign w:val="subscript"/>
        </w:rPr>
        <w:t xml:space="preserve">A</w:t>
      </w:r>
      <w:r>
        <w:t xml:space="preserve"> − μ</w:t>
      </w:r>
      <w:r>
        <w:rPr>
          <w:vertAlign w:val="subscript"/>
        </w:rPr>
        <w:t xml:space="preserve">A</w:t>
      </w:r>
      <w:r>
        <w:t xml:space="preserve"> − m₁)/s_A, (τ</w:t>
      </w:r>
      <w:r>
        <w:rPr>
          <w:vertAlign w:val="subscript"/>
        </w:rPr>
        <w:t xml:space="preserve">B</w:t>
      </w:r>
      <w:r>
        <w:t xml:space="preserve"> − μ</w:t>
      </w:r>
      <w:r>
        <w:rPr>
          <w:vertAlign w:val="subscript"/>
        </w:rPr>
        <w:t xml:space="preserve">B</w:t>
      </w:r>
      <w:r>
        <w:t xml:space="preserve"> − m₂)/s_B; r)), K</w:t>
      </w:r>
      <w:r>
        <w:rPr>
          <w:vertAlign w:val="subscript"/>
        </w:rPr>
        <w:t xml:space="preserve">d</w:t>
      </w:r>
      <w:r>
        <w:t xml:space="preserve"> = C(A</w:t>
      </w:r>
      <w:r>
        <w:rPr>
          <w:vertAlign w:val="subscript"/>
        </w:rPr>
        <w:t xml:space="preserve">dd</w:t>
      </w:r>
      <w:r>
        <w:t xml:space="preserve"> + σ²I)⁻¹Cᵀ, (s, r) from Σ</w:t>
      </w:r>
      <w:r>
        <w:rPr>
          <w:vertAlign w:val="subscript"/>
        </w:rPr>
        <w:t xml:space="preserve">z</w:t>
      </w:r>
      <w:r>
        <w:t xml:space="preserve"> − K</w:t>
      </w:r>
      <w:r>
        <w:rPr>
          <w:vertAlign w:val="subscript"/>
        </w:rPr>
        <w:t xml:space="preserve">d</w:t>
      </w:r>
      <w:r>
        <w:t xml:space="preserve">; 24×24 Gauss–Hermite (designs.py: prag). Moments from the discrete adjoint (pragAdj), the ensemble (pragEns), or normal-score-transformed ensemble (pragNS). Truth: exact non-linear EIG by likelihood re-weighting, EIG(d) = h(q̄) − N</w:t>
      </w:r>
      <w:r>
        <w:rPr>
          <w:vertAlign w:val="subscript"/>
        </w:rPr>
        <w:t xml:space="preserve">y</w:t>
      </w:r>
      <w:r>
        <w:t xml:space="preserve">⁻¹Σ</w:t>
      </w:r>
      <w:r>
        <w:rPr>
          <w:vertAlign w:val="subscript"/>
        </w:rPr>
        <w:t xml:space="preserve">j</w:t>
      </w:r>
      <w:r>
        <w:t xml:space="preserve"> h(p</w:t>
      </w:r>
      <w:r>
        <w:rPr>
          <w:vertAlign w:val="subscript"/>
        </w:rPr>
        <w:t xml:space="preserve">j</w:t>
      </w:r>
      <w:r>
        <w:t xml:space="preserve">), p</w:t>
      </w:r>
      <w:r>
        <w:rPr>
          <w:vertAlign w:val="subscript"/>
        </w:rPr>
        <w:t xml:space="preserve">j</w:t>
      </w:r>
      <w:r>
        <w:t xml:space="preserve"> = Σ</w:t>
      </w:r>
      <w:r>
        <w:rPr>
          <w:vertAlign w:val="subscript"/>
        </w:rPr>
        <w:t xml:space="preserve">i</w:t>
      </w:r>
      <w:r>
        <w:t xml:space="preserve"> w</w:t>
      </w:r>
      <w:r>
        <w:rPr>
          <w:vertAlign w:val="subscript"/>
        </w:rPr>
        <w:t xml:space="preserve">ij</w:t>
      </w:r>
      <w:r>
        <w:t xml:space="preserve"> q</w:t>
      </w:r>
      <w:r>
        <w:rPr>
          <w:vertAlign w:val="subscript"/>
        </w:rPr>
        <w:t xml:space="preserve">i</w:t>
      </w:r>
      <w:r>
        <w:t xml:space="preserve">/Σ_i w</w:t>
      </w:r>
      <w:r>
        <w:rPr>
          <w:vertAlign w:val="subscript"/>
        </w:rPr>
        <w:t xml:space="preserve">ij</w:t>
      </w:r>
      <w:r>
        <w:t xml:space="preserve">, w</w:t>
      </w:r>
      <w:r>
        <w:rPr>
          <w:vertAlign w:val="subscript"/>
        </w:rPr>
        <w:t xml:space="preserve">ij</w:t>
      </w:r>
      <w:r>
        <w:t xml:space="preserve"> = exp(−‖y</w:t>
      </w:r>
      <w:r>
        <w:rPr>
          <w:vertAlign w:val="subscript"/>
        </w:rPr>
        <w:t xml:space="preserve">j</w:t>
      </w:r>
      <w:r>
        <w:t xml:space="preserve"> − g</w:t>
      </w:r>
      <w:r>
        <w:rPr>
          <w:vertAlign w:val="subscript"/>
        </w:rPr>
        <w:t xml:space="preserve">d</w:t>
      </w:r>
      <w:r>
        <w:t xml:space="preserve">(θ</w:t>
      </w:r>
      <w:r>
        <w:rPr>
          <w:vertAlign w:val="subscript"/>
        </w:rPr>
        <w:t xml:space="preserve">i</w:t>
      </w:r>
      <w:r>
        <w:t xml:space="preserve">)‖²/2σ_ε²).</w:t>
      </w:r>
    </w:p>
    <w:p>
      <w:pPr>
        <w:spacing w:after="120" w:line="360"/>
        <w:jc w:val="both"/>
      </w:pPr>
      <w:r>
        <w:rPr>
          <w:b/>
          <w:bCs/>
        </w:rPr>
        <w:t xml:space="preserve">4. Design.</w:t>
      </w:r>
      <w:r>
        <w:t xml:space="preserve"> Each criterion's top design is scored by its exact EIG as % of the exact optimum over all designs (pct_opt_*). Compared: linear salt-mass/area EIG (project's Lemma 1 pipeline), linear EIG of c</w:t>
      </w:r>
      <w:r>
        <w:rPr>
          <w:vertAlign w:val="subscript"/>
        </w:rPr>
        <w:t xml:space="preserve">A</w:t>
      </w:r>
      <w:r>
        <w:t xml:space="preserve"> / h</w:t>
      </w:r>
      <w:r>
        <w:rPr>
          <w:vertAlign w:val="subscript"/>
        </w:rPr>
        <w:t xml:space="preserve">A</w:t>
      </w:r>
      <w:r>
        <w:t xml:space="preserve"> and of the A–B mean, PRAG-GO variants.</w:t>
      </w:r>
    </w:p>
    <w:p>
      <w:pPr>
        <w:spacing w:after="120" w:line="360"/>
        <w:jc w:val="both"/>
      </w:pPr>
      <w:r>
        <w:rPr>
          <w:b/>
          <w:bCs/>
        </w:rPr>
        <w:t xml:space="preserve">5. Key results.</w:t>
      </w:r>
    </w:p>
    <w:p>
      <w:pPr>
        <w:pStyle w:val="ListParagraph"/>
        <w:numPr>
          <w:ilvl w:val="0"/>
          <w:numId w:val="2"/>
        </w:numPr>
        <w:spacing w:after="60" w:line="360"/>
        <w:jc w:val="both"/>
      </w:pPr>
      <w:r>
        <w:t xml:space="preserve">Henry, salt-mass design, % of optimum (risk A / risk A-or-B): gauss 80.4/84.4, local 75.5/81.0, facies 96.0/97.3.</w:t>
      </w:r>
    </w:p>
    <w:p>
      <w:pPr>
        <w:pStyle w:val="ListParagraph"/>
        <w:numPr>
          <w:ilvl w:val="0"/>
          <w:numId w:val="2"/>
        </w:numPr>
        <w:spacing w:after="60" w:line="360"/>
        <w:jc w:val="both"/>
      </w:pPr>
      <w:r>
        <w:t xml:space="preserve">Henry, PRAG-GO adjoint two-zone form pragAdj: gauss 99.9/100.0, local 97.1/99.6, facies 99.1/99.8; single-well form pragAdjA (= linear EIG of c</w:t>
      </w:r>
      <w:r>
        <w:rPr>
          <w:vertAlign w:val="subscript"/>
        </w:rPr>
        <w:t xml:space="preserve">A</w:t>
      </w:r>
      <w:r>
        <w:t xml:space="preserve">) on risk A: 98.5, 98.7, 99.4. Spearman, mass criterion vs exact EIG (A-or-B): 0.53/0.52/0.59. Half-ensemble re-estimation moved percentages ≤ ~1.5 points.</w:t>
      </w:r>
    </w:p>
    <w:p>
      <w:pPr>
        <w:pStyle w:val="ListParagraph"/>
        <w:numPr>
          <w:ilvl w:val="0"/>
          <w:numId w:val="2"/>
        </w:numPr>
        <w:spacing w:after="60" w:line="360"/>
        <w:jc w:val="both"/>
      </w:pPr>
      <w:r>
        <w:t xml:space="preserve">Field, 3 wells, area design (P21 A3 A18) on risk A: 32.3 (base), 36.1 (rho805), 23.4 (fine); on A-or-B: 80.2, 81.3, 46.5; on area &gt; 100 km²: 100. PRAG-GO linear moments pragLin on risk A: 91.6, 91.8, 94.1; on A-or-B: 97.6, 97.6, 100.0.</w:t>
      </w:r>
    </w:p>
    <w:p>
      <w:pPr>
        <w:pStyle w:val="ListParagraph"/>
        <w:numPr>
          <w:ilvl w:val="0"/>
          <w:numId w:val="2"/>
        </w:numPr>
        <w:spacing w:after="60" w:line="360"/>
        <w:jc w:val="both"/>
      </w:pPr>
      <w:r>
        <w:t xml:space="preserve">Field, 5 wells (12 000 ensemble): published design (P21 A10 A12 A13 A21) risk A 58.8/61.9/42.5, A-or-B 84.5/85.2/72.8; area design risk A 54.7/56.8/94.7; pragLin (P13 P21 A12 A17 A18 in base) risk A 88.7/89.2/92.3, A-or-B 99.0/98.9/99.6. With 48 000 re-evaluation (base): published 56.9/81.9%, pragLin 88.7/100.0%, greedy+swap 90.5/99.3% (A / A-or-B).</w:t>
      </w:r>
    </w:p>
    <w:p>
      <w:pPr>
        <w:spacing w:after="120" w:line="360"/>
        <w:jc w:val="both"/>
      </w:pPr>
      <w:r>
        <w:rPr>
          <w:b/>
          <w:bCs/>
        </w:rPr>
        <w:t xml:space="preserve">6. Limitations (README/notes).</w:t>
      </w:r>
      <w:r>
        <w:t xml:space="preserve"> README lists none explicitly. Notes: results are synthetic (Henry) or from an uncalibrated Ghyben–Herzberg model with representative b, base, R; A23/R16 are rule-chosen stand-ins for the Gorre/Fushë-Kuqe pumping stations (coordinates unavailable); re-weighting overestimates EIG at small ESS (facies prior ESS 67–120; ≥ 200 for reported 5-well designs with 48 000).</w:t>
      </w:r>
    </w:p>
    <w:p>
      <w:pPr>
        <w:spacing w:after="120" w:line="360"/>
        <w:jc w:val="both"/>
      </w:pPr>
      <w:r>
        <w:rPr>
          <w:b/>
          <w:bCs/>
        </w:rPr>
        <w:t xml:space="preserve">7. Files.</w:t>
      </w:r>
      <w:r>
        <w:t xml:space="preserve"> prag_go_henry/: henry.py, prag_henry.py, designs.py, conv.py, figs.py (→ fig1_setup.png, fig2_designs.png, fig3_scatter.png, not committed), results_summary.csv. prag_go_fushe_kuqe/: fk.py, fk_ens.py, fk_designs.py, fk_conv.py, fk_check5.py, fk_results.py, fk_figs.py (→ fig1_map_designs.png, fig2_scatter.png, fig3_mar.png, not committed), results_summary.csv. No JSON results are committed for PRAG-GO.</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S7.2. PRAG-MAR (risk-oriented managed-aquifer-recharge siting)</w:t>
      </w:r>
    </w:p>
    <w:p>
      <w:pPr>
        <w:spacing w:after="120" w:line="360"/>
        <w:jc w:val="both"/>
      </w:pPr>
      <w:r>
        <w:rPr>
          <w:i/>
          <w:iCs/>
        </w:rPr>
        <w:t xml:space="preserve">Code:</w:t>
      </w:r>
      <w:r>
        <w:t xml:space="preserve"> prag_go_fushe_kuqe/fk_mar.py; MATLAB src/prag_mar.m, src/prag_mar_check.m, demo/fushe_kuqe_prag_mar.m, demo/prag_mar_selftest.m</w:t>
      </w:r>
    </w:p>
    <w:p>
      <w:pPr>
        <w:spacing w:after="120" w:line="360"/>
        <w:jc w:val="both"/>
      </w:pPr>
      <w:r>
        <w:rPr>
          <w:b/>
          <w:bCs/>
        </w:rPr>
        <w:t xml:space="preserve">1. Question.</w:t>
      </w:r>
      <w:r>
        <w:t xml:space="preserve"> Where should 3 MAR sites go to minimize the probability that supply well A23 or R16 is salinized, rather than to shrink the intruded area?</w:t>
      </w:r>
    </w:p>
    <w:p>
      <w:pPr>
        <w:spacing w:after="120" w:line="360"/>
        <w:jc w:val="both"/>
      </w:pPr>
      <w:r>
        <w:rPr>
          <w:b/>
          <w:bCs/>
        </w:rPr>
        <w:t xml:space="preserve">2. Model and parameters.</w:t>
      </w:r>
      <w:r>
        <w:t xml:space="preserve"> Fushë-Kuqe field model as in §1 (base prior); supply wells A23, R16; h</w:t>
      </w:r>
      <w:r>
        <w:rPr>
          <w:vertAlign w:val="subscript"/>
        </w:rPr>
        <w:t xml:space="preserve">c</w:t>
      </w:r>
      <w:r>
        <w:t xml:space="preserve"> = 1.0 m; Q = 2 500, 5 000 (reference), 10 000 m³/d per site; 5 000 m³/d/site ≈ 9% of natural recharge of the polygon; published selection rule (top 3, ≥ 6 km apart in northing, snapped to wells); exact check on 2 000 prior realizations. Prior linear moments: μ</w:t>
      </w:r>
      <w:r>
        <w:rPr>
          <w:vertAlign w:val="subscript"/>
        </w:rPr>
        <w:t xml:space="preserve">A</w:t>
      </w:r>
      <w:r>
        <w:t xml:space="preserve"> = 0.98 m, μ</w:t>
      </w:r>
      <w:r>
        <w:rPr>
          <w:vertAlign w:val="subscript"/>
        </w:rPr>
        <w:t xml:space="preserve">B</w:t>
      </w:r>
      <w:r>
        <w:t xml:space="preserve"> = 0.88 m, s</w:t>
      </w:r>
      <w:r>
        <w:rPr>
          <w:vertAlign w:val="subscript"/>
        </w:rPr>
        <w:t xml:space="preserve">A</w:t>
      </w:r>
      <w:r>
        <w:t xml:space="preserve"> = s</w:t>
      </w:r>
      <w:r>
        <w:rPr>
          <w:vertAlign w:val="subscript"/>
        </w:rPr>
        <w:t xml:space="preserve">B</w:t>
      </w:r>
      <w:r>
        <w:t xml:space="preserve"> = 0.32 m, r = 0.18.</w:t>
      </w:r>
    </w:p>
    <w:p>
      <w:pPr>
        <w:spacing w:after="120" w:line="360"/>
        <w:jc w:val="both"/>
      </w:pPr>
      <w:r>
        <w:rPr>
          <w:b/>
          <w:bCs/>
        </w:rPr>
        <w:t xml:space="preserve">3. Criterion.</w:t>
      </w:r>
      <w:r>
        <w:t xml:space="preserve"> h(θ, Q) = h(θ) + Q g</w:t>
      </w:r>
      <w:r>
        <w:rPr>
          <w:vertAlign w:val="subscript"/>
        </w:rPr>
        <w:t xml:space="preserve">k</w:t>
      </w:r>
      <w:r>
        <w:t xml:space="preserve">(θ), g</w:t>
      </w:r>
      <w:r>
        <w:rPr>
          <w:vertAlign w:val="subscript"/>
        </w:rPr>
        <w:t xml:space="preserve">w</w:t>
      </w:r>
      <w:r>
        <w:t xml:space="preserve"> = −A⁻ᵀe</w:t>
      </w:r>
      <w:r>
        <w:rPr>
          <w:vertAlign w:val="subscript"/>
        </w:rPr>
        <w:t xml:space="preserve">w</w:t>
      </w:r>
      <w:r>
        <w:t xml:space="preserve"> (one transposed solve per well). P</w:t>
      </w:r>
      <w:r>
        <w:rPr>
          <w:vertAlign w:val="subscript"/>
        </w:rPr>
        <w:t xml:space="preserve">AB</w:t>
      </w:r>
      <w:r>
        <w:t xml:space="preserve"> = 1 − Φ₂(a, b; r), a = (μ</w:t>
      </w:r>
      <w:r>
        <w:rPr>
          <w:vertAlign w:val="subscript"/>
        </w:rPr>
        <w:t xml:space="preserve">A</w:t>
      </w:r>
      <w:r>
        <w:t xml:space="preserve"> − h</w:t>
      </w:r>
      <w:r>
        <w:rPr>
          <w:vertAlign w:val="subscript"/>
        </w:rPr>
        <w:t xml:space="preserve">c</w:t>
      </w:r>
      <w:r>
        <w:t xml:space="preserve">)/s_A, b = (μ</w:t>
      </w:r>
      <w:r>
        <w:rPr>
          <w:vertAlign w:val="subscript"/>
        </w:rPr>
        <w:t xml:space="preserve">B</w:t>
      </w:r>
      <w:r>
        <w:t xml:space="preserve"> − h</w:t>
      </w:r>
      <w:r>
        <w:rPr>
          <w:vertAlign w:val="subscript"/>
        </w:rPr>
        <w:t xml:space="preserve">c</w:t>
      </w:r>
      <w:r>
        <w:t xml:space="preserve">)/s_B;</w:t>
      </w:r>
    </w:p>
    <w:p>
      <w:pPr>
        <w:spacing w:after="120" w:line="360"/>
        <w:jc w:val="both"/>
      </w:pPr>
      <w:r>
        <w:t xml:space="preserve">−∂P</w:t>
      </w:r>
      <w:r>
        <w:rPr>
          <w:vertAlign w:val="subscript"/>
        </w:rPr>
        <w:t xml:space="preserve">AB</w:t>
      </w:r>
      <w:r>
        <w:t xml:space="preserve">/∂Q</w:t>
      </w:r>
      <w:r>
        <w:rPr>
          <w:vertAlign w:val="subscript"/>
        </w:rPr>
        <w:t xml:space="preserve">k</w:t>
      </w:r>
      <w:r>
        <w:t xml:space="preserve"> = φ(a)Φ((b − ra)/√(1−r²)) g</w:t>
      </w:r>
      <w:r>
        <w:rPr>
          <w:vertAlign w:val="subscript"/>
        </w:rPr>
        <w:t xml:space="preserve">A,k</w:t>
      </w:r>
      <w:r>
        <w:t xml:space="preserve">/s_A + φ(b)Φ((a − rb)/√(1−r²)) g</w:t>
      </w:r>
      <w:r>
        <w:rPr>
          <w:vertAlign w:val="subscript"/>
        </w:rPr>
        <w:t xml:space="preserve">B,k</w:t>
      </w:r>
      <w:r>
        <w:t xml:space="preserve">/s_B.</w:t>
      </w:r>
    </w:p>
    <w:p>
      <w:pPr>
        <w:spacing w:after="120" w:line="360"/>
        <w:jc w:val="both"/>
      </w:pPr>
      <w:r>
        <w:rPr>
          <w:b/>
          <w:bCs/>
        </w:rPr>
        <w:t xml:space="preserve">4. Design.</w:t>
      </w:r>
      <w:r>
        <w:t xml:space="preserve"> No MAR vs published area-adjoint sites (A18, P21, P16) vs PRAG-MAR sites (A23, R16, P21) vs greedy optimum of the exact ensemble risk (ens, same spacing rule); exact Monte Carlo on 2 000 realizations.</w:t>
      </w:r>
    </w:p>
    <w:p>
      <w:pPr>
        <w:spacing w:after="120" w:line="360"/>
        <w:jc w:val="both"/>
      </w:pPr>
      <w:r>
        <w:rPr>
          <w:b/>
          <w:bCs/>
        </w:rPr>
        <w:t xml:space="preserve">5. Key results</w:t>
      </w:r>
      <w:r>
        <w:t xml:space="preserve">:</w:t>
      </w:r>
    </w:p>
    <w:p>
      <w:pPr>
        <w:keepNext/>
        <w:spacing w:after="80" w:before="200" w:line="276"/>
      </w:pPr>
      <w:r>
        <w:rPr>
          <w:b/>
          <w:bCs/>
          <w:sz w:val="20"/>
          <w:szCs w:val="20"/>
        </w:rPr>
        <w:t xml:space="preserve">Table S7.2.</w:t>
      </w:r>
      <w:r>
        <w:rPr>
          <w:sz w:val="20"/>
          <w:szCs w:val="20"/>
        </w:rPr>
        <w:t xml:space="preserve"> PRAG-MAR (risk-oriented managed-aquifer-recharge siting): results.</w:t>
      </w:r>
    </w:p>
    <w:tbl>
      <w:tblPr>
        <w:tblW w:type="dxa" w:w="90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11"/>
        <w:gridCol w:w="1511"/>
        <w:gridCol w:w="1511"/>
        <w:gridCol w:w="1511"/>
        <w:gridCol w:w="1511"/>
        <w:gridCol w:w="1511"/>
      </w:tblGrid>
      <w:tr>
        <w:trPr>
          <w:cantSplit/>
          <w:tblHeader/>
        </w:trPr>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Sites</w:t>
            </w:r>
          </w:p>
        </w:tc>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Q (m³/d/site)</w:t>
            </w:r>
          </w:p>
        </w:tc>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P(A)</w:t>
            </w:r>
          </w:p>
        </w:tc>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P(B)</w:t>
            </w:r>
          </w:p>
        </w:tc>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P(A or B)</w:t>
            </w:r>
          </w:p>
        </w:tc>
        <w:tc>
          <w:tcPr>
            <w:tcW w:type="dxa" w:w="151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6"/>
                <w:szCs w:val="16"/>
              </w:rPr>
              <w:t xml:space="preserve">mean area (km²)</w:t>
            </w:r>
          </w:p>
        </w:tc>
      </w:tr>
      <w:tr>
        <w:trPr>
          <w:cantSplit/>
        </w:trPr>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none</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0.514</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0.632</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0.791</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98.35</w:t>
            </w:r>
          </w:p>
        </w:tc>
      </w:tr>
      <w:tr>
        <w:trPr>
          <w:cantSplit/>
        </w:trPr>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published (area)</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2 500 / 5 000 / 10 000</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0.510 / 0.506 / 0.499</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0.433 / 0.277 / 0.098</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0.691 / 0.622 / 0.537</w:t>
            </w:r>
          </w:p>
        </w:tc>
        <w:tc>
          <w:tcPr>
            <w:tcW w:type="dxa" w:w="1511"/>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6"/>
                <w:szCs w:val="16"/>
              </w:rPr>
              <w:t xml:space="preserve">91.92 / 87.22 / 80.52</w:t>
            </w:r>
          </w:p>
        </w:tc>
      </w:tr>
      <w:tr>
        <w:trPr>
          <w:cantSplit/>
        </w:trPr>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PRAG-MAR</w:t>
            </w:r>
          </w:p>
        </w:tc>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2 500 / 5 000 / 10 000</w:t>
            </w:r>
          </w:p>
        </w:tc>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0.056 / 0.005 / 0.000</w:t>
            </w:r>
          </w:p>
        </w:tc>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0.156 / 0.033 / 0.002</w:t>
            </w:r>
          </w:p>
        </w:tc>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0.199 / 0.038 / 0.002</w:t>
            </w:r>
          </w:p>
        </w:tc>
        <w:tc>
          <w:tcPr>
            <w:tcW w:type="dxa" w:w="151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6"/>
                <w:szCs w:val="16"/>
              </w:rPr>
              <w:t xml:space="preserve">93.32 / 89.46 / 83.90</w:t>
            </w:r>
          </w:p>
        </w:tc>
      </w:tr>
    </w:tbl>
    <w:p>
      <w:pPr>
        <w:spacing w:after="160"/>
      </w:pPr>
    </w:p>
    <w:p>
      <w:pPr>
        <w:spacing w:after="120" w:line="360"/>
        <w:jc w:val="both"/>
      </w:pPr>
      <w:r>
        <w:t xml:space="preserve">Greedy on the exact ensemble risk found the same three sites (ens rows identical). PRAG-MAR's area reduction at 5 000 m³/d is 8.9 km² vs 11.1 km² for the published sites (80%).</w:t>
      </w:r>
    </w:p>
    <w:p>
      <w:pPr>
        <w:spacing w:after="120" w:line="360"/>
        <w:jc w:val="both"/>
      </w:pPr>
      <w:r>
        <w:rPr>
          <w:b/>
          <w:bCs/>
        </w:rPr>
        <w:t xml:space="preserve">6. Limitations.</w:t>
      </w:r>
      <w:r>
        <w:t xml:space="preserve"> Uncalibrated model; recharge rates 2 500–10 000 m³/d/site are assumptions; supply wells are stand-ins; MATLAB demo numbers "differ by Monte Carlo error only".</w:t>
      </w:r>
    </w:p>
    <w:p>
      <w:pPr>
        <w:spacing w:after="120" w:line="360"/>
        <w:jc w:val="both"/>
      </w:pPr>
      <w:r>
        <w:rPr>
          <w:b/>
          <w:bCs/>
        </w:rPr>
        <w:t xml:space="preserve">7. Files.</w:t>
      </w:r>
      <w:r>
        <w:t xml:space="preserve"> fk_mar.py; fk_figs.py → fig3_mar.png; MATLAB files listed in heading (demo writes fushe_kuqe_prag_mar.png).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S7.3. KRITIK-GO (early warning of a saddle-node tipping of the toe)</w:t>
      </w:r>
    </w:p>
    <w:p>
      <w:pPr>
        <w:spacing w:after="120" w:line="360"/>
        <w:jc w:val="both"/>
      </w:pPr>
      <w:r>
        <w:rPr>
          <w:i/>
          <w:iCs/>
        </w:rPr>
        <w:t xml:space="preserve">Code:</w:t>
      </w:r>
      <w:r>
        <w:t xml:space="preserve"> kritik_go/ (final: kritik2_results.json)</w:t>
      </w:r>
    </w:p>
    <w:p>
      <w:pPr>
        <w:spacing w:after="120" w:line="360"/>
        <w:jc w:val="both"/>
      </w:pPr>
      <w:r>
        <w:rPr>
          <w:b/>
          <w:bCs/>
        </w:rPr>
        <w:t xml:space="preserve">1. Question.</w:t>
      </w:r>
      <w:r>
        <w:t xml:space="preserve"> Where, and with which sensors, can the approach of pumping to the critical rate Q</w:t>
      </w:r>
      <w:r>
        <w:rPr>
          <w:vertAlign w:val="subscript"/>
        </w:rPr>
        <w:t xml:space="preserve">c</w:t>
      </w:r>
      <w:r>
        <w:t xml:space="preserve"> (toe jump to the well) be detected early?</w:t>
      </w:r>
    </w:p>
    <w:p>
      <w:pPr>
        <w:spacing w:after="120" w:line="360"/>
        <w:jc w:val="both"/>
      </w:pPr>
      <w:r>
        <w:rPr>
          <w:b/>
          <w:bCs/>
        </w:rPr>
        <w:t xml:space="preserve">2. Model and parameters.</w:t>
      </w:r>
      <w:r>
        <w:t xml:space="preserve"> Strack (1976) confined single-potential solution on the coast–well axis; K = 100 m/d, B = 30 m, δ = 0.025, q0 = 1.5 m²/d, d = 2 000 m, base depth D = 40 m; Q</w:t>
      </w:r>
      <w:r>
        <w:rPr>
          <w:vertAlign w:val="subscript"/>
        </w:rPr>
        <w:t xml:space="preserve">c</w:t>
      </w:r>
      <w:r>
        <w:t xml:space="preserve"> = 3 651 m³/d. Toe relaxation τ = 2 yr; recharge anomaly OU with sd 0.20, correlation time 0.5 yr; mixing width 150 m; salinity noise 0.02; head noise 0.05 m (kritik.py) / 0.02 m (kritik2 head logger at 1 000 m); prior CV 30% on K, 20% on q0 (lognormal), draws rejected if already beyond 80% of their own Q</w:t>
      </w:r>
      <w:r>
        <w:rPr>
          <w:vertAlign w:val="subscript"/>
        </w:rPr>
        <w:t xml:space="preserve">c</w:t>
      </w:r>
      <w:r>
        <w:t xml:space="preserve">. kritik.py: 400 ramp runs (0.5 → 1.3 Q</w:t>
      </w:r>
      <w:r>
        <w:rPr>
          <w:vertAlign w:val="subscript"/>
        </w:rPr>
        <w:t xml:space="preserve">c</w:t>
      </w:r>
      <w:r>
        <w:t xml:space="preserve"> over 40 yr) + 400 null runs, seed 2026, tipping = X ≥ 0.95. kritik2.py: criteria from 200 draws × 5 states in [0.85, 0.95] Q</w:t>
      </w:r>
      <w:r>
        <w:rPr>
          <w:vertAlign w:val="subscript"/>
        </w:rPr>
        <w:t xml:space="preserve">c</w:t>
      </w:r>
      <w:r>
        <w:t xml:space="preserve">; validation 300 draws (214 non-tipping used), 10 yr weekly data, near 0.85 Q</w:t>
      </w:r>
      <w:r>
        <w:rPr>
          <w:vertAlign w:val="subscript"/>
        </w:rPr>
        <w:t xml:space="preserve">c</w:t>
      </w:r>
      <w:r>
        <w:t xml:space="preserve"> / far 0.6 Q</w:t>
      </w:r>
      <w:r>
        <w:rPr>
          <w:vertAlign w:val="subscript"/>
        </w:rPr>
        <w:t xml:space="preserve">c</w:t>
      </w:r>
      <w:r>
        <w:t xml:space="preserve">, seed 7. 16 positions, 400–1 900 m.</w:t>
      </w:r>
    </w:p>
    <w:p>
      <w:pPr>
        <w:spacing w:after="120" w:line="360"/>
        <w:jc w:val="both"/>
      </w:pPr>
      <w:r>
        <w:rPr>
          <w:b/>
          <w:bCs/>
        </w:rPr>
        <w:t xml:space="preserve">3. Criterion.</w:t>
      </w:r>
      <w:r>
        <w:t xml:space="preserve"> F(X; λ) = X + (λ/2) ln((1−X)/(1+X)) = μ, μ = KδB²/(2q0d), λ = Q/(πq0d); saddle-node when F(√(1−λ); λ) = μ; recovery rate k = F′(X*)/τ → 0 (critical slowing down). KRITIK-GO: J</w:t>
      </w:r>
      <w:r>
        <w:rPr>
          <w:vertAlign w:val="subscript"/>
        </w:rPr>
        <w:t xml:space="preserve">IO</w:t>
      </w:r>
      <w:r>
        <w:t xml:space="preserve">(s) = Σ_prior,states N a(s)² (e₂₂ − e₁₂²/e₁₁)/σ_c², the Fisher information on ln k from paired head (input) and salinity (output) loggers with the gain as nuisance; a(s) = probit slope of base salinity at s. Status criterion J0(s) = Σ φ((x</w:t>
      </w:r>
      <w:r>
        <w:rPr>
          <w:vertAlign w:val="subscript"/>
        </w:rPr>
        <w:t xml:space="preserve">toe</w:t>
      </w:r>
      <w:r>
        <w:t xml:space="preserve"> − s)/w)² (precision on the current toe).</w:t>
      </w:r>
    </w:p>
    <w:p>
      <w:pPr>
        <w:spacing w:after="120" w:line="360"/>
        <w:jc w:val="both"/>
      </w:pPr>
      <w:r>
        <w:rPr>
          <w:b/>
          <w:bCs/>
        </w:rPr>
        <w:t xml:space="preserve">4. Design.</w:t>
      </w:r>
      <w:r>
        <w:t xml:space="preserve"> Classical warning (rolling lag-1 autocorrelation trend, threshold for 5% false alarms on null runs) from salinity or head; KRITIK-GO vs passive (salinity-only Whittle) vs status criterion; truth = realized median relative error of k̂ (input–output WLS estimator) at 0.85 Q</w:t>
      </w:r>
      <w:r>
        <w:rPr>
          <w:vertAlign w:val="subscript"/>
        </w:rPr>
        <w:t xml:space="preserve">c</w:t>
      </w:r>
      <w:r>
        <w:t xml:space="preserve">, and an oracle seeing the true toe.</w:t>
      </w:r>
    </w:p>
    <w:p>
      <w:pPr>
        <w:spacing w:after="120" w:line="360"/>
        <w:jc w:val="both"/>
      </w:pPr>
      <w:r>
        <w:rPr>
          <w:b/>
          <w:bCs/>
        </w:rPr>
        <w:t xml:space="preserve">5. Key results.</w:t>
      </w:r>
    </w:p>
    <w:p>
      <w:pPr>
        <w:pStyle w:val="ListParagraph"/>
        <w:numPr>
          <w:ilvl w:val="0"/>
          <w:numId w:val="2"/>
        </w:numPr>
        <w:spacing w:after="60" w:line="360"/>
        <w:jc w:val="both"/>
      </w:pPr>
      <w:r>
        <w:t xml:space="preserve">Classical warning ≥ 2 yr before the jump: max 6.8% of runs (1 300 m) over salinity positions; heads 1.2%.</w:t>
      </w:r>
    </w:p>
    <w:p>
      <w:pPr>
        <w:pStyle w:val="ListParagraph"/>
        <w:numPr>
          <w:ilvl w:val="0"/>
          <w:numId w:val="2"/>
        </w:numPr>
        <w:spacing w:after="60" w:line="360"/>
        <w:jc w:val="both"/>
      </w:pPr>
      <w:r>
        <w:t xml:space="preserve">Critical toe 1 339–1 671 m (10–90% of prior), median 1 530 m; current toe ≈ 950 m.</w:t>
      </w:r>
    </w:p>
    <w:p>
      <w:pPr>
        <w:pStyle w:val="ListParagraph"/>
        <w:numPr>
          <w:ilvl w:val="0"/>
          <w:numId w:val="2"/>
        </w:numPr>
        <w:spacing w:after="60" w:line="360"/>
        <w:jc w:val="both"/>
      </w:pPr>
      <w:r>
        <w:t xml:space="preserve">Optimum logger position 1 200 m; status criterion 800 m.</w:t>
      </w:r>
    </w:p>
    <w:p>
      <w:pPr>
        <w:pStyle w:val="ListParagraph"/>
        <w:numPr>
          <w:ilvl w:val="0"/>
          <w:numId w:val="2"/>
        </w:numPr>
        <w:spacing w:after="60" w:line="360"/>
        <w:jc w:val="both"/>
      </w:pPr>
      <w:r>
        <w:t xml:space="preserve">Median relative error of k at 0.85 Q</w:t>
      </w:r>
      <w:r>
        <w:rPr>
          <w:vertAlign w:val="subscript"/>
        </w:rPr>
        <w:t xml:space="preserve">c</w:t>
      </w:r>
      <w:r>
        <w:t xml:space="preserve">, paired loggers: 0.43, 0.42, 0.43, 0.44, 0.44 at 1 000–1 400 m; 0.78 at 800 m; 1.60 at 1 900 m; oracle 0.37. Salinity-only: 0.78–1.54 at 1 000–1 400 m.</w:t>
      </w:r>
    </w:p>
    <w:p>
      <w:pPr>
        <w:pStyle w:val="ListParagraph"/>
        <w:numPr>
          <w:ilvl w:val="0"/>
          <w:numId w:val="2"/>
        </w:numPr>
        <w:spacing w:after="60" w:line="360"/>
        <w:jc w:val="both"/>
      </w:pPr>
      <w:r>
        <w:t xml:space="preserve">Spearman(criterion, −relerr_near) over 16 positions: KRITIK-GO 0.965, status 0.206.</w:t>
      </w:r>
    </w:p>
    <w:p>
      <w:pPr>
        <w:spacing w:after="120" w:line="360"/>
        <w:jc w:val="both"/>
      </w:pPr>
      <w:r>
        <w:rPr>
          <w:b/>
          <w:bCs/>
        </w:rPr>
        <w:t xml:space="preserve">6. Limitations.</w:t>
      </w:r>
      <w:r>
        <w:t xml:space="preserve"> None stated explicitly. Note: README's "22–203 elsewhere" for salinity-only errors omits 400–700 m (104–332) and 900/1 500 m (4.0) in the JSON. The ramp alarm with the input–output estimator (python3 kritik2.py 300 200) is not in the committed JSON (no ramp key).</w:t>
      </w:r>
    </w:p>
    <w:p>
      <w:pPr>
        <w:spacing w:after="120" w:line="360"/>
        <w:jc w:val="both"/>
      </w:pPr>
      <w:r>
        <w:rPr>
          <w:b/>
          <w:bCs/>
        </w:rPr>
        <w:t xml:space="preserve">7. Files.</w:t>
      </w:r>
      <w:r>
        <w:t xml:space="preserve"> kritik.py, kritik2.py, kritik_figs.py; kritik_results.json, kritik2_results.json; figK1_bifurcation.png, figK2_design.png.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S7.4. KRAMERS-GO (return-period-safe pumping)</w:t>
      </w:r>
    </w:p>
    <w:p>
      <w:pPr>
        <w:spacing w:after="120" w:line="360"/>
        <w:jc w:val="both"/>
      </w:pPr>
      <w:r>
        <w:rPr>
          <w:i/>
          <w:iCs/>
        </w:rPr>
        <w:t xml:space="preserve">Code:</w:t>
      </w:r>
      <w:r>
        <w:t xml:space="preserve"> kramers_go/</w:t>
      </w:r>
    </w:p>
    <w:p>
      <w:pPr>
        <w:spacing w:after="120" w:line="360"/>
        <w:jc w:val="both"/>
      </w:pPr>
      <w:r>
        <w:rPr>
          <w:b/>
          <w:bCs/>
        </w:rPr>
        <w:t xml:space="preserve">1. Question.</w:t>
      </w:r>
      <w:r>
        <w:t xml:space="preserve"> What pumping rate keeps the mean time to well salinization by noise-induced escape above a chosen return period T?</w:t>
      </w:r>
    </w:p>
    <w:p>
      <w:pPr>
        <w:spacing w:after="120" w:line="360"/>
        <w:jc w:val="both"/>
      </w:pPr>
      <w:r>
        <w:rPr>
          <w:b/>
          <w:bCs/>
        </w:rPr>
        <w:t xml:space="preserve">2. Model and parameters.</w:t>
      </w:r>
      <w:r>
        <w:t xml:space="preserve"> Strack toe as §3; K = 100 m/d, q0 = 1.5 m²/d, B = 30 m, δ = 0.025, d = 2 km, τ = 2 yr; recharge factor r = exp(ε − s²/2), ε OU with s = 0.2, θ = 0.5 yr; escape X ≥ 0.98, reflecting floor X = 0.15. E1: 2 000 Euler–Maruyama paths, horizon 6 000 yr, dt 0.005 yr; 2D grid 720 × 481. E2: f = 0.55…0.975, grid 720 × 241. E3: 60 prior draws (K CV 30%, q0 CV 20%). E4: one-at-a-time ±20% on s, θ, τ, K, q0.</w:t>
      </w:r>
    </w:p>
    <w:p>
      <w:pPr>
        <w:spacing w:after="120" w:line="360"/>
        <w:jc w:val="both"/>
      </w:pPr>
      <w:r>
        <w:rPr>
          <w:b/>
          <w:bCs/>
        </w:rPr>
        <w:t xml:space="preserve">3. Criterion.</w:t>
      </w:r>
      <w:r>
        <w:t xml:space="preserve"> Mean first-passage time T(X, ε) from the backward Kolmogorov equation A ∂_X T − (ε/θ)∂_ε T + (s²/θ)∂²_ε T = −1, T(X</w:t>
      </w:r>
      <w:r>
        <w:rPr>
          <w:vertAlign w:val="subscript"/>
        </w:rPr>
        <w:t xml:space="preserve">esc</w:t>
      </w:r>
      <w:r>
        <w:t xml:space="preserve">,·) = 0; Q</w:t>
      </w:r>
      <w:r>
        <w:rPr>
          <w:vertAlign w:val="subscript"/>
        </w:rPr>
        <w:t xml:space="preserve">T</w:t>
      </w:r>
      <w:r>
        <w:t xml:space="preserve"> = pumping with MFPT = T. Compared with the Kramers rule T = (2π/k) exp(gap²/(6 Var)) and a 1D Stratonovich reduction.</w:t>
      </w:r>
    </w:p>
    <w:p>
      <w:pPr>
        <w:spacing w:after="120" w:line="360"/>
        <w:jc w:val="both"/>
      </w:pPr>
      <w:r>
        <w:rPr>
          <w:b/>
          <w:bCs/>
        </w:rPr>
        <w:t xml:space="preserve">4. Design.</w:t>
      </w:r>
      <w:r>
        <w:t xml:space="preserve"> Simulation (truth) vs 2D Kolmogorov vs 1D reduction vs Kramers rule at Q/Q_c = 0.65…0.95.</w:t>
      </w:r>
    </w:p>
    <w:p>
      <w:pPr>
        <w:spacing w:after="120" w:line="360"/>
        <w:jc w:val="both"/>
      </w:pPr>
      <w:r>
        <w:rPr>
          <w:b/>
          <w:bCs/>
        </w:rPr>
        <w:t xml:space="preserve">5. Key results.</w:t>
      </w:r>
    </w:p>
    <w:p>
      <w:pPr>
        <w:pStyle w:val="ListParagraph"/>
        <w:numPr>
          <w:ilvl w:val="0"/>
          <w:numId w:val="2"/>
        </w:numPr>
        <w:spacing w:after="60" w:line="360"/>
        <w:jc w:val="both"/>
      </w:pPr>
      <w:r>
        <w:t xml:space="preserve">At 0.80 Q</w:t>
      </w:r>
      <w:r>
        <w:rPr>
          <w:vertAlign w:val="subscript"/>
        </w:rPr>
        <w:t xml:space="preserve">c</w:t>
      </w:r>
      <w:r>
        <w:t xml:space="preserve">: T</w:t>
      </w:r>
      <w:r>
        <w:rPr>
          <w:vertAlign w:val="subscript"/>
        </w:rPr>
        <w:t xml:space="preserve">sim</w:t>
      </w:r>
      <w:r>
        <w:t xml:space="preserve"> = 132.3 yr, T</w:t>
      </w:r>
      <w:r>
        <w:rPr>
          <w:vertAlign w:val="subscript"/>
        </w:rPr>
        <w:t xml:space="preserve">2D</w:t>
      </w:r>
      <w:r>
        <w:t xml:space="preserve"> = 132.3 yr, T</w:t>
      </w:r>
      <w:r>
        <w:rPr>
          <w:vertAlign w:val="subscript"/>
        </w:rPr>
        <w:t xml:space="preserve">1D</w:t>
      </w:r>
      <w:r>
        <w:t xml:space="preserve"> = 142.2 yr, T_Kramers = 1 482 yr. At 0.65 Q</w:t>
      </w:r>
      <w:r>
        <w:rPr>
          <w:vertAlign w:val="subscript"/>
        </w:rPr>
        <w:t xml:space="preserve">c</w:t>
      </w:r>
      <w:r>
        <w:t xml:space="preserve"> only 66% of paths escaped (1 320/2 000). Kramers overestimates 3.7–84×.</w:t>
      </w:r>
    </w:p>
    <w:p>
      <w:pPr>
        <w:pStyle w:val="ListParagraph"/>
        <w:numPr>
          <w:ilvl w:val="0"/>
          <w:numId w:val="2"/>
        </w:numPr>
        <w:spacing w:after="60" w:line="360"/>
        <w:jc w:val="both"/>
      </w:pPr>
      <w:r>
        <w:t xml:space="preserve">Nominal Q</w:t>
      </w:r>
      <w:r>
        <w:rPr>
          <w:vertAlign w:val="subscript"/>
        </w:rPr>
        <w:t xml:space="preserve">c</w:t>
      </w:r>
      <w:r>
        <w:t xml:space="preserve"> = 3 651 m³/d; Q</w:t>
      </w:r>
      <w:r>
        <w:rPr>
          <w:vertAlign w:val="subscript"/>
        </w:rPr>
        <w:t xml:space="preserve">50</w:t>
      </w:r>
      <w:r>
        <w:t xml:space="preserve"> = 0.862 Q</w:t>
      </w:r>
      <w:r>
        <w:rPr>
          <w:vertAlign w:val="subscript"/>
        </w:rPr>
        <w:t xml:space="preserve">c</w:t>
      </w:r>
      <w:r>
        <w:t xml:space="preserve">, Q</w:t>
      </w:r>
      <w:r>
        <w:rPr>
          <w:vertAlign w:val="subscript"/>
        </w:rPr>
        <w:t xml:space="preserve">100</w:t>
      </w:r>
      <w:r>
        <w:t xml:space="preserve"> = 0.815 Q</w:t>
      </w:r>
      <w:r>
        <w:rPr>
          <w:vertAlign w:val="subscript"/>
        </w:rPr>
        <w:t xml:space="preserve">c</w:t>
      </w:r>
      <w:r>
        <w:t xml:space="preserve"> (= 2 977 m³/d).</w:t>
      </w:r>
    </w:p>
    <w:p>
      <w:pPr>
        <w:pStyle w:val="ListParagraph"/>
        <w:numPr>
          <w:ilvl w:val="0"/>
          <w:numId w:val="2"/>
        </w:numPr>
        <w:spacing w:after="60" w:line="360"/>
        <w:jc w:val="both"/>
      </w:pPr>
      <w:r>
        <w:t xml:space="preserve">Under the prior: Q</w:t>
      </w:r>
      <w:r>
        <w:rPr>
          <w:vertAlign w:val="subscript"/>
        </w:rPr>
        <w:t xml:space="preserve">100</w:t>
      </w:r>
      <w:r>
        <w:t xml:space="preserve">/Q_c 10–90% = 0.618–0.888; Q</w:t>
      </w:r>
      <w:r>
        <w:rPr>
          <w:vertAlign w:val="subscript"/>
        </w:rPr>
        <w:t xml:space="preserve">100</w:t>
      </w:r>
      <w:r>
        <w:t xml:space="preserve"> = 1 004–5 050 m³/d.</w:t>
      </w:r>
    </w:p>
    <w:p>
      <w:pPr>
        <w:pStyle w:val="ListParagraph"/>
        <w:numPr>
          <w:ilvl w:val="0"/>
          <w:numId w:val="2"/>
        </w:numPr>
        <w:spacing w:after="60" w:line="360"/>
        <w:jc w:val="both"/>
      </w:pPr>
      <w:r>
        <w:t xml:space="preserve">Elasticities are </w:t>
      </w:r>
      <w:r>
        <w:rPr>
          <w:b/>
          <w:bCs/>
        </w:rPr>
        <w:t xml:space="preserve">of the absolute safe pumping rate Q</w:t>
      </w:r>
      <w:r>
        <w:rPr>
          <w:b/>
          <w:bCs/>
          <w:vertAlign w:val="subscript"/>
        </w:rPr>
        <w:t xml:space="preserve">100</w:t>
      </w:r>
      <w:r>
        <w:rPr>
          <w:b/>
          <w:bCs/>
        </w:rPr>
        <w:t xml:space="preserve"> (m³/d) = f</w:t>
      </w:r>
      <w:r>
        <w:rPr>
          <w:b/>
          <w:bCs/>
          <w:vertAlign w:val="subscript"/>
        </w:rPr>
        <w:t xml:space="preserve">100</w:t>
      </w:r>
      <w:r>
        <w:rPr>
          <w:b/>
          <w:bCs/>
        </w:rPr>
        <w:t xml:space="preserve">·Q</w:t>
      </w:r>
      <w:r>
        <w:rPr>
          <w:b/>
          <w:bCs/>
          <w:vertAlign w:val="subscript"/>
        </w:rPr>
        <w:t xml:space="preserve">c</w:t>
      </w:r>
      <w:r>
        <w:rPr>
          <w:b/>
          <w:bCs/>
        </w:rPr>
        <w:t xml:space="preserve"/>
      </w:r>
      <w:r>
        <w:t xml:space="preserve">, i.e. d ln Q</w:t>
      </w:r>
      <w:r>
        <w:rPr>
          <w:vertAlign w:val="subscript"/>
        </w:rPr>
        <w:t xml:space="preserve">100</w:t>
      </w:r>
      <w:r>
        <w:t xml:space="preserve">/d ln p, estimated as/[ln 1.2 − ln 0.8] (kramers_figs.py: el()): s −0.40, θ −0.10, τ +0.17, K −1.20, q0 +2.29. Of Q</w:t>
      </w:r>
      <w:r>
        <w:rPr>
          <w:vertAlign w:val="subscript"/>
        </w:rPr>
        <w:t xml:space="preserve">c</w:t>
      </w:r>
      <w:r>
        <w:t xml:space="preserve">: K −0.91, q0 +1.97, s/θ/τ 0; of the ratio Q</w:t>
      </w:r>
      <w:r>
        <w:rPr>
          <w:vertAlign w:val="subscript"/>
        </w:rPr>
        <w:t xml:space="preserve">100</w:t>
      </w:r>
      <w:r>
        <w:t xml:space="preserve">/Q_c: K −0.29, q0 +0.32.</w:t>
      </w:r>
    </w:p>
    <w:p>
      <w:pPr>
        <w:spacing w:after="120" w:line="360"/>
        <w:jc w:val="both"/>
      </w:pPr>
      <w:r>
        <w:rPr>
          <w:b/>
          <w:bCs/>
        </w:rPr>
        <w:t xml:space="preserve">6. Limitations.</w:t>
      </w:r>
      <w:r>
        <w:t xml:space="preserve"> README: Q</w:t>
      </w:r>
      <w:r>
        <w:rPr>
          <w:vertAlign w:val="subscript"/>
        </w:rPr>
        <w:t xml:space="preserve">c</w:t>
      </w:r>
      <w:r>
        <w:t xml:space="preserve"> does not depend on s, θ, τ, so static calibration cannot set a return-period-safe rate; agreement 2D vs simulation within 8% only where ≥ 99% of paths escape.</w:t>
      </w:r>
    </w:p>
    <w:p>
      <w:pPr>
        <w:spacing w:after="120" w:line="360"/>
        <w:jc w:val="both"/>
      </w:pPr>
      <w:r>
        <w:rPr>
          <w:b/>
          <w:bCs/>
        </w:rPr>
        <w:t xml:space="preserve">7. Files.</w:t>
      </w:r>
      <w:r>
        <w:t xml:space="preserve"> kramers2.py, kramers_exp.py, kramers_figs.py; kramers_results.json; figR1_escape.png, figR2_safe.png.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S7.5. SAFE-GO (SafeBayes learning rate for toe inference and data worth)</w:t>
      </w:r>
    </w:p>
    <w:p>
      <w:pPr>
        <w:spacing w:after="120" w:line="360"/>
        <w:jc w:val="both"/>
      </w:pPr>
      <w:r>
        <w:rPr>
          <w:i/>
          <w:iCs/>
        </w:rPr>
        <w:t xml:space="preserve">Code:</w:t>
      </w:r>
      <w:r>
        <w:t xml:space="preserve"> safe_go/</w:t>
      </w:r>
    </w:p>
    <w:p>
      <w:pPr>
        <w:spacing w:after="120" w:line="360"/>
        <w:jc w:val="both"/>
      </w:pPr>
      <w:r>
        <w:rPr>
          <w:b/>
          <w:bCs/>
        </w:rPr>
        <w:t xml:space="preserve">1. Question.</w:t>
      </w:r>
      <w:r>
        <w:t xml:space="preserve"> When exact coastal readings (Φ = 0 at x = 0) are added to noisy inland readings, does standard Bayes become overconfident about the toe, and does SafeBayes repair it and value monitoring additions correctly?</w:t>
      </w:r>
    </w:p>
    <w:p>
      <w:pPr>
        <w:spacing w:after="120" w:line="360"/>
        <w:jc w:val="both"/>
      </w:pPr>
      <w:r>
        <w:rPr>
          <w:b/>
          <w:bCs/>
        </w:rPr>
        <w:t xml:space="preserve">2. Model and parameters.</w:t>
      </w:r>
      <w:r>
        <w:t xml:space="preserve"> Truth: Strack potential, well at d = 2 km, Q = 2 600 m³/d, δ = 0.025, B = 30 m (Φ</w:t>
      </w:r>
      <w:r>
        <w:rPr>
          <w:vertAlign w:val="subscript"/>
        </w:rPr>
        <w:t xml:space="preserve">toe</w:t>
      </w:r>
      <w:r>
        <w:t xml:space="preserve"> = 11.25 m²); K = 100·e</w:t>
      </w:r>
      <w:r>
        <w:rPr>
          <w:vertAlign w:val="superscript"/>
        </w:rPr>
        <w:t xml:space="preserve">0.3z</w:t>
      </w:r>
      <w:r>
        <w:t xml:space="preserve"> m/d, q0 = 1.5·e</w:t>
      </w:r>
      <w:r>
        <w:rPr>
          <w:vertAlign w:val="superscript"/>
        </w:rPr>
        <w:t xml:space="preserve">0.2z</w:t>
      </w:r>
      <w:r>
        <w:t xml:space="preserve"> m²/d; truths kept if toe ∈ [600, 1 600] m. Model: Legendre polynomial degree ≤ 12, conjugate normal–inverse-gamma prior, BMA over degree, homoscedastic noise. Data: 30 inland wells at 100–1 800 m, noise sd 0.7 m² (σ² = 0.49), plus n</w:t>
      </w:r>
      <w:r>
        <w:rPr>
          <w:vertAlign w:val="subscript"/>
        </w:rPr>
        <w:t xml:space="preserve">e</w:t>
      </w:r>
      <w:r>
        <w:t xml:space="preserve"> ∈ {0, 15, 30, 60, 120, 240} exact coastal readings; η grid 1…2⁻⁶ (13 values). 200 truths, seeds 1000–1199.</w:t>
      </w:r>
    </w:p>
    <w:p>
      <w:pPr>
        <w:spacing w:after="120" w:line="360"/>
        <w:jc w:val="both"/>
      </w:pPr>
      <w:r>
        <w:rPr>
          <w:b/>
          <w:bCs/>
        </w:rPr>
        <w:t xml:space="preserve">3. Criterion.</w:t>
      </w:r>
      <w:r>
        <w:t xml:space="preserve"> η-posterior π</w:t>
      </w:r>
      <w:r>
        <w:rPr>
          <w:vertAlign w:val="subscript"/>
        </w:rPr>
        <w:t xml:space="preserve">η</w:t>
      </w:r>
      <w:r>
        <w:t xml:space="preserve">(β | y) ∝ p(y | β)^η π(β); η chosen by R-log SafeBayes; SAFE-GO = SafeBayes averaged over 10 random orders, first 10 losses skipped. Goal: 90% interval of the toe.</w:t>
      </w:r>
    </w:p>
    <w:p>
      <w:pPr>
        <w:spacing w:after="120" w:line="360"/>
        <w:jc w:val="both"/>
      </w:pPr>
      <w:r>
        <w:rPr>
          <w:b/>
          <w:bCs/>
        </w:rPr>
        <w:t xml:space="preserve">4. Design.</w:t>
      </w:r>
      <w:r>
        <w:t xml:space="preserve"> Bayes (η = 1), SafeBayes (1 order), SAFE-GO, oracle (coastal readings used as one exact constraint, weight 1e4). E2: baseline 60 coastal + 30 inland, three additions: +120 coastal readings (code; the docstring says +90), +6 wells near the SAFE-GO toe estimate (±40, 100, 160 m), +6 spread wells (160–1 740 m); each method picks the addition with the largest width reduction.</w:t>
      </w:r>
    </w:p>
    <w:p>
      <w:pPr>
        <w:spacing w:after="120" w:line="360"/>
        <w:jc w:val="both"/>
      </w:pPr>
      <w:r>
        <w:rPr>
          <w:b/>
          <w:bCs/>
        </w:rPr>
        <w:t xml:space="preserve">5. Key results</w:t>
      </w:r>
      <w:r>
        <w:t xml:space="preserve"> (coverage / width / median error / mean degree / η where given):</w:t>
      </w:r>
    </w:p>
    <w:p>
      <w:pPr>
        <w:pStyle w:val="ListParagraph"/>
        <w:numPr>
          <w:ilvl w:val="0"/>
          <w:numId w:val="2"/>
        </w:numPr>
        <w:spacing w:after="60" w:line="360"/>
        <w:jc w:val="both"/>
      </w:pPr>
      <w:r>
        <w:t xml:space="preserve">n</w:t>
      </w:r>
      <w:r>
        <w:rPr>
          <w:vertAlign w:val="subscript"/>
        </w:rPr>
        <w:t xml:space="preserve">e</w:t>
      </w:r>
      <w:r>
        <w:t xml:space="preserve"> = 0: Bayes 0.905/72.9 m; SAFE-GO 0.905/80.7 m.</w:t>
      </w:r>
    </w:p>
    <w:p>
      <w:pPr>
        <w:pStyle w:val="ListParagraph"/>
        <w:numPr>
          <w:ilvl w:val="0"/>
          <w:numId w:val="2"/>
        </w:numPr>
        <w:spacing w:after="60" w:line="360"/>
        <w:jc w:val="both"/>
      </w:pPr>
      <w:r>
        <w:t xml:space="preserve">n</w:t>
      </w:r>
      <w:r>
        <w:rPr>
          <w:vertAlign w:val="subscript"/>
        </w:rPr>
        <w:t xml:space="preserve">e</w:t>
      </w:r>
      <w:r>
        <w:t xml:space="preserve"> = 240: Bayes 0.475/31.4 m/19.3 m/9.47; SAFE-GO 0.97/95.2 m/13.9 m/2.73/η 0.18; oracle 0.89/70.0 m/13.4 m. Bayes noise variance 0.051 vs true 0.49.</w:t>
      </w:r>
    </w:p>
    <w:p>
      <w:pPr>
        <w:pStyle w:val="ListParagraph"/>
        <w:numPr>
          <w:ilvl w:val="0"/>
          <w:numId w:val="2"/>
        </w:numPr>
        <w:spacing w:after="60" w:line="360"/>
        <w:jc w:val="both"/>
      </w:pPr>
      <w:r>
        <w:t xml:space="preserve">Design: Bayes picks the coastal readings in 62%; with them its coverage 0.515, median error 15.0 → 18.2 m. SAFE-GO width with coastal addition 88.4 → 99.5 m (negative worth), picks near-toe wells 62.5%. Final coverage SAFE-GO 0.875 vs Bayes 0.545; median error 12.2 vs 15.2 m.</w:t>
      </w:r>
    </w:p>
    <w:p>
      <w:pPr>
        <w:spacing w:after="120" w:line="360"/>
        <w:jc w:val="both"/>
      </w:pPr>
      <w:r>
        <w:rPr>
          <w:b/>
          <w:bCs/>
        </w:rPr>
        <w:t xml:space="preserve">6. Limitations.</w:t>
      </w:r>
      <w:r>
        <w:t xml:space="preserve"> None stated in README (KALIB-GO README notes SAFE-GO is too cautious with many exact readings: coverage &gt; 90% and width ≫ oracle).</w:t>
      </w:r>
    </w:p>
    <w:p>
      <w:pPr>
        <w:spacing w:after="120" w:line="360"/>
        <w:jc w:val="both"/>
      </w:pPr>
      <w:r>
        <w:rPr>
          <w:b/>
          <w:bCs/>
        </w:rPr>
        <w:t xml:space="preserve">7. Files.</w:t>
      </w:r>
      <w:r>
        <w:t xml:space="preserve"> safego.py, safego_exp.py, safego_results.py, safego_figs.py; safego_results.json (safego_runs.json not committed); figS1_coastal.png, figS2_dataworth.png.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S7.6. KALIB-GO (goal-calibrated learning rate)</w:t>
      </w:r>
    </w:p>
    <w:p>
      <w:pPr>
        <w:spacing w:after="120" w:line="360"/>
        <w:jc w:val="both"/>
      </w:pPr>
      <w:r>
        <w:rPr>
          <w:i/>
          <w:iCs/>
        </w:rPr>
        <w:t xml:space="preserve">Code:</w:t>
      </w:r>
      <w:r>
        <w:t xml:space="preserve"> kalib_go/</w:t>
      </w:r>
    </w:p>
    <w:p>
      <w:pPr>
        <w:spacing w:after="120" w:line="360"/>
        <w:jc w:val="both"/>
      </w:pPr>
      <w:r>
        <w:rPr>
          <w:b/>
          <w:bCs/>
        </w:rPr>
        <w:t xml:space="preserve">1. Question.</w:t>
      </w:r>
      <w:r>
        <w:t xml:space="preserve"> Can η be calibrated on the toe-interval coverage itself (bootstrap) so that the interval is nominal and as narrow as the oracle's?</w:t>
      </w:r>
    </w:p>
    <w:p>
      <w:pPr>
        <w:spacing w:after="120" w:line="360"/>
        <w:jc w:val="both"/>
      </w:pPr>
      <w:r>
        <w:rPr>
          <w:b/>
          <w:bCs/>
        </w:rPr>
        <w:t xml:space="preserve">2. Model and parameters.</w:t>
      </w:r>
      <w:r>
        <w:t xml:space="preserve"> Same truths, data and seeds as SAFE-GO (imports safego.py/safego_exp.py); B = 60 bootstrap resamples; η grid {1, 2^−½, …, 2⁻⁶}; level 0.90.</w:t>
      </w:r>
    </w:p>
    <w:p>
      <w:pPr>
        <w:spacing w:after="120" w:line="360"/>
        <w:jc w:val="both"/>
      </w:pPr>
      <w:r>
        <w:rPr>
          <w:b/>
          <w:bCs/>
        </w:rPr>
        <w:t xml:space="preserve">3. Criterion.</w:t>
      </w:r>
      <w:r>
        <w:t xml:space="preserve"> ĉ(η) = bootstrap coverage of the full-data toe estimate by the η-posterior 90% interval; η_KALIB = largest η with ĉ(η) ≥ 0.90, interpolated in log η (Syring &amp; Martin 2019). BayesBag (bagged η = 1) as comparator.</w:t>
      </w:r>
    </w:p>
    <w:p>
      <w:pPr>
        <w:spacing w:after="120" w:line="360"/>
        <w:jc w:val="both"/>
      </w:pPr>
      <w:r>
        <w:rPr>
          <w:b/>
          <w:bCs/>
        </w:rPr>
        <w:t xml:space="preserve">4. Design.</w:t>
      </w:r>
      <w:r>
        <w:t xml:space="preserve"> Bayes, SAFE-GO, BayesBag, KALIB-GO, oracle; E1 and E2 as in SAFE-GO; each method picks the addition that narrows its own interval most.</w:t>
      </w:r>
    </w:p>
    <w:p>
      <w:pPr>
        <w:spacing w:after="120" w:line="360"/>
        <w:jc w:val="both"/>
      </w:pPr>
      <w:r>
        <w:rPr>
          <w:b/>
          <w:bCs/>
        </w:rPr>
        <w:t xml:space="preserve">5. Key results</w:t>
      </w:r>
      <w:r>
        <w:t xml:space="preserve"> (coverage / width / median error / η):</w:t>
      </w:r>
    </w:p>
    <w:p>
      <w:pPr>
        <w:pStyle w:val="ListParagraph"/>
        <w:numPr>
          <w:ilvl w:val="0"/>
          <w:numId w:val="2"/>
        </w:numPr>
        <w:spacing w:after="60" w:line="360"/>
        <w:jc w:val="both"/>
      </w:pPr>
      <w:r>
        <w:t xml:space="preserve">n</w:t>
      </w:r>
      <w:r>
        <w:rPr>
          <w:vertAlign w:val="subscript"/>
        </w:rPr>
        <w:t xml:space="preserve">e</w:t>
      </w:r>
      <w:r>
        <w:t xml:space="preserve"> = 240: Bayes 0.485/31.2 m/19.2 m; BayesBag 0.94/128.3 m/20.5 m; SAFE-GO 0.965/95.0 m/14.3 m/0.18; KALIB-GO 0.87/67.5 m/13.8 m/0.25; oracle 0.905/69.1 m/13.8 m. KALIB-GO coverage 0.87–0.91 for all n</w:t>
      </w:r>
      <w:r>
        <w:rPr>
          <w:vertAlign w:val="subscript"/>
        </w:rPr>
        <w:t xml:space="preserve">e</w:t>
      </w:r>
      <w:r>
        <w:t xml:space="preserve">.</w:t>
      </w:r>
    </w:p>
    <w:p>
      <w:pPr>
        <w:pStyle w:val="ListParagraph"/>
        <w:numPr>
          <w:ilvl w:val="0"/>
          <w:numId w:val="2"/>
        </w:numPr>
        <w:spacing w:after="60" w:line="360"/>
        <w:jc w:val="both"/>
      </w:pPr>
      <w:r>
        <w:t xml:space="preserve">Design (apparent worth of +120 coastal readings / pick rate / final coverage / median error / width): Bayes +11.5 m/62%/0.52/14.9 m/31.2 m; SAFE-GO −9.2 m/4%/0.87/12.6 m/60.5 m; KALIB-GO −0.7 m/13.5%/0.845/11.8 m/52.8 m.</w:t>
      </w:r>
    </w:p>
    <w:p>
      <w:pPr>
        <w:pStyle w:val="ListParagraph"/>
        <w:numPr>
          <w:ilvl w:val="0"/>
          <w:numId w:val="2"/>
        </w:numPr>
        <w:spacing w:after="60" w:line="360"/>
        <w:jc w:val="both"/>
      </w:pPr>
      <w:r>
        <w:t xml:space="preserve">Note: SAFE-GO run and KALIB-GO run give slightly different values for the same methods (e.g. Bayes coverage 0.475 vs 0.485), because posterior sampling draws differ.</w:t>
      </w:r>
    </w:p>
    <w:p>
      <w:pPr>
        <w:spacing w:after="120" w:line="360"/>
        <w:jc w:val="both"/>
      </w:pPr>
      <w:r>
        <w:rPr>
          <w:b/>
          <w:bCs/>
        </w:rPr>
        <w:t xml:space="preserve">6. Limitations (README).</w:t>
      </w:r>
      <w:r>
        <w:t xml:space="preserve"> After the design choice, coverage falls slightly below nominal for both calibrated methods (85%, 87%): a selection effect (choosing the addition that narrows the interval most favours optimistic intervals). BayesBag covers but is twice as wide and keeps Bayes's error.</w:t>
      </w:r>
    </w:p>
    <w:p>
      <w:pPr>
        <w:spacing w:after="120" w:line="360"/>
        <w:jc w:val="both"/>
      </w:pPr>
      <w:r>
        <w:rPr>
          <w:b/>
          <w:bCs/>
        </w:rPr>
        <w:t xml:space="preserve">7. Files.</w:t>
      </w:r>
      <w:r>
        <w:t xml:space="preserve"> kalibgo.py, kalibgo_exp.py, kalibgo_results.py, kalibgo_figs.py; kalibgo_results.json; figK1_coverage.png, figK2_design.png.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S7.7. ATRIB-GO (probability of necessity for a salinization event)</w:t>
      </w:r>
    </w:p>
    <w:p>
      <w:pPr>
        <w:spacing w:after="120" w:line="360"/>
        <w:jc w:val="both"/>
      </w:pPr>
      <w:r>
        <w:rPr>
          <w:i/>
          <w:iCs/>
        </w:rPr>
        <w:t xml:space="preserve">Code:</w:t>
      </w:r>
      <w:r>
        <w:t xml:space="preserve"> atrib_go/</w:t>
      </w:r>
    </w:p>
    <w:p>
      <w:pPr>
        <w:spacing w:after="120" w:line="360"/>
        <w:jc w:val="both"/>
      </w:pPr>
      <w:r>
        <w:rPr>
          <w:b/>
          <w:bCs/>
        </w:rPr>
        <w:t xml:space="preserve">1. Question.</w:t>
      </w:r>
      <w:r>
        <w:t xml:space="preserve"> Was a pumping increase a necessary cause of a specific well-salinization event, and which monitoring data make that attribution confident?</w:t>
      </w:r>
    </w:p>
    <w:p>
      <w:pPr>
        <w:spacing w:after="120" w:line="360"/>
        <w:jc w:val="both"/>
      </w:pPr>
      <w:r>
        <w:rPr>
          <w:b/>
          <w:bCs/>
        </w:rPr>
        <w:t xml:space="preserve">2. Model and parameters.</w:t>
      </w:r>
      <w:r>
        <w:t xml:space="preserve"> KRAMERS-GO toe (τ = 2 yr, s = 0.2, θ = 0.5 yr), Q</w:t>
      </w:r>
      <w:r>
        <w:rPr>
          <w:vertAlign w:val="subscript"/>
        </w:rPr>
        <w:t xml:space="preserve">c</w:t>
      </w:r>
      <w:r>
        <w:t xml:space="preserve"> = 3 651 m³/d; pumping raised from Q0 to Q1 at t = 0 with toe at its Q0 equilibrium; event = X ≥ 0.98 within H = 30 yr; dt = 0.02 yr. A1: 200 000 OU paths, seed 2026. A2: increase 0.80 → 0.90 Q</w:t>
      </w:r>
      <w:r>
        <w:rPr>
          <w:vertAlign w:val="subscript"/>
        </w:rPr>
        <w:t xml:space="preserve">c</w:t>
      </w:r>
      <w:r>
        <w:t xml:space="preserve">, 300 test events, 1 500 posterior recharge paths per event, date tolerance 1 yr; recharge block means with noise sd 0.10/0.05/0.02 (annual) and 0.02 (quarterly) in units of ε; toe readings annual with 50 or 100 m noise, bootstrap particle filter with 8 000 particles.</w:t>
      </w:r>
    </w:p>
    <w:p>
      <w:pPr>
        <w:spacing w:after="120" w:line="360"/>
        <w:jc w:val="both"/>
      </w:pPr>
      <w:r>
        <w:rPr>
          <w:b/>
          <w:bCs/>
        </w:rPr>
        <w:t xml:space="preserve">3. Criterion.</w:t>
      </w:r>
      <w:r>
        <w:t xml:space="preserve"> Twin worlds share the recharge path (abduction–action–prediction). PN(D) = P(N = 1 | E₁ = 1, D) with N = 1 − E₀; population PN = 1 − p₀/p₁ under monotonicity. Design worth W(D) = h(PN) − E[h(PN(D))] (bits).</w:t>
      </w:r>
    </w:p>
    <w:p>
      <w:pPr>
        <w:spacing w:after="120" w:line="360"/>
        <w:jc w:val="both"/>
      </w:pPr>
      <w:r>
        <w:rPr>
          <w:b/>
          <w:bCs/>
        </w:rPr>
        <w:t xml:space="preserve">4. Design.</w:t>
      </w:r>
      <w:r>
        <w:t xml:space="preserve"> Population p₁, p₀, PN, PS for four increases; event-level PN under designs: event only, + date, + annual toe (50/100 m), + recharge records; truth = twin-world N of each test event; confident = PN ≥ 0.9 or ≤ 0.1.</w:t>
      </w:r>
    </w:p>
    <w:p>
      <w:pPr>
        <w:spacing w:after="120" w:line="360"/>
        <w:jc w:val="both"/>
      </w:pPr>
      <w:r>
        <w:rPr>
          <w:b/>
          <w:bCs/>
        </w:rPr>
        <w:t xml:space="preserve">5. Key results.</w:t>
      </w:r>
    </w:p>
    <w:p>
      <w:pPr>
        <w:pStyle w:val="ListParagraph"/>
        <w:numPr>
          <w:ilvl w:val="0"/>
          <w:numId w:val="2"/>
        </w:numPr>
        <w:spacing w:after="60" w:line="360"/>
        <w:jc w:val="both"/>
      </w:pPr>
      <w:r>
        <w:t xml:space="preserve">0.80 → 0.90 Q</w:t>
      </w:r>
      <w:r>
        <w:rPr>
          <w:vertAlign w:val="subscript"/>
        </w:rPr>
        <w:t xml:space="preserve">c</w:t>
      </w:r>
      <w:r>
        <w:t xml:space="preserve">: p₁ = 0.582, p₀ = 0.165, PN = 0.716, PS = 0.500; no monotonicity violations. Other increases: PN 0.948 (0.70→0.85), 0.895 (0.75→0.90), 0.551 (0.85→0.95).</w:t>
      </w:r>
    </w:p>
    <w:p>
      <w:pPr>
        <w:pStyle w:val="ListParagraph"/>
        <w:numPr>
          <w:ilvl w:val="0"/>
          <w:numId w:val="2"/>
        </w:numPr>
        <w:spacing w:after="60" w:line="360"/>
        <w:jc w:val="both"/>
      </w:pPr>
      <w:r>
        <w:t xml:space="preserve">Prior uncertainty 0.860 bit. PN by event date: 0.383 at year 2.5, 0.965 at year 29.5.</w:t>
      </w:r>
    </w:p>
    <w:p>
      <w:pPr>
        <w:pStyle w:val="ListParagraph"/>
        <w:numPr>
          <w:ilvl w:val="0"/>
          <w:numId w:val="2"/>
        </w:numPr>
        <w:spacing w:after="60" w:line="360"/>
        <w:jc w:val="both"/>
      </w:pPr>
      <w:r>
        <w:t xml:space="preserve">Confident fraction / accuracy: date 4%/0.917; toe 100 m 4%/0.75; toe 50 m 5.7%/0.941; annual recharge 0.10: 50%/0.987; 0.05: 73%/0.991; 0.02: 89%/0.996; quarterly 0.02: 92%/0.9964. Residual uncertainty (bit): toe 50 m 0.814, quarterly recharge 0.072.</w:t>
      </w:r>
    </w:p>
    <w:p>
      <w:pPr>
        <w:spacing w:after="120" w:line="360"/>
        <w:jc w:val="both"/>
      </w:pPr>
      <w:r>
        <w:rPr>
          <w:b/>
          <w:bCs/>
        </w:rPr>
        <w:t xml:space="preserve">6. Limitations (README).</w:t>
      </w:r>
      <w:r>
        <w:t xml:space="preserve"> A first toe estimate by ensemble importance sampling had degenerate weights (median ESS ≈ 3) and false confidence; replaced by the particle filter.</w:t>
      </w:r>
    </w:p>
    <w:p>
      <w:pPr>
        <w:spacing w:after="120" w:line="360"/>
        <w:jc w:val="both"/>
      </w:pPr>
      <w:r>
        <w:rPr>
          <w:b/>
          <w:bCs/>
        </w:rPr>
        <w:t xml:space="preserve">7. Files.</w:t>
      </w:r>
      <w:r>
        <w:t xml:space="preserve"> atrib.py, atrib_exp.py, atrib_toe.py, atrib_figs.py; atrib_results.json; figA1_pn.png, figA2_design.png.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S7.8. TMLE-GO (continuous-time TMLE of salinization risk under pumping regimes)</w:t>
      </w:r>
    </w:p>
    <w:p>
      <w:pPr>
        <w:spacing w:after="120" w:line="360"/>
        <w:jc w:val="both"/>
      </w:pPr>
      <w:r>
        <w:rPr>
          <w:i/>
          <w:iCs/>
        </w:rPr>
        <w:t xml:space="preserve">Code:</w:t>
      </w:r>
      <w:r>
        <w:t xml:space="preserve"> tmle_go/</w:t>
      </w:r>
    </w:p>
    <w:p>
      <w:pPr>
        <w:spacing w:after="120" w:line="360"/>
        <w:jc w:val="both"/>
      </w:pPr>
      <w:r>
        <w:rPr>
          <w:b/>
          <w:bCs/>
        </w:rPr>
        <w:t xml:space="preserve">1. Question.</w:t>
      </w:r>
      <w:r>
        <w:t xml:space="preserve"> From observational well-field records with reviews at irregular times, what is the 8-year salinization risk under a pumping regime, and which records must be kept for that causal estimate to be right?</w:t>
      </w:r>
    </w:p>
    <w:p>
      <w:pPr>
        <w:spacing w:after="120" w:line="360"/>
        <w:jc w:val="both"/>
      </w:pPr>
      <w:r>
        <w:rPr>
          <w:b/>
          <w:bCs/>
        </w:rPr>
        <w:t xml:space="preserve">2. Model and parameters.</w:t>
      </w:r>
      <w:r>
        <w:t xml:space="preserve"> KRAMERS-GO toe with s = 0.30, θ = 0.5 yr, τ = 2 yr; high/low pumping 0.95/0.80 Q</w:t>
      </w:r>
      <w:r>
        <w:rPr>
          <w:vertAlign w:val="subscript"/>
        </w:rPr>
        <w:t xml:space="preserve">c</w:t>
      </w:r>
      <w:r>
        <w:t xml:space="preserve">, pre-period 0.85 Q</w:t>
      </w:r>
      <w:r>
        <w:rPr>
          <w:vertAlign w:val="subscript"/>
        </w:rPr>
        <w:t xml:space="preserve">c</w:t>
      </w:r>
      <w:r>
        <w:t xml:space="preserve">; Y = 1{X ≥ 0.98 within H = 8 yr}; reviews Poisson rate 1/yr (+ t = 0), max 16; toe reading noise 0.02·d = 40 m (precise sensor 10 m); drought index = mean ε over last 0.5 yr; operator logit P(A</w:t>
      </w:r>
      <w:r>
        <w:rPr>
          <w:vertAlign w:val="subscript"/>
        </w:rPr>
        <w:t xml:space="preserve">j</w:t>
      </w:r>
      <w:r>
        <w:t xml:space="preserve"> = 1) = B0 + B1(2A</w:t>
      </w:r>
      <w:r>
        <w:rPr>
          <w:vertAlign w:val="subscript"/>
        </w:rPr>
        <w:t xml:space="preserve">j−1</w:t>
      </w:r>
      <w:r>
        <w:t xml:space="preserve"> − 1) − B2(R</w:t>
      </w:r>
      <w:r>
        <w:rPr>
          <w:vertAlign w:val="subscript"/>
        </w:rPr>
        <w:t xml:space="preserve">j</w:t>
      </w:r>
      <w:r>
        <w:t xml:space="preserve"> − 0.65)/0.05 − B3 D</w:t>
      </w:r>
      <w:r>
        <w:rPr>
          <w:vertAlign w:val="subscript"/>
        </w:rPr>
        <w:t xml:space="preserve">j</w:t>
      </w:r>
      <w:r>
        <w:t xml:space="preserve">/s + BW·W with (0, 2.2, 0.4, 0.8, 0.3); drop-out logit (−3.5, 0.5); dynamic threshold X* = 0.72. T1: 500 data sets × 2 000 wells (seeds 10000+); T2: 200 data sets at 500–8 000 wells; truth from 400 000 wells per regime (seed 20261016).</w:t>
      </w:r>
    </w:p>
    <w:p>
      <w:pPr>
        <w:spacing w:after="120" w:line="360"/>
        <w:jc w:val="both"/>
      </w:pPr>
      <w:r>
        <w:rPr>
          <w:b/>
          <w:bCs/>
        </w:rPr>
        <w:t xml:space="preserve">3. Criterion.</w:t>
      </w:r>
      <w:r>
        <w:t xml:space="preserve"> ψ</w:t>
      </w:r>
      <w:r>
        <w:rPr>
          <w:vertAlign w:val="subscript"/>
        </w:rPr>
        <w:t xml:space="preserve">d</w:t>
      </w:r>
      <w:r>
        <w:t xml:space="preserve"> = E[Y^d] by sequential regression over the review index (Rytgaard, Gerds &amp; van der Laan 2022), targeting with weighted logistic fluctuation, cumulative weights 1/G_j, influence-curve SE.</w:t>
      </w:r>
    </w:p>
    <w:p>
      <w:pPr>
        <w:spacing w:after="120" w:line="360"/>
        <w:jc w:val="both"/>
      </w:pPr>
      <w:r>
        <w:rPr>
          <w:b/>
          <w:bCs/>
        </w:rPr>
        <w:t xml:space="preserve">4. Design.</w:t>
      </w:r>
      <w:r>
        <w:t xml:space="preserve"> Naive, IPW (Hajek), ICE g-computation (poor/flexible), TMLE (poor/flexible) vs truth for always-high, always-low, dynamic ("high until a reading exceeds X*, then low"). T2: TMLE of ψ</w:t>
      </w:r>
      <w:r>
        <w:rPr>
          <w:vertAlign w:val="subscript"/>
        </w:rPr>
        <w:t xml:space="preserve">hi</w:t>
      </w:r>
      <w:r>
        <w:t xml:space="preserve"> − ψ</w:t>
      </w:r>
      <w:r>
        <w:rPr>
          <w:vertAlign w:val="subscript"/>
        </w:rPr>
        <w:t xml:space="preserve">lo</w:t>
      </w:r>
      <w:r>
        <w:t xml:space="preserve"> with four record designs: operator reading, precise sensor, each ± drought index.</w:t>
      </w:r>
    </w:p>
    <w:p>
      <w:pPr>
        <w:spacing w:after="120" w:line="360"/>
        <w:jc w:val="both"/>
      </w:pPr>
      <w:r>
        <w:rPr>
          <w:b/>
          <w:bCs/>
        </w:rPr>
        <w:t xml:space="preserve">5. Key results.</w:t>
      </w:r>
    </w:p>
    <w:p>
      <w:pPr>
        <w:pStyle w:val="ListParagraph"/>
        <w:numPr>
          <w:ilvl w:val="0"/>
          <w:numId w:val="2"/>
        </w:numPr>
        <w:spacing w:after="60" w:line="360"/>
        <w:jc w:val="both"/>
      </w:pPr>
      <w:r>
        <w:t xml:space="preserve">Truth: always-high 0.516, always-low 0.256, dynamic 0.375; RD 0.260.</w:t>
      </w:r>
    </w:p>
    <w:p>
      <w:pPr>
        <w:pStyle w:val="ListParagraph"/>
        <w:numPr>
          <w:ilvl w:val="0"/>
          <w:numId w:val="2"/>
        </w:numPr>
        <w:spacing w:after="60" w:line="360"/>
        <w:jc w:val="both"/>
      </w:pPr>
      <w:r>
        <w:t xml:space="preserve">Dynamic regime bias (SD): naive +0.157 (0.035); IPW −0.001; g-comp poor −0.133, flexible −0.018; TMLE poor −0.009 (cov 0.858), TMLE flexible −0.006 (SD 0.068, cov 0.85). Always-high TMLE flexible −0.010, cov 0.882; always-low cov 0.948–0.95.</w:t>
      </w:r>
    </w:p>
    <w:p>
      <w:pPr>
        <w:pStyle w:val="ListParagraph"/>
        <w:numPr>
          <w:ilvl w:val="0"/>
          <w:numId w:val="2"/>
        </w:numPr>
        <w:spacing w:after="60" w:line="360"/>
        <w:jc w:val="both"/>
      </w:pPr>
      <w:r>
        <w:t xml:space="preserve">RD at 8 000 wells: operator reading bias +0.069, RMSE 0.073, cov 0.05; precise sensor +0.065, cov 0.065; reading + drought −0.002, RMSE 0.026, cov 0.95; precise + drought −0.002, cov 0.94.</w:t>
      </w:r>
    </w:p>
    <w:p>
      <w:pPr>
        <w:spacing w:after="120" w:line="360"/>
        <w:jc w:val="both"/>
      </w:pPr>
      <w:r>
        <w:rPr>
          <w:b/>
          <w:bCs/>
        </w:rPr>
        <w:t xml:space="preserve">6. Limitations (README).</w:t>
      </w:r>
      <w:r>
        <w:t xml:space="preserve"> Coverage is lower when the regime asks for decisions the operator rarely takes (large 1/G_j: weak positivity).</w:t>
      </w:r>
    </w:p>
    <w:p>
      <w:pPr>
        <w:spacing w:after="120" w:line="360"/>
        <w:jc w:val="both"/>
      </w:pPr>
      <w:r>
        <w:rPr>
          <w:b/>
          <w:bCs/>
        </w:rPr>
        <w:t xml:space="preserve">7. Files.</w:t>
      </w:r>
      <w:r>
        <w:t xml:space="preserve"> tmle_go.py, tmle_exp.py, tmle_figs.py; tmle_results.json; figT1_estimators.png, figT2_design.png.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S7.9. KUFI-GO (safe pumping-threshold selection)</w:t>
      </w:r>
    </w:p>
    <w:p>
      <w:pPr>
        <w:spacing w:after="120" w:line="360"/>
        <w:jc w:val="both"/>
      </w:pPr>
      <w:r>
        <w:rPr>
          <w:i/>
          <w:iCs/>
        </w:rPr>
        <w:t xml:space="preserve">Code:</w:t>
      </w:r>
      <w:r>
        <w:t xml:space="preserve"> kufi_go/</w:t>
      </w:r>
    </w:p>
    <w:p>
      <w:pPr>
        <w:spacing w:after="120" w:line="360"/>
        <w:jc w:val="both"/>
      </w:pPr>
      <w:r>
        <w:rPr>
          <w:b/>
          <w:bCs/>
        </w:rPr>
        <w:t xml:space="preserve">1. Question.</w:t>
      </w:r>
      <w:r>
        <w:t xml:space="preserve"> Which is the highest switching threshold x in the rule d</w:t>
      </w:r>
      <w:r>
        <w:rPr>
          <w:vertAlign w:val="subscript"/>
        </w:rPr>
        <w:t xml:space="preserve">x</w:t>
      </w:r>
      <w:r>
        <w:t xml:space="preserve"> ("pump high until a toe reading exceeds x, then low") whose 8-year risk stays ≤ α, chosen without breaking the constraint through selection error?</w:t>
      </w:r>
    </w:p>
    <w:p>
      <w:pPr>
        <w:spacing w:after="120" w:line="360"/>
        <w:jc w:val="both"/>
      </w:pPr>
      <w:r>
        <w:rPr>
          <w:b/>
          <w:bCs/>
        </w:rPr>
        <w:t xml:space="preserve">2. Model and parameters.</w:t>
      </w:r>
      <w:r>
        <w:t xml:space="preserve"> TMLE-GO well field (extended copy of tmle_go.py); grid x = 0.62…0.80 (10 values); α ∈ {0.35, 0.38}; 300 data sets at 1 000, 2 000, 4 000 wells, with (op+D) and without (op) drought index; truth from 400 000 wells per regime.</w:t>
      </w:r>
    </w:p>
    <w:p>
      <w:pPr>
        <w:spacing w:after="120" w:line="360"/>
        <w:jc w:val="both"/>
      </w:pPr>
      <w:r>
        <w:rPr>
          <w:b/>
          <w:bCs/>
        </w:rPr>
        <w:t xml:space="preserve">3. Criterion.</w:t>
      </w:r>
      <w:r>
        <w:t xml:space="preserve"> Select largest x with U(x) ≤ α, else fall back to always-low. U: naive; TMLE plug-in; pointwise one-sided 95% bound; simultaneous one-sided 95% band (critical value = 95% quantile of max_k Z</w:t>
      </w:r>
      <w:r>
        <w:rPr>
          <w:vertAlign w:val="subscript"/>
        </w:rPr>
        <w:t xml:space="preserve">k</w:t>
      </w:r>
      <w:r>
        <w:t xml:space="preserve">, Z ~ N(0, corr of influence curves)); first-crossing band; MSM band (logit ψ(x) = b0 + b1(x − 0.71)/0.1, delta-method ICs). Experiment: thresholds randomized uniformly across wells, arm means and pooled logistic MSM with sandwich ICs, no drop-out.</w:t>
      </w:r>
    </w:p>
    <w:p>
      <w:pPr>
        <w:spacing w:after="120" w:line="360"/>
        <w:jc w:val="both"/>
      </w:pPr>
      <w:r>
        <w:rPr>
          <w:b/>
          <w:bCs/>
        </w:rPr>
        <w:t xml:space="preserve">4. Design.</w:t>
      </w:r>
      <w:r>
        <w:t xml:space="preserve"> Truth curve ψ(x) rises 0.289 → 0.431; always-low 0.257; optimum x = 0.68 (α = 0.35), 0.72 (α = 0.38). Violation = chosen x has true risk &gt; α. Gain = (supply − supply_lo)/(supply_opt − supply_lo) (kufi_figs.py).</w:t>
      </w:r>
    </w:p>
    <w:p>
      <w:pPr>
        <w:spacing w:after="120" w:line="360"/>
        <w:jc w:val="both"/>
      </w:pPr>
      <w:r>
        <w:rPr>
          <w:b/>
          <w:bCs/>
        </w:rPr>
        <w:t xml:space="preserve">5. Key results</w:t>
      </w:r>
      <w:r>
        <w:t xml:space="preserve"> (α = 0.35; violation / gain / fallback at 1 000, 2 000, 4 000 wells):</w:t>
      </w:r>
    </w:p>
    <w:p>
      <w:pPr>
        <w:pStyle w:val="ListParagraph"/>
        <w:numPr>
          <w:ilvl w:val="0"/>
          <w:numId w:val="2"/>
        </w:numPr>
        <w:spacing w:after="60" w:line="360"/>
        <w:jc w:val="both"/>
      </w:pPr>
      <w:r>
        <w:t xml:space="preserve">Observational with drought (op+D): plug-in 0.723/1.00/0.05, 0.583/0.97/0.053, 0.567/0.98/0.023; pointwise 0.223, 0.177, 0.117; simultaneous band 0.097/0.33/0.62, 0.083/0.35/0.57, 0.050/0.32/0.57; MSM band 0.080, 0.067, 0.060. Band coverage 0.64, 0.72, 0.80.</w:t>
      </w:r>
    </w:p>
    <w:p>
      <w:pPr>
        <w:pStyle w:val="ListParagraph"/>
        <w:numPr>
          <w:ilvl w:val="0"/>
          <w:numId w:val="2"/>
        </w:numPr>
        <w:spacing w:after="60" w:line="360"/>
        <w:jc w:val="both"/>
      </w:pPr>
      <w:r>
        <w:t xml:space="preserve">Randomized experiment: MSM band 0.010/0.38/0.52, 0.007/0.65/0.19, 0.003/0.84/0.03; band 0.020/0.18, 0.000/0.29, 0.003/0.47. Band coverage 0.90, 0.94, 0.94; MSM-band coverage 0.917, 0.917, 0.913.</w:t>
      </w:r>
    </w:p>
    <w:p>
      <w:pPr>
        <w:spacing w:after="120" w:line="360"/>
        <w:jc w:val="both"/>
      </w:pPr>
      <w:r>
        <w:rPr>
          <w:b/>
          <w:bCs/>
        </w:rPr>
        <w:t xml:space="preserve">6. Limitations (README).</w:t>
      </w:r>
      <w:r>
        <w:t xml:space="preserve"> Simultaneous-band coverage below nominal (64–80%) because positivity is weak; the band rule mostly falls back to low pumping (~⅓ of gain, not improving with n); the experiment's advantage partly comes from keeping every well monitored.</w:t>
      </w:r>
    </w:p>
    <w:p>
      <w:pPr>
        <w:spacing w:after="120" w:line="360"/>
        <w:jc w:val="both"/>
      </w:pPr>
      <w:r>
        <w:rPr>
          <w:b/>
          <w:bCs/>
        </w:rPr>
        <w:t xml:space="preserve">7. Files.</w:t>
      </w:r>
      <w:r>
        <w:t xml:space="preserve"> tmle_go.py, kufi_exp.py, kufi_rct.py, kufi_figs.py; kufi_results.json; figK1_curve.png, figK2_safety.png.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S7.10. RRJEDHA-GO (observational transfer entropy vs interventional information flow)</w:t>
      </w:r>
    </w:p>
    <w:p>
      <w:pPr>
        <w:spacing w:after="120" w:line="360"/>
        <w:jc w:val="both"/>
      </w:pPr>
      <w:r>
        <w:rPr>
          <w:i/>
          <w:iCs/>
        </w:rPr>
        <w:t xml:space="preserve">Code:</w:t>
      </w:r>
      <w:r>
        <w:t xml:space="preserve"> rrjedha_go/</w:t>
      </w:r>
    </w:p>
    <w:p>
      <w:pPr>
        <w:spacing w:after="120" w:line="360"/>
        <w:jc w:val="both"/>
      </w:pPr>
      <w:r>
        <w:rPr>
          <w:b/>
          <w:bCs/>
        </w:rPr>
        <w:t xml:space="preserve">1. Question.</w:t>
      </w:r>
      <w:r>
        <w:t xml:space="preserve"> How many bits does pumping actually pass to the yearly toe change, and can that be measured from operating records?</w:t>
      </w:r>
    </w:p>
    <w:p>
      <w:pPr>
        <w:spacing w:after="120" w:line="360"/>
        <w:jc w:val="both"/>
      </w:pPr>
      <w:r>
        <w:rPr>
          <w:b/>
          <w:bCs/>
        </w:rPr>
        <w:t xml:space="preserve">2. Model and parameters.</w:t>
      </w:r>
      <w:r>
        <w:t xml:space="preserve"> KRAMERS-GO toe, s = 0.30, θ = 0.5, τ = 2 yr; high/low 0.95/0.80 Q</w:t>
      </w:r>
      <w:r>
        <w:rPr>
          <w:vertAlign w:val="subscript"/>
        </w:rPr>
        <w:t xml:space="preserve">c</w:t>
      </w:r>
      <w:r>
        <w:t xml:space="preserve">; 200 000 wells × 10 yr; alarm R = reading (noise 0.02) in 4 classes (edges 0.60, 0.64, 0.68), drought D in 3 classes, ΔX in 3 classes; logit P(A = 1) = b1(2A_prev − 1) + bR[R] + bD[D], b1 = 2.0, bR = (0.6, 0, −1, −2), bD = (1.2, 0, −0.8). E2: 200 data sets at 200, 800, 3 200 wells, 200 bootstrap resamples; seeds 20261016 (E1/E2), 20261017 (E3).</w:t>
      </w:r>
    </w:p>
    <w:p>
      <w:pPr>
        <w:spacing w:after="120" w:line="360"/>
        <w:jc w:val="both"/>
      </w:pPr>
      <w:r>
        <w:rPr>
          <w:b/>
          <w:bCs/>
        </w:rPr>
        <w:t xml:space="preserve">3. Criterion.</w:t>
      </w:r>
      <w:r>
        <w:t xml:space="preserve"> TE</w:t>
      </w:r>
      <w:r>
        <w:rPr>
          <w:vertAlign w:val="subscript"/>
        </w:rPr>
        <w:t xml:space="preserve">obs</w:t>
      </w:r>
      <w:r>
        <w:t xml:space="preserve"> = I(ΔX; A | R); TE</w:t>
      </w:r>
      <w:r>
        <w:rPr>
          <w:vertAlign w:val="subscript"/>
        </w:rPr>
        <w:t xml:space="preserve">do</w:t>
      </w:r>
      <w:r>
        <w:t xml:space="preserve"> = Σ</w:t>
      </w:r>
      <w:r>
        <w:rPr>
          <w:vertAlign w:val="subscript"/>
        </w:rPr>
        <w:t xml:space="preserve">r</w:t>
      </w:r>
      <w:r>
        <w:t xml:space="preserve"> p(r) Σ</w:t>
      </w:r>
      <w:r>
        <w:rPr>
          <w:vertAlign w:val="subscript"/>
        </w:rPr>
        <w:t xml:space="preserve">a</w:t>
      </w:r>
      <w:r>
        <w:t xml:space="preserve"> π(a|r) KL(P(ΔX | do a, r) ‖ Σ</w:t>
      </w:r>
      <w:r>
        <w:rPr>
          <w:vertAlign w:val="subscript"/>
        </w:rPr>
        <w:t xml:space="preserve">a</w:t>
      </w:r>
      <w:r>
        <w:t xml:space="preserve">′ π(a′|r) P(ΔX | do a′, r)) (Ay–Polani type; estimand, exact via twin worlds); TE</w:t>
      </w:r>
      <w:r>
        <w:rPr>
          <w:vertAlign w:val="subscript"/>
        </w:rPr>
        <w:t xml:space="preserve">adj</w:t>
      </w:r>
      <w:r>
        <w:t xml:space="preserve"> = TE</w:t>
      </w:r>
      <w:r>
        <w:rPr>
          <w:vertAlign w:val="subscript"/>
        </w:rPr>
        <w:t xml:space="preserve">do</w:t>
      </w:r>
      <w:r>
        <w:t xml:space="preserve"> with back-door adjustment for (D, A</w:t>
      </w:r>
      <w:r>
        <w:rPr>
          <w:vertAlign w:val="subscript"/>
        </w:rPr>
        <w:t xml:space="preserve">prev</w:t>
      </w:r>
      <w:r>
        <w:t xml:space="preserve">); _bc = bootstrap bias correction 2θ̂ − mean θ̂*. PID of I(ΔX; A, D) by I</w:t>
      </w:r>
      <w:r>
        <w:rPr>
          <w:vertAlign w:val="subscript"/>
        </w:rPr>
        <w:t xml:space="preserve">min</w:t>
      </w:r>
      <w:r>
        <w:t xml:space="preserve"> and BROJA.</w:t>
      </w:r>
    </w:p>
    <w:p>
      <w:pPr>
        <w:spacing w:after="120" w:line="360"/>
        <w:jc w:val="both"/>
      </w:pPr>
      <w:r>
        <w:rPr>
          <w:b/>
          <w:bCs/>
        </w:rPr>
        <w:t xml:space="preserve">4. Design.</w:t>
      </w:r>
      <w:r>
        <w:t xml:space="preserve"> Population values; estimators from records vs truth TE</w:t>
      </w:r>
      <w:r>
        <w:rPr>
          <w:vertAlign w:val="subscript"/>
        </w:rPr>
        <w:t xml:space="preserve">do</w:t>
      </w:r>
      <w:r>
        <w:t xml:space="preserve">; E3 randomized rotation: A drawn from π(a|R) independently of D and A</w:t>
      </w:r>
      <w:r>
        <w:rPr>
          <w:vertAlign w:val="subscript"/>
        </w:rPr>
        <w:t xml:space="preserve">prev</w:t>
      </w:r>
      <w:r>
        <w:t xml:space="preserve">.</w:t>
      </w:r>
    </w:p>
    <w:p>
      <w:pPr>
        <w:spacing w:after="120" w:line="360"/>
        <w:jc w:val="both"/>
      </w:pPr>
      <w:r>
        <w:rPr>
          <w:b/>
          <w:bCs/>
        </w:rPr>
        <w:t xml:space="preserve">5. Key results</w:t>
      </w:r>
      <w:r>
        <w:t xml:space="preserve"> (mbit/well-year):</w:t>
      </w:r>
    </w:p>
    <w:p>
      <w:pPr>
        <w:pStyle w:val="ListParagraph"/>
        <w:numPr>
          <w:ilvl w:val="0"/>
          <w:numId w:val="2"/>
        </w:numPr>
        <w:spacing w:after="60" w:line="360"/>
        <w:jc w:val="both"/>
      </w:pPr>
      <w:r>
        <w:t xml:space="preserve">TE</w:t>
      </w:r>
      <w:r>
        <w:rPr>
          <w:vertAlign w:val="subscript"/>
        </w:rPr>
        <w:t xml:space="preserve">do</w:t>
      </w:r>
      <w:r>
        <w:t xml:space="preserve"> 13.0, TE</w:t>
      </w:r>
      <w:r>
        <w:rPr>
          <w:vertAlign w:val="subscript"/>
        </w:rPr>
        <w:t xml:space="preserve">obs</w:t>
      </w:r>
      <w:r>
        <w:t xml:space="preserve"> 24.9 (ratio 1.92), TE</w:t>
      </w:r>
      <w:r>
        <w:rPr>
          <w:vertAlign w:val="subscript"/>
        </w:rPr>
        <w:t xml:space="preserve">cond</w:t>
      </w:r>
      <w:r>
        <w:t xml:space="preserve"> 6.8, TE</w:t>
      </w:r>
      <w:r>
        <w:rPr>
          <w:vertAlign w:val="subscript"/>
        </w:rPr>
        <w:t xml:space="preserve">adj</w:t>
      </w:r>
      <w:r>
        <w:t xml:space="preserve"> 12.5, TE_adj_noD 35.9.</w:t>
      </w:r>
    </w:p>
    <w:p>
      <w:pPr>
        <w:pStyle w:val="ListParagraph"/>
        <w:numPr>
          <w:ilvl w:val="0"/>
          <w:numId w:val="2"/>
        </w:numPr>
        <w:spacing w:after="60" w:line="360"/>
        <w:jc w:val="both"/>
      </w:pPr>
      <w:r>
        <w:t xml:space="preserve">PID unique of pumping: I</w:t>
      </w:r>
      <w:r>
        <w:rPr>
          <w:vertAlign w:val="subscript"/>
        </w:rPr>
        <w:t xml:space="preserve">min</w:t>
      </w:r>
      <w:r>
        <w:t xml:space="preserve"> 0.0 (operator and random); BROJA 1.8 (operator), 0.2 (random); I(ΔX; A) under random pumping 14.8.</w:t>
      </w:r>
    </w:p>
    <w:p>
      <w:pPr>
        <w:pStyle w:val="ListParagraph"/>
        <w:numPr>
          <w:ilvl w:val="0"/>
          <w:numId w:val="2"/>
        </w:numPr>
        <w:spacing w:after="60" w:line="360"/>
        <w:jc w:val="both"/>
      </w:pPr>
      <w:r>
        <w:t xml:space="preserve">Bias / coverage at 200, 800, 3 200 wells: TE</w:t>
      </w:r>
      <w:r>
        <w:rPr>
          <w:vertAlign w:val="subscript"/>
        </w:rPr>
        <w:t xml:space="preserve">obs</w:t>
      </w:r>
      <w:r>
        <w:t xml:space="preserve"> 15.4/13%, 12.9/0.5%, 12.2/0%; TE_adj_bc 4.1/93%, 1.9/92%, 0.4/96%; rotation TE_obs_bc 0.6/95%, −0.1/93%, −0.1/93%.</w:t>
      </w:r>
    </w:p>
    <w:p>
      <w:pPr>
        <w:pStyle w:val="ListParagraph"/>
        <w:numPr>
          <w:ilvl w:val="0"/>
          <w:numId w:val="2"/>
        </w:numPr>
        <w:spacing w:after="60" w:line="360"/>
        <w:jc w:val="both"/>
      </w:pPr>
      <w:r>
        <w:t xml:space="preserve">SD at 800 wells: rotation TE_obs_bc 2.4 vs observational TE_adj_bc 5.5.</w:t>
      </w:r>
    </w:p>
    <w:p>
      <w:pPr>
        <w:spacing w:after="120" w:line="360"/>
        <w:jc w:val="both"/>
      </w:pPr>
      <w:r>
        <w:rPr>
          <w:b/>
          <w:bCs/>
        </w:rPr>
        <w:t xml:space="preserve">6. Limitations (README).</w:t>
      </w:r>
      <w:r>
        <w:t xml:space="preserve"> TE conditioned on the decision log answers a different question; adjusting for A</w:t>
      </w:r>
      <w:r>
        <w:rPr>
          <w:vertAlign w:val="subscript"/>
        </w:rPr>
        <w:t xml:space="preserve">prev</w:t>
      </w:r>
      <w:r>
        <w:t xml:space="preserve"> without drought worsens bias 2.8-fold; PID atoms are not causal contributions.</w:t>
      </w:r>
    </w:p>
    <w:p>
      <w:pPr>
        <w:spacing w:after="120" w:line="360"/>
        <w:jc w:val="both"/>
      </w:pPr>
      <w:r>
        <w:rPr>
          <w:b/>
          <w:bCs/>
        </w:rPr>
        <w:t xml:space="preserve">7. Files.</w:t>
      </w:r>
      <w:r>
        <w:t xml:space="preserve"> rrjedha.py, rrjedha_exp.py, rrjedha_rct.py, rrjedha_figs.py; rrjedha_results.json; figR1_rrjedha.png, figR2_vleresimi.png.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S7.11. KANAL-GO (designing a pumping experiment to measure causal information flow)</w:t>
      </w:r>
    </w:p>
    <w:p>
      <w:pPr>
        <w:spacing w:after="120" w:line="360"/>
        <w:jc w:val="both"/>
      </w:pPr>
      <w:r>
        <w:rPr>
          <w:i/>
          <w:iCs/>
        </w:rPr>
        <w:t xml:space="preserve">Code:</w:t>
      </w:r>
      <w:r>
        <w:t xml:space="preserve"> kanal_go/</w:t>
      </w:r>
    </w:p>
    <w:p>
      <w:pPr>
        <w:spacing w:after="120" w:line="360"/>
        <w:jc w:val="both"/>
      </w:pPr>
      <w:r>
        <w:rPr>
          <w:b/>
          <w:bCs/>
        </w:rPr>
        <w:t xml:space="preserve">1. Question.</w:t>
      </w:r>
      <w:r>
        <w:t xml:space="preserve"> Which randomized pumping allocation estimates the interventional information flow TE(π) of a pumping rule most precisely?</w:t>
      </w:r>
    </w:p>
    <w:p>
      <w:pPr>
        <w:spacing w:after="120" w:line="360"/>
        <w:jc w:val="both"/>
      </w:pPr>
      <w:r>
        <w:rPr>
          <w:b/>
          <w:bCs/>
        </w:rPr>
        <w:t xml:space="preserve">2. Model and parameters.</w:t>
      </w:r>
      <w:r>
        <w:t xml:space="preserve"> RRJEDHA-GO field, 200 000 wells × 10 yr (seed 20261016); rules π(1|r): operator (0.448, 0.455, 0.337, 0.254), cautious (0.9, 0.6, 0.2, 0.05), balanced ½; designs: natural (q = π), balanced (q = ½), capped (½, but 0.254 at highest alarm), obs (records + back-door); 400 data sets of 500, 2 000, 8 000 well-years, 300 bootstrap resamples.</w:t>
      </w:r>
    </w:p>
    <w:p>
      <w:pPr>
        <w:spacing w:after="120" w:line="360"/>
        <w:jc w:val="both"/>
      </w:pPr>
      <w:r>
        <w:rPr>
          <w:b/>
          <w:bCs/>
        </w:rPr>
        <w:t xml:space="preserve">3. Criterion (small effects).</w:t>
      </w:r>
      <w:r>
        <w:t xml:space="preserve"> TE</w:t>
      </w:r>
      <w:r>
        <w:rPr>
          <w:vertAlign w:val="subscript"/>
        </w:rPr>
        <w:t xml:space="preserve">r</w:t>
      </w:r>
      <w:r>
        <w:t xml:space="preserve">(π) ≈ 4π(1 − π)C</w:t>
      </w:r>
      <w:r>
        <w:rPr>
          <w:vertAlign w:val="subscript"/>
        </w:rPr>
        <w:t xml:space="preserve">r</w:t>
      </w:r>
      <w:r>
        <w:t xml:space="preserve">, C</w:t>
      </w:r>
      <w:r>
        <w:rPr>
          <w:vertAlign w:val="subscript"/>
        </w:rPr>
        <w:t xml:space="preserve">r</w:t>
      </w:r>
      <w:r>
        <w:t xml:space="preserve"> ≈ χ²_r/(8 ln 2), χ²_r = Σ</w:t>
      </w:r>
      <w:r>
        <w:rPr>
          <w:vertAlign w:val="subscript"/>
        </w:rPr>
        <w:t xml:space="preserve">k</w:t>
      </w:r>
      <w:r>
        <w:t xml:space="preserve"> Δ_k²/P̄_k, Δ_k = P(k|do 1, r) − P(k|do 0, r); Neyman allocation q</w:t>
      </w:r>
      <w:r>
        <w:rPr>
          <w:i/>
          <w:iCs/>
        </w:rPr>
        <w:t xml:space="preserve">(a|r) ∝ π(a|r)·sd_{a,r} with sd_{a,r} ∝ π(1−a|r) ⇒ q</w:t>
      </w:r>
      <w:r>
        <w:t xml:space="preserve"> = ½; variance ratio (follow-the-rule / 50:50) = 1/(4π(1−π)) per level.</w:t>
      </w:r>
    </w:p>
    <w:p>
      <w:pPr>
        <w:spacing w:after="120" w:line="360"/>
        <w:jc w:val="both"/>
      </w:pPr>
      <w:r>
        <w:rPr>
          <w:b/>
          <w:bCs/>
        </w:rPr>
        <w:t xml:space="preserve">4. Design.</w:t>
      </w:r>
      <w:r>
        <w:t xml:space="preserve"> Bias, SD, coverage of bias-corrected plug-in TE for each design and goal; truth = exact TE from twin worlds.</w:t>
      </w:r>
    </w:p>
    <w:p>
      <w:pPr>
        <w:spacing w:after="120" w:line="360"/>
        <w:jc w:val="both"/>
      </w:pPr>
      <w:r>
        <w:rPr>
          <w:b/>
          <w:bCs/>
        </w:rPr>
        <w:t xml:space="preserve">5. Key results.</w:t>
      </w:r>
    </w:p>
    <w:p>
      <w:pPr>
        <w:pStyle w:val="ListParagraph"/>
        <w:numPr>
          <w:ilvl w:val="0"/>
          <w:numId w:val="2"/>
        </w:numPr>
        <w:spacing w:after="60" w:line="360"/>
        <w:jc w:val="both"/>
      </w:pPr>
      <w:r>
        <w:t xml:space="preserve">C</w:t>
      </w:r>
      <w:r>
        <w:rPr>
          <w:vertAlign w:val="subscript"/>
        </w:rPr>
        <w:t xml:space="preserve">r</w:t>
      </w:r>
      <w:r>
        <w:t xml:space="preserve"> = 11.5, 13.4, 15.2, 18.4 mbit; capacity-achieving p* = 0.4985–0.5005.</w:t>
      </w:r>
    </w:p>
    <w:p>
      <w:pPr>
        <w:pStyle w:val="ListParagraph"/>
        <w:numPr>
          <w:ilvl w:val="0"/>
          <w:numId w:val="2"/>
        </w:numPr>
        <w:spacing w:after="60" w:line="360"/>
        <w:jc w:val="both"/>
      </w:pPr>
      <w:r>
        <w:t xml:space="preserve">TE exact vs 4π(1−π)C: operator 12.981 vs 12.976, cautious 6.398 vs 6.386, balanced 14.875 vs 14.875 mbit.</w:t>
      </w:r>
    </w:p>
    <w:p>
      <w:pPr>
        <w:pStyle w:val="ListParagraph"/>
        <w:numPr>
          <w:ilvl w:val="0"/>
          <w:numId w:val="2"/>
        </w:numPr>
        <w:spacing w:after="60" w:line="360"/>
        <w:jc w:val="both"/>
      </w:pPr>
      <w:r>
        <w:t xml:space="preserve">SD at 8 000 well-years (mbit): operator rule natural 2.30, balanced 2.06, obs 4.67; cautious natural 1.49, balanced 1.19, obs 2.33. Variance relative to 50:50: natural 1.24 (operator), 1.57 (cautious); obs 5.1 (operator), 3.8 (cautious).</w:t>
      </w:r>
    </w:p>
    <w:p>
      <w:pPr>
        <w:spacing w:after="120" w:line="360"/>
        <w:jc w:val="both"/>
      </w:pPr>
      <w:r>
        <w:rPr>
          <w:b/>
          <w:bCs/>
        </w:rPr>
        <w:t xml:space="preserve">6. Limitations (README).</w:t>
      </w:r>
      <w:r>
        <w:t xml:space="preserve"> Delta-method SD is within 7% at 8 000 and 17% at 2 000 well-years, but 14–40% too small at 500; following the rule requires a separate experiment per rule.</w:t>
      </w:r>
    </w:p>
    <w:p>
      <w:pPr>
        <w:spacing w:after="120" w:line="360"/>
        <w:jc w:val="both"/>
      </w:pPr>
      <w:r>
        <w:rPr>
          <w:b/>
          <w:bCs/>
        </w:rPr>
        <w:t xml:space="preserve">7. Files.</w:t>
      </w:r>
      <w:r>
        <w:t xml:space="preserve"> kanal.py, kanal_exp.py, kanal_figs.py; kanal_results.json; figN1_kanali.png, figN2_dizajni.png.</w:t>
      </w:r>
    </w:p>
    <w:p>
      <w:pPr>
        <w:pStyle w:val="Heading2"/>
        <w:keepNext/>
        <w:spacing w:after="120" w:before="200" w:line="360"/>
      </w:pPr>
      <w:r>
        <w:rPr>
          <w:rFonts w:ascii="Times New Roman" w:cs="Times New Roman" w:eastAsia="Times New Roman" w:hAnsi="Times New Roman"/>
          <w:b/>
          <w:bCs/>
          <w:i w:val="false"/>
          <w:iCs w:val="false"/>
          <w:color w:val="000000"/>
          <w:sz w:val="23"/>
          <w:szCs w:val="23"/>
        </w:rPr>
        <w:t xml:space="preserve">S7.12. KTHIMI-GO (feedback directed information as monitoring criterion)</w:t>
      </w:r>
    </w:p>
    <w:p>
      <w:pPr>
        <w:spacing w:after="120" w:line="360"/>
        <w:jc w:val="both"/>
      </w:pPr>
      <w:r>
        <w:rPr>
          <w:i/>
          <w:iCs/>
        </w:rPr>
        <w:t xml:space="preserve">Code:</w:t>
      </w:r>
      <w:r>
        <w:t xml:space="preserve"> kthimi_go/</w:t>
      </w:r>
    </w:p>
    <w:p>
      <w:pPr>
        <w:spacing w:after="120" w:line="360"/>
        <w:jc w:val="both"/>
      </w:pPr>
      <w:r>
        <w:rPr>
          <w:b/>
          <w:bCs/>
        </w:rPr>
        <w:t xml:space="preserve">1. Question.</w:t>
      </w:r>
      <w:r>
        <w:t xml:space="preserve"> Does a monitoring design reduce salinization risk because its information actually reaches the pumping decision, and is the feedback directed information a better design criterion than sensor information?</w:t>
      </w:r>
    </w:p>
    <w:p>
      <w:pPr>
        <w:spacing w:after="120" w:line="360"/>
        <w:jc w:val="both"/>
      </w:pPr>
      <w:r>
        <w:rPr>
          <w:b/>
          <w:bCs/>
        </w:rPr>
        <w:t xml:space="preserve">2. Model and parameters.</w:t>
      </w:r>
      <w:r>
        <w:t xml:space="preserve"> RRJEDHA-GO field (s = 0.30), 200 000 wells × 10 yr; logit P(A = 1) = b0 + B1(2A_prev − 1) + κ·BR[R] + BD[D]; σ ∈ {0, 0.01, 0.02, 0.04, 0.08, 0.16}, κ ∈ {0.5, 1, 2, 3} (24 designs) + no monitoring (R independent of X); b0 calibrated (30 000 wells, common random numbers) so mean pumping equals the reference (σ = 0.02, κ = 1), target 0.366; seeds 1 (reference), 1000+10i+j, 999 (no monitoring).</w:t>
      </w:r>
    </w:p>
    <w:p>
      <w:pPr>
        <w:spacing w:after="120" w:line="360"/>
        <w:jc w:val="both"/>
      </w:pPr>
      <w:r>
        <w:rPr>
          <w:b/>
          <w:bCs/>
        </w:rPr>
        <w:t xml:space="preserve">3. Criterion.</w:t>
      </w:r>
      <w:r>
        <w:t xml:space="preserve"> Massey decomposition I(A^n; X^n) = forward + feedback; per-decision feedback I(X; A | A</w:t>
      </w:r>
      <w:r>
        <w:rPr>
          <w:vertAlign w:val="subscript"/>
        </w:rPr>
        <w:t xml:space="preserve">prev</w:t>
      </w:r>
      <w:r>
        <w:t xml:space="preserve">, D) = H(A | A</w:t>
      </w:r>
      <w:r>
        <w:rPr>
          <w:vertAlign w:val="subscript"/>
        </w:rPr>
        <w:t xml:space="preserve">prev</w:t>
      </w:r>
      <w:r>
        <w:t xml:space="preserve">, D) − E; sensor information I(X; R). Goal: P(toe reaches escape point within 10 yr) at matched supply.</w:t>
      </w:r>
    </w:p>
    <w:p>
      <w:pPr>
        <w:spacing w:after="120" w:line="360"/>
        <w:jc w:val="both"/>
      </w:pPr>
      <w:r>
        <w:rPr>
          <w:b/>
          <w:bCs/>
        </w:rPr>
        <w:t xml:space="preserve">4. Design.</w:t>
      </w:r>
      <w:r>
        <w:t xml:space="preserve"> Spearman of risk with each criterion over the 24 monitoring designs; risk reduction vs no monitoring.</w:t>
      </w:r>
    </w:p>
    <w:p>
      <w:pPr>
        <w:spacing w:after="120" w:line="360"/>
        <w:jc w:val="both"/>
      </w:pPr>
      <w:r>
        <w:rPr>
          <w:b/>
          <w:bCs/>
        </w:rPr>
        <w:t xml:space="preserve">5. Key results.</w:t>
      </w:r>
    </w:p>
    <w:p>
      <w:pPr>
        <w:pStyle w:val="ListParagraph"/>
        <w:numPr>
          <w:ilvl w:val="0"/>
          <w:numId w:val="2"/>
        </w:numPr>
        <w:spacing w:after="60" w:line="360"/>
        <w:jc w:val="both"/>
      </w:pPr>
      <w:r>
        <w:t xml:space="preserve">Risk: no monitoring 0.452, best design (σ = 0, κ = 3) 0.375.</w:t>
      </w:r>
    </w:p>
    <w:p>
      <w:pPr>
        <w:pStyle w:val="ListParagraph"/>
        <w:numPr>
          <w:ilvl w:val="0"/>
          <w:numId w:val="2"/>
        </w:numPr>
        <w:spacing w:after="60" w:line="360"/>
        <w:jc w:val="both"/>
      </w:pPr>
      <w:r>
        <w:t xml:space="preserve">Spearman: feedback −0.969, sensor −0.16.</w:t>
      </w:r>
    </w:p>
    <w:p>
      <w:pPr>
        <w:pStyle w:val="ListParagraph"/>
        <w:numPr>
          <w:ilvl w:val="0"/>
          <w:numId w:val="2"/>
        </w:numPr>
        <w:spacing w:after="60" w:line="360"/>
        <w:jc w:val="both"/>
      </w:pPr>
      <w:r>
        <w:t xml:space="preserve">Risk reduction (points) / feedback (mbit): σ = 0.02, κ = 1: 3.3/65; σ = 0.02, κ = 3: 7.6/265; σ = 0, κ = 1: 3.7/68; σ = 0, κ = 0.5: 1.7/19; σ = 0, κ = 3: 7.7/295. Equal feedback ≠ equal risk: σ = 0.16, κ = 3: 72 mbit, risk 0.401 vs σ = 0, κ = 1: 68 mbit, 0.416.</w:t>
      </w:r>
    </w:p>
    <w:p>
      <w:pPr>
        <w:pStyle w:val="ListParagraph"/>
        <w:numPr>
          <w:ilvl w:val="0"/>
          <w:numId w:val="2"/>
        </w:numPr>
        <w:spacing w:after="60" w:line="360"/>
        <w:jc w:val="both"/>
      </w:pPr>
      <w:r>
        <w:t xml:space="preserve">Risk SE ≈ 0.0011.</w:t>
      </w:r>
    </w:p>
    <w:p>
      <w:pPr>
        <w:spacing w:after="120" w:line="360"/>
        <w:jc w:val="both"/>
      </w:pPr>
      <w:r>
        <w:rPr>
          <w:b/>
          <w:bCs/>
        </w:rPr>
        <w:t xml:space="preserve">6. Limitations (README).</w:t>
      </w:r>
      <w:r>
        <w:t xml:space="preserve"> The criterion is a ranking tool, not a substitute for the risk computation.</w:t>
      </w:r>
    </w:p>
    <w:p>
      <w:pPr>
        <w:spacing w:after="120" w:line="360"/>
        <w:jc w:val="both"/>
      </w:pPr>
      <w:r>
        <w:rPr>
          <w:b/>
          <w:bCs/>
        </w:rPr>
        <w:t xml:space="preserve">7. Files.</w:t>
      </w:r>
      <w:r>
        <w:t xml:space="preserve"> kthimi.py, kthimi_exp.py, kthimi_figs.py; kthimi_results.json; figK1_kthimi.png, figK2_rrjeta.png.</w:t>
      </w:r>
    </w:p>
    <w:p>
      <w:pPr>
        <w:pStyle w:val="Heading1"/>
        <w:keepNext/>
        <w:spacing w:after="120" w:before="300" w:line="360"/>
      </w:pPr>
      <w:r>
        <w:rPr>
          <w:rFonts w:ascii="Times New Roman" w:cs="Times New Roman" w:eastAsia="Times New Roman" w:hAnsi="Times New Roman"/>
          <w:b/>
          <w:bCs/>
          <w:i w:val="false"/>
          <w:iCs w:val="false"/>
          <w:color w:val="000000"/>
          <w:sz w:val="24"/>
          <w:szCs w:val="24"/>
        </w:rPr>
        <w:t xml:space="preserve">S8. The MATLAB R2026b package and reproduction map</w:t>
      </w:r>
    </w:p>
    <w:p>
      <w:pPr>
        <w:spacing w:after="120" w:line="360"/>
        <w:jc w:val="both"/>
      </w:pPr>
      <w:r>
        <w:t xml:space="preserve">The folder chloride_fk/matlab contains 31 functions that use base MATLAB only (no toolboxes). They were written for MATLAB R2026b and run unchanged in GNU Octave 8.4, where the workbook sheets are read from TSV copies (fkcl_export.py --tsv) because readcell is not available. To reproduce the study:</w:t>
      </w:r>
    </w:p>
    <w:p>
      <w:pPr>
        <w:pStyle w:val="ListParagraph"/>
        <w:numPr>
          <w:ilvl w:val="0"/>
          <w:numId w:val="2"/>
        </w:numPr>
        <w:spacing w:after="60" w:line="360"/>
        <w:jc w:val="both"/>
      </w:pPr>
      <w:r>
        <w:t xml:space="preserve">R = fkcl_run_all(); runs everything (data and hydrochemistry, calibration with 20 000 draws, posterior, design, Henry check and the six sections, eight figures) in about 4 min plus 10–20 min for the sections; opts.sections = 'quick' runs the median section only.</w:t>
      </w:r>
    </w:p>
    <w:p>
      <w:pPr>
        <w:pStyle w:val="ListParagraph"/>
        <w:numPr>
          <w:ilvl w:val="0"/>
          <w:numId w:val="2"/>
        </w:numPr>
        <w:spacing w:after="60" w:line="360"/>
        <w:jc w:val="both"/>
      </w:pPr>
      <w:r>
        <w:t xml:space="preserve">fkcl_selftest() runs six checks in about one minute and prints PASS or FAIL for each.</w:t>
      </w:r>
    </w:p>
    <w:p>
      <w:pPr>
        <w:pStyle w:val="ListParagraph"/>
        <w:numPr>
          <w:ilvl w:val="0"/>
          <w:numId w:val="2"/>
        </w:numPr>
        <w:spacing w:after="60" w:line="360"/>
        <w:jc w:val="both"/>
      </w:pPr>
      <w:r>
        <w:t xml:space="preserve">fkcl_figures(load('results_matlab/fkcl_results.mat')) redraws the figures from saved results.</w:t>
      </w:r>
    </w:p>
    <w:p>
      <w:pPr>
        <w:pStyle w:val="ListParagraph"/>
        <w:numPr>
          <w:ilvl w:val="0"/>
          <w:numId w:val="2"/>
        </w:numPr>
        <w:spacing w:after="60" w:line="360"/>
        <w:jc w:val="both"/>
      </w:pPr>
      <w:r>
        <w:t xml:space="preserve">With the shared prior draws (results/calib_prior_draws.csv) and resample (results/post_idx.csv), the MATLAB results coincide with the Python results to the digits reported in the paper; without them the code draws its own random numbers (opts.src = seed).</w:t>
      </w:r>
    </w:p>
    <w:p>
      <w:pPr>
        <w:keepNext/>
        <w:spacing w:after="80" w:before="200" w:line="276"/>
      </w:pPr>
      <w:r>
        <w:rPr>
          <w:b/>
          <w:bCs/>
          <w:sz w:val="20"/>
          <w:szCs w:val="20"/>
        </w:rPr>
        <w:t xml:space="preserve">Table S9.</w:t>
      </w:r>
      <w:r>
        <w:rPr>
          <w:sz w:val="20"/>
          <w:szCs w:val="20"/>
        </w:rPr>
        <w:t xml:space="preserve"> Reproduction map: where each result of the main text is computed.</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2900"/>
        <w:gridCol w:w="2570"/>
      </w:tblGrid>
      <w:tr>
        <w:trPr>
          <w:cantSplit/>
          <w:tblHeader/>
        </w:trPr>
        <w:tc>
          <w:tcPr>
            <w:tcW w:type="dxa" w:w="3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Result</w:t>
            </w:r>
          </w:p>
        </w:tc>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MATLAB</w:t>
            </w:r>
          </w:p>
        </w:tc>
        <w:tc>
          <w:tcPr>
            <w:tcW w:type="dxa" w:w="25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b/>
                <w:bCs/>
                <w:sz w:val="17"/>
                <w:szCs w:val="17"/>
              </w:rPr>
              <w:t xml:space="preserve">Python</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Sea contact, Fig. 2a</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fkcl_model_init.m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fkcl_geo.py, fkcl_model.py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Aquifer-top depth, Fig. 2b</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fkcl_model_init.m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fkcl_model.py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Table 3, Fig. 3 (hydrochemistry)</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fkcl_hydrochem.m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fkcl_hydrochem.py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Table 2, Fig. 4 (calibration)</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fkcl_calibrate.m, fkcl_loglik.m, fkcl_summaries.m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fkcl_calib.py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Table S4 (sensitivity)</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fkcl_sensitivity.py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Fig. 5, areas (posterior maps)</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fkcl_posterior.m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fkcl_post.py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Fig. 6, Table S6 (section)</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fkcl_section.m, fkcl_vd_*.m, fkcl_henry_check.m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fkcl_section.py, fkcl_vd.py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Fig. 7, Table 4 (design)</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fkcl_design.m</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fkcl_design.py</w:t>
            </w:r>
          </w:p>
        </w:tc>
      </w:tr>
      <w:tr>
        <w:trPr>
          <w:cantSplit/>
        </w:trP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Fig. 8, Table 5 (modules)</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fkcl_figures.m (from the module result files)</w:t>
            </w:r>
          </w:p>
        </w:tc>
        <w:tc>
          <w:tcPr>
            <w:tcW w:type="dxa" w:w="2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experiments/*</w:t>
            </w:r>
          </w:p>
        </w:tc>
      </w:tr>
      <w:tr>
        <w:trPr>
          <w:cantSplit/>
        </w:trPr>
        <w:tc>
          <w:tcPr>
            <w:tcW w:type="dxa" w:w="3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All figures</w:t>
            </w:r>
          </w:p>
        </w:tc>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fkcl_figures.m</w:t>
            </w:r>
          </w:p>
        </w:tc>
        <w:tc>
          <w:tcPr>
            <w:tcW w:type="dxa" w:w="25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b w:val="false"/>
                <w:bCs w:val="false"/>
                <w:sz w:val="17"/>
                <w:szCs w:val="17"/>
              </w:rPr>
              <w:t xml:space="preserve">fkcl_figs.py</w:t>
            </w:r>
          </w:p>
        </w:tc>
      </w:tr>
    </w:tbl>
    <w:p>
      <w:pPr>
        <w:spacing w:after="160"/>
      </w:pPr>
    </w:p>
    <w:sectPr>
      <w:headerReference w:type="default" r:id="rId7"/>
      <w:footerReference w:type="default" r:id="rId8"/>
      <w:pgSz w:w="11906" w:h="16838" w:orient="portrait"/>
      <w:pgMar w:top="1418" w:right="1418" w:bottom="1418" w:left="1418"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Supplementary Material — chloride mapping and decision-centred monitoring, Fushë-Kuqe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outlineLvl w:val="2"/>
    </w:pPr>
    <w:rPr>
      <w:rFonts w:ascii="Times New Roman" w:cs="Times New Roman" w:eastAsia="Times New Roman" w:hAnsi="Times New Roman"/>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6mjuk18r3ihfca6oinc8" Type="http://schemas.openxmlformats.org/officeDocument/2006/relationships/hyperlink" Target="https://github.com/dulianzeqiraj/swi-goal-oe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Dulian Zeqiraj</dc:creator>
  <dc:description>Manuscript</dc:description>
  <cp:lastModifiedBy>Un-named</cp:lastModifiedBy>
  <cp:revision>1</cp:revision>
  <dcterms:created xsi:type="dcterms:W3CDTF">2026-10-18T10:03:33.338Z</dcterms:created>
  <dcterms:modified xsi:type="dcterms:W3CDTF">2026-10-18T10:03:33.338Z</dcterms:modified>
</cp:coreProperties>
</file>

<file path=docProps/custom.xml><?xml version="1.0" encoding="utf-8"?>
<Properties xmlns="http://schemas.openxmlformats.org/officeDocument/2006/custom-properties" xmlns:vt="http://schemas.openxmlformats.org/officeDocument/2006/docPropsVTypes"/>
</file>