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Caché</w:t>
      </w:r>
      <w:r w:rsidDel="00000000" w:rsidR="00000000" w:rsidRPr="00000000">
        <w:rPr>
          <w:rtl w:val="0"/>
        </w:rPr>
      </w:r>
    </w:p>
    <w:p w:rsidR="00000000" w:rsidDel="00000000" w:rsidP="00000000" w:rsidRDefault="00000000" w:rsidRPr="00000000" w14:paraId="00000002">
      <w:pPr>
        <w:pageBreakBefore w:val="0"/>
        <w:numPr>
          <w:ilvl w:val="0"/>
          <w:numId w:val="3"/>
        </w:numPr>
        <w:spacing w:after="0" w:afterAutospacing="0"/>
        <w:ind w:left="720" w:hanging="360"/>
      </w:pPr>
      <w:r w:rsidDel="00000000" w:rsidR="00000000" w:rsidRPr="00000000">
        <w:rPr>
          <w:rtl w:val="0"/>
        </w:rPr>
        <w:t xml:space="preserve">Funcionamiento de un cluster</w:t>
      </w:r>
    </w:p>
    <w:p w:rsidR="00000000" w:rsidDel="00000000" w:rsidP="00000000" w:rsidRDefault="00000000" w:rsidRPr="00000000" w14:paraId="00000003">
      <w:pPr>
        <w:pageBreakBefore w:val="0"/>
        <w:numPr>
          <w:ilvl w:val="0"/>
          <w:numId w:val="3"/>
        </w:numPr>
        <w:ind w:left="720" w:hanging="360"/>
      </w:pPr>
      <w:r w:rsidDel="00000000" w:rsidR="00000000" w:rsidRPr="00000000">
        <w:rPr>
          <w:rtl w:val="0"/>
        </w:rPr>
        <w:t xml:space="preserve">¿Qué características describen un cluster de computadoras?</w:t>
      </w:r>
    </w:p>
    <w:p w:rsidR="00000000" w:rsidDel="00000000" w:rsidP="00000000" w:rsidRDefault="00000000" w:rsidRPr="00000000" w14:paraId="00000004">
      <w:pPr>
        <w:pStyle w:val="Heading1"/>
        <w:pageBreakBefore w:val="0"/>
        <w:rPr/>
      </w:pPr>
      <w:bookmarkStart w:colFirst="0" w:colLast="0" w:name="_tbdqcqupp45f" w:id="1"/>
      <w:bookmarkEnd w:id="1"/>
      <w:r w:rsidDel="00000000" w:rsidR="00000000" w:rsidRPr="00000000">
        <w:rPr>
          <w:rtl w:val="0"/>
        </w:rPr>
        <w:t xml:space="preserve">Qué es un cluster?</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Un cluster es un grupo de computadores completos interconectados que trabajan conjuntamente como un único recurso de cómputo, creándose la ilusión de que se trata de una sóla máquina. Cada computador del cluster se denomina nodo. Son una alternativa a los multiprocesadores simétricos (SMP) para disponer de prestaciones y disponibilidad elevadas. Son atractivos en aplicaciones propias de un servidor.</w:t>
      </w:r>
    </w:p>
    <w:p w:rsidR="00000000" w:rsidDel="00000000" w:rsidP="00000000" w:rsidRDefault="00000000" w:rsidRPr="00000000" w14:paraId="00000006">
      <w:pPr>
        <w:pageBreakBefore w:val="0"/>
        <w:rPr/>
      </w:pPr>
      <w:r w:rsidDel="00000000" w:rsidR="00000000" w:rsidRPr="00000000">
        <w:rPr>
          <w:rtl w:val="0"/>
        </w:rPr>
        <w:t xml:space="preserve">Los beneficios del cluster son:</w:t>
      </w:r>
    </w:p>
    <w:p w:rsidR="00000000" w:rsidDel="00000000" w:rsidP="00000000" w:rsidRDefault="00000000" w:rsidRPr="00000000" w14:paraId="00000007">
      <w:pPr>
        <w:pageBreakBefore w:val="0"/>
        <w:numPr>
          <w:ilvl w:val="0"/>
          <w:numId w:val="2"/>
        </w:numPr>
        <w:spacing w:after="0" w:afterAutospacing="0"/>
        <w:ind w:left="720" w:hanging="360"/>
      </w:pPr>
      <w:r w:rsidDel="00000000" w:rsidR="00000000" w:rsidRPr="00000000">
        <w:rPr>
          <w:rtl w:val="0"/>
        </w:rPr>
        <w:t xml:space="preserve">Escalabilidad absoluta: Es posible configurar clusters grandes que incluso superen las prestaciones de los computadores independientes más potentes. </w:t>
      </w:r>
    </w:p>
    <w:p w:rsidR="00000000" w:rsidDel="00000000" w:rsidP="00000000" w:rsidRDefault="00000000" w:rsidRPr="00000000" w14:paraId="00000008">
      <w:pPr>
        <w:pageBreakBefore w:val="0"/>
        <w:numPr>
          <w:ilvl w:val="0"/>
          <w:numId w:val="2"/>
        </w:numPr>
        <w:spacing w:after="0" w:afterAutospacing="0"/>
        <w:ind w:left="720" w:hanging="360"/>
      </w:pPr>
      <w:r w:rsidDel="00000000" w:rsidR="00000000" w:rsidRPr="00000000">
        <w:rPr>
          <w:rtl w:val="0"/>
        </w:rPr>
        <w:t xml:space="preserve">Escalabilidad incremental: Se pueden añadir nuevos sistemas al cluster en ampliaciones sucesivas.</w:t>
      </w:r>
    </w:p>
    <w:p w:rsidR="00000000" w:rsidDel="00000000" w:rsidP="00000000" w:rsidRDefault="00000000" w:rsidRPr="00000000" w14:paraId="00000009">
      <w:pPr>
        <w:pageBreakBefore w:val="0"/>
        <w:numPr>
          <w:ilvl w:val="0"/>
          <w:numId w:val="2"/>
        </w:numPr>
        <w:spacing w:after="0" w:afterAutospacing="0"/>
        <w:ind w:left="720" w:hanging="360"/>
      </w:pPr>
      <w:r w:rsidDel="00000000" w:rsidR="00000000" w:rsidRPr="00000000">
        <w:rPr>
          <w:rtl w:val="0"/>
        </w:rPr>
        <w:t xml:space="preserve">Alta disponibilidad: Como cada nodo del cluster es un computador autónomo, el fallo de uno de ellos no significa la pérdida del servicio</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Mejor relación precio/prestaciones: Usa elementos estandarizados que permiten mayor o igual potencia de cómputo que un computador independiente mayor, a menor costo</w:t>
      </w:r>
    </w:p>
    <w:p w:rsidR="00000000" w:rsidDel="00000000" w:rsidP="00000000" w:rsidRDefault="00000000" w:rsidRPr="00000000" w14:paraId="0000000B">
      <w:pPr>
        <w:pageBreakBefore w:val="0"/>
        <w:rPr/>
      </w:pPr>
      <w:r w:rsidDel="00000000" w:rsidR="00000000" w:rsidRPr="00000000">
        <w:rPr>
          <w:b w:val="1"/>
          <w:u w:val="single"/>
          <w:rtl w:val="0"/>
        </w:rPr>
        <w:t xml:space="preserve">Fuente</w:t>
      </w:r>
      <w:r w:rsidDel="00000000" w:rsidR="00000000" w:rsidRPr="00000000">
        <w:rPr>
          <w:rtl w:val="0"/>
        </w:rPr>
        <w:t xml:space="preserve">:</w:t>
      </w:r>
    </w:p>
    <w:p w:rsidR="00000000" w:rsidDel="00000000" w:rsidP="00000000" w:rsidRDefault="00000000" w:rsidRPr="00000000" w14:paraId="0000000C">
      <w:pPr>
        <w:pageBreakBefore w:val="0"/>
        <w:numPr>
          <w:ilvl w:val="0"/>
          <w:numId w:val="1"/>
        </w:numPr>
        <w:spacing w:after="0" w:afterAutospacing="0"/>
        <w:ind w:left="720" w:hanging="360"/>
      </w:pPr>
      <w:r w:rsidDel="00000000" w:rsidR="00000000" w:rsidRPr="00000000">
        <w:rPr>
          <w:rtl w:val="0"/>
        </w:rPr>
        <w:t xml:space="preserve">“Clase 09”</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“Capítulo 16.4 - Clusters” (Stalling 5ta ed. Pág 619)</w:t>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Droid Sans"/>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sz w:val="22"/>
        <w:szCs w:val="22"/>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80" w:lineRule="auto"/>
    </w:pPr>
    <w:rPr>
      <w:rFonts w:ascii="Droid Sans" w:cs="Droid Sans" w:eastAsia="Droid Sans" w:hAnsi="Droid Sans"/>
      <w:b w:val="1"/>
      <w:color w:val="ea3232"/>
      <w:sz w:val="40"/>
      <w:szCs w:val="40"/>
    </w:rPr>
  </w:style>
  <w:style w:type="paragraph" w:styleId="Heading2">
    <w:name w:val="heading 2"/>
    <w:basedOn w:val="Normal"/>
    <w:next w:val="Normal"/>
    <w:pPr>
      <w:keepNext w:val="1"/>
      <w:keepLines w:val="1"/>
      <w:pageBreakBefore w:val="0"/>
      <w:spacing w:after="200" w:lineRule="auto"/>
    </w:pPr>
    <w:rPr>
      <w:rFonts w:ascii="Droid Sans" w:cs="Droid Sans" w:eastAsia="Droid Sans" w:hAnsi="Droid Sans"/>
      <w:color w:val="ea3232"/>
      <w:sz w:val="36"/>
      <w:szCs w:val="3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80" w:line="240" w:lineRule="auto"/>
    </w:pPr>
    <w:rPr>
      <w:rFonts w:ascii="Droid Sans" w:cs="Droid Sans" w:eastAsia="Droid Sans" w:hAnsi="Droid Sans"/>
      <w:b w:val="1"/>
      <w:color w:val="666666"/>
      <w:sz w:val="60"/>
      <w:szCs w:val="60"/>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