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br/>
        <w:br/>
      </w:r>
    </w:p>
    <w:p>
      <w:pPr>
        <w:pStyle w:val="Title"/>
        <w:jc w:val="center"/>
      </w:pPr>
      <w:r>
        <w:t>LoRa Radio System Testing</w:t>
        <w:br/>
        <w:t>and Dataset Methodology</w:t>
      </w:r>
    </w:p>
    <w:p>
      <w:pPr>
        <w:jc w:val="center"/>
      </w:pPr>
      <w:r>
        <w:rPr>
          <w:b/>
          <w:sz w:val="26"/>
        </w:rPr>
        <w:t>AutoLink RadioSense | ESP32 DevKit + SX1278 (Ra-02)</w:t>
      </w:r>
    </w:p>
    <w:p>
      <w:pPr>
        <w:jc w:val="center"/>
      </w:pPr>
      <w:r>
        <w:rPr>
          <w:i/>
        </w:rPr>
        <w:t>Test plan, experimental methodology, serial-log capture, dataset schema, analysis, and reference resources</w:t>
      </w:r>
    </w:p>
    <w:p/>
    <w:p>
      <w:pPr>
        <w:jc w:val="center"/>
      </w:pPr>
      <w:r>
        <w:t>Prepared: 9 October 2026</w:t>
      </w:r>
    </w:p>
    <w:p>
      <w:r>
        <w:br w:type="page"/>
      </w:r>
    </w:p>
    <w:p>
      <w:pPr>
        <w:pStyle w:val="Heading1"/>
      </w:pPr>
      <w:r>
        <w:t>Document purpose and scope</w:t>
      </w:r>
    </w:p>
    <w:p>
      <w:r>
        <w:t>This document defines a practical and reproducible test programme for the core LoRa radio functionality of AutoLink RadioSense. It focuses on raw LoRa payload transmission/reception, radio-performance characterization, environmental testing, and later validation of the final application packet format. It intentionally excludes Beacon Management, neighbour-table logic, routing, relay selection, and other novelty-specific functionality.</w:t>
      </w:r>
    </w:p>
    <w:p>
      <w:r>
        <w:t>The current baseline tests—LoRa initialization, raw transmission, and raw reception—have already been implemented and verified by the project team. They should be retained as baseline tests rather than rewritten unnecessarily.</w:t>
      </w:r>
    </w:p>
    <w:p>
      <w:pPr>
        <w:pStyle w:val="Heading2"/>
      </w:pPr>
      <w:r>
        <w:t>Important terminology</w:t>
      </w:r>
    </w:p>
    <w:p>
      <w:pPr>
        <w:pStyle w:val="ListBullet"/>
      </w:pPr>
      <w:r>
        <w:t>Raw payload: application bytes sent through the radio library without the AutoLink application-level header. LoRa radio framing and physical-layer checks still exist.</w:t>
      </w:r>
    </w:p>
    <w:p>
      <w:pPr>
        <w:pStyle w:val="ListBullet"/>
      </w:pPr>
      <w:r>
        <w:t>Final-format packet: the application packet after the team has agreed on its header, field encoding, payload, and integrity rules.</w:t>
      </w:r>
    </w:p>
    <w:p>
      <w:pPr>
        <w:pStyle w:val="ListBullet"/>
      </w:pPr>
      <w:r>
        <w:t>PDR (packet delivery ratio): packets received by the intended receiver divided by packets the transmitter attempted to send, expressed as a percentage. Define the denominator clearly and keep it consistent.</w:t>
      </w:r>
    </w:p>
    <w:p>
      <w:pPr>
        <w:pStyle w:val="ListBullet"/>
      </w:pPr>
      <w:r>
        <w:t>A missing receive log is not automatically proof of a radio failure: the receiver may have reset, been disconnected, or failed to log. Use transmitter and receiver logs plus health/status records.</w:t>
      </w:r>
    </w:p>
    <w:p>
      <w:pPr>
        <w:pStyle w:val="ListBullet"/>
      </w:pPr>
      <w:r>
        <w:t>A TX API call completing successfully means the local radio/library completed the operation; it does not prove that the remote node received the packet.</w:t>
      </w:r>
    </w:p>
    <w:p>
      <w:pPr>
        <w:pStyle w:val="Heading1"/>
      </w:pPr>
      <w:r>
        <w:t>1. Overall testing strategy</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rPr>
              <w:t>Phase</w:t>
            </w:r>
          </w:p>
        </w:tc>
        <w:tc>
          <w:tcPr>
            <w:tcW w:type="dxa" w:w="3360"/>
            <w:vAlign w:val="center"/>
          </w:tcPr>
          <w:p>
            <w:r>
              <w:rPr>
                <w:b/>
              </w:rPr>
              <w:t>Focus</w:t>
            </w:r>
          </w:p>
        </w:tc>
        <w:tc>
          <w:tcPr>
            <w:tcW w:type="dxa" w:w="3360"/>
            <w:vAlign w:val="center"/>
          </w:tcPr>
          <w:p>
            <w:r>
              <w:rPr>
                <w:b/>
              </w:rPr>
              <w:t>Main outcome</w:t>
            </w:r>
          </w:p>
        </w:tc>
      </w:tr>
      <w:tr>
        <w:tc>
          <w:tcPr>
            <w:tcW w:type="dxa" w:w="3360"/>
            <w:vAlign w:val="center"/>
          </w:tcPr>
          <w:p>
            <w:r>
              <w:t>A — Raw radio tests</w:t>
            </w:r>
          </w:p>
        </w:tc>
        <w:tc>
          <w:tcPr>
            <w:tcW w:type="dxa" w:w="3360"/>
            <w:vAlign w:val="center"/>
          </w:tcPr>
          <w:p>
            <w:r>
              <w:t>Basic repeated operation, payload lengths, timing, integrity, distance and link metrics</w:t>
            </w:r>
          </w:p>
        </w:tc>
        <w:tc>
          <w:tcPr>
            <w:tcW w:type="dxa" w:w="3360"/>
            <w:vAlign w:val="center"/>
          </w:tcPr>
          <w:p>
            <w:r>
              <w:t>Verified, repeatable radio baseline</w:t>
            </w:r>
          </w:p>
        </w:tc>
      </w:tr>
      <w:tr>
        <w:tc>
          <w:tcPr>
            <w:tcW w:type="dxa" w:w="3360"/>
            <w:vAlign w:val="center"/>
          </w:tcPr>
          <w:p>
            <w:r>
              <w:t>B — Parameter/environment experiments</w:t>
            </w:r>
          </w:p>
        </w:tc>
        <w:tc>
          <w:tcPr>
            <w:tcW w:type="dxa" w:w="3360"/>
            <w:vAlign w:val="center"/>
          </w:tcPr>
          <w:p>
            <w:r>
              <w:t>SF, bandwidth, coding rate, TX power, distance, antennas, environment, movement and channel occupancy</w:t>
            </w:r>
          </w:p>
        </w:tc>
        <w:tc>
          <w:tcPr>
            <w:tcW w:type="dxa" w:w="3360"/>
            <w:vAlign w:val="center"/>
          </w:tcPr>
          <w:p>
            <w:r>
              <w:t>Comparable experimental dataset and evidence-based parameter choices</w:t>
            </w:r>
          </w:p>
        </w:tc>
      </w:tr>
      <w:tr>
        <w:tc>
          <w:tcPr>
            <w:tcW w:type="dxa" w:w="3360"/>
            <w:vAlign w:val="center"/>
          </w:tcPr>
          <w:p>
            <w:r>
              <w:t>C — Final packet-format tests</w:t>
            </w:r>
          </w:p>
        </w:tc>
        <w:tc>
          <w:tcPr>
            <w:tcW w:type="dxa" w:w="3360"/>
            <w:vAlign w:val="center"/>
          </w:tcPr>
          <w:p>
            <w:r>
              <w:t>Encoding, boundaries, integrity handling, sustained operation, raw-vs-final comparison</w:t>
            </w:r>
          </w:p>
        </w:tc>
        <w:tc>
          <w:tcPr>
            <w:tcW w:type="dxa" w:w="3360"/>
            <w:vAlign w:val="center"/>
          </w:tcPr>
          <w:p>
            <w:r>
              <w:t>Validated application packet format and measured overhead</w:t>
            </w:r>
          </w:p>
        </w:tc>
      </w:tr>
    </w:tbl>
    <w:p/>
    <w:p>
      <w:r>
        <w:t>Recommended sequence: finish the raw functional tests first; add sequence-numbered packet logs; run controlled parameter experiments; repeat selected experiments across environments; analyse the data; then test the final application packet format.</w:t>
      </w:r>
    </w:p>
    <w:p>
      <w:pPr>
        <w:pStyle w:val="Heading1"/>
      </w:pPr>
      <w:r>
        <w:t>2. Test directory organization</w:t>
      </w:r>
    </w:p>
    <w:p>
      <w:pPr>
        <w:spacing w:before="60" w:after="140"/>
        <w:ind w:left="259" w:right="259"/>
        <w:shd w:fill="F2F4F7"/>
      </w:pPr>
      <w:r>
        <w:rPr>
          <w:rFonts w:ascii="Consolas" w:hAnsi="Consolas"/>
          <w:sz w:val="16"/>
        </w:rPr>
        <w:t>test/</w:t>
      </w:r>
      <w:r>
        <w:br/>
      </w:r>
      <w:r>
        <w:rPr>
          <w:rFonts w:ascii="Consolas" w:hAnsi="Consolas"/>
          <w:sz w:val="16"/>
        </w:rPr>
        <w:t>├── unit/</w:t>
      </w:r>
      <w:r>
        <w:br/>
      </w:r>
      <w:r>
        <w:rPr>
          <w:rFonts w:ascii="Consolas" w:hAnsi="Consolas"/>
          <w:sz w:val="16"/>
        </w:rPr>
        <w:t>│   └── ...                         # Isolated functions/classes; no complete radio link required</w:t>
      </w:r>
      <w:r>
        <w:br/>
      </w:r>
      <w:r>
        <w:rPr>
          <w:rFonts w:ascii="Consolas" w:hAnsi="Consolas"/>
          <w:sz w:val="16"/>
        </w:rPr>
        <w:t>└── system/</w:t>
      </w:r>
      <w:r>
        <w:br/>
      </w:r>
      <w:r>
        <w:rPr>
          <w:rFonts w:ascii="Consolas" w:hAnsi="Consolas"/>
          <w:sz w:val="16"/>
        </w:rPr>
        <w:t xml:space="preserve">    ├── 01_LoRa_Initialization/     # Existing; verified</w:t>
      </w:r>
      <w:r>
        <w:br/>
      </w:r>
      <w:r>
        <w:rPr>
          <w:rFonts w:ascii="Consolas" w:hAnsi="Consolas"/>
          <w:sz w:val="16"/>
        </w:rPr>
        <w:t xml:space="preserve">    ├── 02_Raw_Transmission/        # Existing; verified</w:t>
      </w:r>
      <w:r>
        <w:br/>
      </w:r>
      <w:r>
        <w:rPr>
          <w:rFonts w:ascii="Consolas" w:hAnsi="Consolas"/>
          <w:sz w:val="16"/>
        </w:rPr>
        <w:t xml:space="preserve">    ├── 03_Raw_Reception/           # Existing; verified</w:t>
      </w:r>
      <w:r>
        <w:br/>
      </w:r>
      <w:r>
        <w:rPr>
          <w:rFonts w:ascii="Consolas" w:hAnsi="Consolas"/>
          <w:sz w:val="16"/>
        </w:rPr>
        <w:t xml:space="preserve">    ├── 04_Repeated_Raw_Transmission/</w:t>
      </w:r>
      <w:r>
        <w:br/>
      </w:r>
      <w:r>
        <w:rPr>
          <w:rFonts w:ascii="Consolas" w:hAnsi="Consolas"/>
          <w:sz w:val="16"/>
        </w:rPr>
        <w:t xml:space="preserve">    ├── 05_Raw_Payload_Length/</w:t>
      </w:r>
      <w:r>
        <w:br/>
      </w:r>
      <w:r>
        <w:rPr>
          <w:rFonts w:ascii="Consolas" w:hAnsi="Consolas"/>
          <w:sz w:val="16"/>
        </w:rPr>
        <w:t xml:space="preserve">    ├── 06_Transmission_Interval/</w:t>
      </w:r>
      <w:r>
        <w:br/>
      </w:r>
      <w:r>
        <w:rPr>
          <w:rFonts w:ascii="Consolas" w:hAnsi="Consolas"/>
          <w:sz w:val="16"/>
        </w:rPr>
        <w:t xml:space="preserve">    ├── 07_Long_Duration_Operation/</w:t>
      </w:r>
      <w:r>
        <w:br/>
      </w:r>
      <w:r>
        <w:rPr>
          <w:rFonts w:ascii="Consolas" w:hAnsi="Consolas"/>
          <w:sz w:val="16"/>
        </w:rPr>
        <w:t xml:space="preserve">    ├── 08_Payload_Integrity/</w:t>
      </w:r>
      <w:r>
        <w:br/>
      </w:r>
      <w:r>
        <w:rPr>
          <w:rFonts w:ascii="Consolas" w:hAnsi="Consolas"/>
          <w:sz w:val="16"/>
        </w:rPr>
        <w:t xml:space="preserve">    ├── 09_Distance_PDR/</w:t>
      </w:r>
      <w:r>
        <w:br/>
      </w:r>
      <w:r>
        <w:rPr>
          <w:rFonts w:ascii="Consolas" w:hAnsi="Consolas"/>
          <w:sz w:val="16"/>
        </w:rPr>
        <w:t xml:space="preserve">    ├── 10_Spreading_Factor_Comparison/</w:t>
      </w:r>
      <w:r>
        <w:br/>
      </w:r>
      <w:r>
        <w:rPr>
          <w:rFonts w:ascii="Consolas" w:hAnsi="Consolas"/>
          <w:sz w:val="16"/>
        </w:rPr>
        <w:t xml:space="preserve">    ├── 11_Bandwidth_Comparison/</w:t>
      </w:r>
      <w:r>
        <w:br/>
      </w:r>
      <w:r>
        <w:rPr>
          <w:rFonts w:ascii="Consolas" w:hAnsi="Consolas"/>
          <w:sz w:val="16"/>
        </w:rPr>
        <w:t xml:space="preserve">    ├── 12_Coding_Rate_Comparison/</w:t>
      </w:r>
      <w:r>
        <w:br/>
      </w:r>
      <w:r>
        <w:rPr>
          <w:rFonts w:ascii="Consolas" w:hAnsi="Consolas"/>
          <w:sz w:val="16"/>
        </w:rPr>
        <w:t xml:space="preserve">    ├── 13_Transmit_Power_Comparison/</w:t>
      </w:r>
      <w:r>
        <w:br/>
      </w:r>
      <w:r>
        <w:rPr>
          <w:rFonts w:ascii="Consolas" w:hAnsi="Consolas"/>
          <w:sz w:val="16"/>
        </w:rPr>
        <w:t xml:space="preserve">    ├── 14_Antenna_Orientation_Placement/</w:t>
      </w:r>
      <w:r>
        <w:br/>
      </w:r>
      <w:r>
        <w:rPr>
          <w:rFonts w:ascii="Consolas" w:hAnsi="Consolas"/>
          <w:sz w:val="16"/>
        </w:rPr>
        <w:t xml:space="preserve">    ├── 15_Bidirectional_Communication/</w:t>
      </w:r>
      <w:r>
        <w:br/>
      </w:r>
      <w:r>
        <w:rPr>
          <w:rFonts w:ascii="Consolas" w:hAnsi="Consolas"/>
          <w:sz w:val="16"/>
        </w:rPr>
        <w:t xml:space="preserve">    ├── 16_LOS_Baseline/</w:t>
      </w:r>
      <w:r>
        <w:br/>
      </w:r>
      <w:r>
        <w:rPr>
          <w:rFonts w:ascii="Consolas" w:hAnsi="Consolas"/>
          <w:sz w:val="16"/>
        </w:rPr>
        <w:t xml:space="preserve">    ├── 17_Urban_Built_Up/</w:t>
      </w:r>
      <w:r>
        <w:br/>
      </w:r>
      <w:r>
        <w:rPr>
          <w:rFonts w:ascii="Consolas" w:hAnsi="Consolas"/>
          <w:sz w:val="16"/>
        </w:rPr>
        <w:t xml:space="preserve">    ├── 18_Rural_Vegetation/</w:t>
      </w:r>
      <w:r>
        <w:br/>
      </w:r>
      <w:r>
        <w:rPr>
          <w:rFonts w:ascii="Consolas" w:hAnsi="Consolas"/>
          <w:sz w:val="16"/>
        </w:rPr>
        <w:t xml:space="preserve">    ├── 19_Obstruction_Comparison/</w:t>
      </w:r>
      <w:r>
        <w:br/>
      </w:r>
      <w:r>
        <w:rPr>
          <w:rFonts w:ascii="Consolas" w:hAnsi="Consolas"/>
          <w:sz w:val="16"/>
        </w:rPr>
        <w:t xml:space="preserve">    ├── 20_Static_vs_Moving/</w:t>
      </w:r>
      <w:r>
        <w:br/>
      </w:r>
      <w:r>
        <w:rPr>
          <w:rFonts w:ascii="Consolas" w:hAnsi="Consolas"/>
          <w:sz w:val="16"/>
        </w:rPr>
        <w:t xml:space="preserve">    ├── 21_Channel_Occupancy_Interference/</w:t>
      </w:r>
      <w:r>
        <w:br/>
      </w:r>
      <w:r>
        <w:rPr>
          <w:rFonts w:ascii="Consolas" w:hAnsi="Consolas"/>
          <w:sz w:val="16"/>
        </w:rPr>
        <w:t xml:space="preserve">    ├── 22_Final_Packet_TX_RX/</w:t>
      </w:r>
      <w:r>
        <w:br/>
      </w:r>
      <w:r>
        <w:rPr>
          <w:rFonts w:ascii="Consolas" w:hAnsi="Consolas"/>
          <w:sz w:val="16"/>
        </w:rPr>
        <w:t xml:space="preserve">    ├── 23_Final_Packet_Field_Encoding/</w:t>
      </w:r>
      <w:r>
        <w:br/>
      </w:r>
      <w:r>
        <w:rPr>
          <w:rFonts w:ascii="Consolas" w:hAnsi="Consolas"/>
          <w:sz w:val="16"/>
        </w:rPr>
        <w:t xml:space="preserve">    ├── 24_Final_Packet_Integrity/</w:t>
      </w:r>
      <w:r>
        <w:br/>
      </w:r>
      <w:r>
        <w:rPr>
          <w:rFonts w:ascii="Consolas" w:hAnsi="Consolas"/>
          <w:sz w:val="16"/>
        </w:rPr>
        <w:t xml:space="preserve">    ├── 25_Final_Packet_Boundary_Handling/</w:t>
      </w:r>
      <w:r>
        <w:br/>
      </w:r>
      <w:r>
        <w:rPr>
          <w:rFonts w:ascii="Consolas" w:hAnsi="Consolas"/>
          <w:sz w:val="16"/>
        </w:rPr>
        <w:t xml:space="preserve">    ├── 26_Sustained_Final_Packet/</w:t>
      </w:r>
      <w:r>
        <w:br/>
      </w:r>
      <w:r>
        <w:rPr>
          <w:rFonts w:ascii="Consolas" w:hAnsi="Consolas"/>
          <w:sz w:val="16"/>
        </w:rPr>
        <w:t xml:space="preserve">    └── 27_Raw_vs_Final_Performance/</w:t>
      </w:r>
    </w:p>
    <w:p>
      <w:r>
        <w:t>These directories are a logical catalogue, not a requirement to create 27 entirely separate firmware applications. Prefer a reusable transmitter/receiver test harness with configuration options and test IDs. Each folder can contain a README describing its objective, setup, steps, acceptance criteria, and data outputs.</w:t>
      </w:r>
    </w:p>
    <w:p>
      <w:pPr>
        <w:pStyle w:val="Heading1"/>
      </w:pPr>
      <w:r>
        <w:t>3. Phase A — Raw LoRa system test cases</w:t>
      </w:r>
    </w:p>
    <w:p>
      <w:pPr>
        <w:pStyle w:val="Heading2"/>
      </w:pPr>
      <w:r>
        <w:t>01 — LoRa Initialization (existing)</w:t>
      </w:r>
    </w:p>
    <w:p>
      <w:r>
        <w:t>Verify SPI/radio setup and configuration. Record frequency, SF, bandwidth, coding rate, TX power, library version, and initialization result. Acceptance: expected settings read back or otherwise verified and initialization succeeds.</w:t>
      </w:r>
    </w:p>
    <w:p>
      <w:pPr>
        <w:pStyle w:val="Heading2"/>
      </w:pPr>
      <w:r>
        <w:t>02 — Raw Transmission (existing)</w:t>
      </w:r>
    </w:p>
    <w:p>
      <w:r>
        <w:t>Send a simple raw payload without application headers. Log each TX attempt, payload length, local TX result, and timestamp. Do not label local TX completion as remote delivery.</w:t>
      </w:r>
    </w:p>
    <w:p>
      <w:pPr>
        <w:pStyle w:val="Heading2"/>
      </w:pPr>
      <w:r>
        <w:t>03 — Raw Reception (existing)</w:t>
      </w:r>
    </w:p>
    <w:p>
      <w:r>
        <w:t>Listen continuously and print received payload bytes/length plus radio-reported RSSI/SNR when available. Log receiver uptime and resets.</w:t>
      </w:r>
    </w:p>
    <w:p>
      <w:pPr>
        <w:pStyle w:val="Heading2"/>
      </w:pPr>
      <w:r>
        <w:t>04 — Repeated Raw Packet Transmission</w:t>
      </w:r>
    </w:p>
    <w:p>
      <w:r>
        <w:t>Send 100, 500, then 1,000 sequence-numbered raw test payloads. Compare transmitter attempts with receiver arrivals. Track local TX failures, receiver resets, duplicate IDs, and missing IDs.</w:t>
      </w:r>
    </w:p>
    <w:p>
      <w:pPr>
        <w:pStyle w:val="Heading2"/>
      </w:pPr>
      <w:r>
        <w:t>05 — Raw Payload Length</w:t>
      </w:r>
    </w:p>
    <w:p>
      <w:r>
        <w:t>Test representative lengths such as 1, 8, 16, 32, 64, 128 and 200 bytes where supported by the library and configuration. Use the same radio settings and comparable payload patterns. Measure delivery, airtime or TX duration, RSSI/SNR, and length mismatches.</w:t>
      </w:r>
    </w:p>
    <w:p>
      <w:pPr>
        <w:pStyle w:val="Heading2"/>
      </w:pPr>
      <w:r>
        <w:t>06 — Transmission Interval</w:t>
      </w:r>
    </w:p>
    <w:p>
      <w:r>
        <w:t>Compare controlled intervals such as 100 ms, 500 ms, 1 s and 5 s only where airtime and applicable rules allow. Record intended interval, actual TX start/completion times, packet delivery, and any busy/timeout/error states. Do not assume the radio can complete a packet inside every requested interval.</w:t>
      </w:r>
    </w:p>
    <w:p>
      <w:pPr>
        <w:pStyle w:val="Heading2"/>
      </w:pPr>
      <w:r>
        <w:t>07 — Long-Duration Operation</w:t>
      </w:r>
    </w:p>
    <w:p>
      <w:r>
        <w:t>Run for 30 minutes, then consider 1–2 hours. Record total attempts, received packets, radio errors, resets, uptime, and any periods when the receiver stops responding. Keep conditions and configuration stable.</w:t>
      </w:r>
    </w:p>
    <w:p>
      <w:pPr>
        <w:pStyle w:val="Heading2"/>
      </w:pPr>
      <w:r>
        <w:t>08 — Payload Integrity</w:t>
      </w:r>
    </w:p>
    <w:p>
      <w:r>
        <w:t>Transmit known byte patterns: all 0x00, all 0xFF, alternating 0xAA/0x55, repeated printable characters, and deterministic pseudorandom bytes. Compare received length and byte content. This verifies the application-facing payload path; it does not replace PHY-level validation.</w:t>
      </w:r>
    </w:p>
    <w:p>
      <w:pPr>
        <w:pStyle w:val="Heading2"/>
      </w:pPr>
      <w:r>
        <w:t>09 — Distance and PDR</w:t>
      </w:r>
    </w:p>
    <w:p>
      <w:r>
        <w:t>Measure actual node separation and test at multiple distances. At each point, use a fixed radio configuration, antenna setup, payload, packet count, and interval. Calculate PDR and loss; collect RSSI/SNR only for packets received.</w:t>
      </w:r>
    </w:p>
    <w:p>
      <w:pPr>
        <w:pStyle w:val="Heading2"/>
      </w:pPr>
      <w:r>
        <w:t>10 — Spreading Factor Comparison</w:t>
      </w:r>
    </w:p>
    <w:p>
      <w:r>
        <w:t>Compare supported SF values, commonly SF7–SF12 on SX1278 configurations, with bandwidth, coding rate, TX power, payload length, distance, antennas, and interval held constant. Measure PDR, RSSI, SNR, airtime, and latency if validly measured.</w:t>
      </w:r>
    </w:p>
    <w:p>
      <w:pPr>
        <w:pStyle w:val="Heading2"/>
      </w:pPr>
      <w:r>
        <w:t>11 — Bandwidth Comparison</w:t>
      </w:r>
    </w:p>
    <w:p>
      <w:r>
        <w:t>Compare bandwidths supported by the selected SX1278 library/configuration, for example 125, 250 and 500 kHz if supported. Keep other settings fixed. Verify actual supported settings and regional legality before testing.</w:t>
      </w:r>
    </w:p>
    <w:p>
      <w:pPr>
        <w:pStyle w:val="Heading2"/>
      </w:pPr>
      <w:r>
        <w:t>12 — Coding Rate Comparison</w:t>
      </w:r>
    </w:p>
    <w:p>
      <w:r>
        <w:t>Compare supported coding-rate settings (often described as 4/5 through 4/8 by libraries) with other variables fixed. Record delivery, airtime, RSSI/SNR and any configuration errors.</w:t>
      </w:r>
    </w:p>
    <w:p>
      <w:pPr>
        <w:pStyle w:val="Heading2"/>
      </w:pPr>
      <w:r>
        <w:t>13 — Transmit Power Comparison</w:t>
      </w:r>
    </w:p>
    <w:p>
      <w:r>
        <w:t>Compare several supported TX power settings within local legal limits. Keep antenna, separation, orientation and radio settings fixed. Measure PDR/RSSI/SNR and, if energy is studied, current draw. Confirm the module/board's actual RF output behaviour rather than assuming configured power equals radiated power.</w:t>
      </w:r>
    </w:p>
    <w:p>
      <w:pPr>
        <w:pStyle w:val="Heading2"/>
      </w:pPr>
      <w:r>
        <w:t>14 — Antenna Orientation and Placement</w:t>
      </w:r>
    </w:p>
    <w:p>
      <w:r>
        <w:t>Compare specified antenna orientations, heights, and node placements. Change one factor at a time. Record antenna type/gain, orientation, height, distance and nearby objects.</w:t>
      </w:r>
    </w:p>
    <w:p>
      <w:pPr>
        <w:pStyle w:val="Heading2"/>
      </w:pPr>
      <w:r>
        <w:t>15 — Bidirectional Raw Communication</w:t>
      </w:r>
    </w:p>
    <w:p>
      <w:r>
        <w:t>Test A→B and B→A in separate controlled periods, or use a scheduled half-duplex protocol that avoids collisions. Report each direction separately. LoRa radios are half-duplex; simultaneous transmissions can collide and invalidate the comparison.</w:t>
      </w:r>
    </w:p>
    <w:p>
      <w:pPr>
        <w:pStyle w:val="Heading2"/>
      </w:pPr>
      <w:r>
        <w:t>16 — LOS Baseline</w:t>
      </w:r>
    </w:p>
    <w:p>
      <w:r>
        <w:t>Use a clear line-of-sight path, measured distance and fixed node/antenna heights. Test several distances and repeat trials. This provides a baseline for comparison with obstructed environments.</w:t>
      </w:r>
    </w:p>
    <w:p>
      <w:pPr>
        <w:pStyle w:val="Heading2"/>
      </w:pPr>
      <w:r>
        <w:t>17 — Urban/Built-Up Environment</w:t>
      </w:r>
    </w:p>
    <w:p>
      <w:r>
        <w:t>Repeat selected LOS configurations in a built-up area. Document buildings, walls, road layout, obstructions, antenna height, distance, weather and node placement. Avoid changing several variables without recording them.</w:t>
      </w:r>
    </w:p>
    <w:p>
      <w:pPr>
        <w:pStyle w:val="Heading2"/>
      </w:pPr>
      <w:r>
        <w:t>18 — Rural/Vegetation Environment</w:t>
      </w:r>
    </w:p>
    <w:p>
      <w:r>
        <w:t>Test open rural locations and locations with trees/vegetation. Record whether the path is LOS/NLOS, vegetation density, ground profile, distance and antenna height.</w:t>
      </w:r>
    </w:p>
    <w:p>
      <w:pPr>
        <w:pStyle w:val="Heading2"/>
      </w:pPr>
      <w:r>
        <w:t>19 — Obstruction Comparison</w:t>
      </w:r>
    </w:p>
    <w:p>
      <w:r>
        <w:t>Compare a baseline path with a defined obstacle condition (for example a wall or building). Record obstacle type, approximate dimensions/material if known, path geometry and all radio settings.</w:t>
      </w:r>
    </w:p>
    <w:p>
      <w:pPr>
        <w:pStyle w:val="Heading2"/>
      </w:pPr>
      <w:r>
        <w:t>20 — Static vs Moving Nodes</w:t>
      </w:r>
    </w:p>
    <w:p>
      <w:r>
        <w:t>Compare static nodes with a moving transmitter or receiver. Log timestamps and measured/GPS position when available, distance, speed if known, and orientation. Movement changes distance, obstruction and multipath; describe these rather than attributing all effects to speed alone.</w:t>
      </w:r>
    </w:p>
    <w:p>
      <w:pPr>
        <w:pStyle w:val="Heading2"/>
      </w:pPr>
      <w:r>
        <w:t>21 — Channel Occupancy/Interference</w:t>
      </w:r>
    </w:p>
    <w:p>
      <w:r>
        <w:t>Establish a quiet baseline, then compare with controlled, lawful channel activity if practical. Record what source is active and when. Do not deliberately interfere with public networks or exceed permitted frequency, power, duty-cycle or airtime constraints.</w:t>
      </w:r>
    </w:p>
    <w:p>
      <w:pPr>
        <w:pStyle w:val="Heading1"/>
      </w:pPr>
      <w:r>
        <w:t>4. Phase B — Controlled experimental methodology</w:t>
      </w:r>
    </w:p>
    <w:p>
      <w:pPr>
        <w:pStyle w:val="Heading2"/>
      </w:pPr>
      <w:r>
        <w:t>4.1 Define the research question and response metrics</w:t>
      </w:r>
    </w:p>
    <w:p>
      <w:r>
        <w:t>Before each campaign, specify the factor being changed and the outcome being measured. Primary outcomes should usually include PDR and RSSI/SNR distributions; add airtime and latency where measurement methods are sound.</w:t>
      </w:r>
    </w:p>
    <w:tbl>
      <w:tblPr>
        <w:tblStyle w:val="LightShading-Accent1"/>
        <w:tblW w:type="auto" w:w="0"/>
        <w:jc w:val="center"/>
        <w:tblLook w:firstColumn="1" w:firstRow="1" w:lastColumn="0" w:lastRow="0" w:noHBand="0" w:noVBand="1" w:val="04A0"/>
      </w:tblPr>
      <w:tblGrid>
        <w:gridCol w:w="3360"/>
        <w:gridCol w:w="3360"/>
        <w:gridCol w:w="3360"/>
      </w:tblGrid>
      <w:tr>
        <w:tc>
          <w:tcPr>
            <w:tcW w:type="dxa" w:w="3360"/>
            <w:vAlign w:val="center"/>
          </w:tcPr>
          <w:p>
            <w:r>
              <w:rPr>
                <w:b/>
              </w:rPr>
              <w:t>Factor</w:t>
            </w:r>
          </w:p>
        </w:tc>
        <w:tc>
          <w:tcPr>
            <w:tcW w:type="dxa" w:w="3360"/>
            <w:vAlign w:val="center"/>
          </w:tcPr>
          <w:p>
            <w:r>
              <w:rPr>
                <w:b/>
              </w:rPr>
              <w:t>Example levels / approach</w:t>
            </w:r>
          </w:p>
        </w:tc>
        <w:tc>
          <w:tcPr>
            <w:tcW w:type="dxa" w:w="3360"/>
            <w:vAlign w:val="center"/>
          </w:tcPr>
          <w:p>
            <w:r>
              <w:rPr>
                <w:b/>
              </w:rPr>
              <w:t>Hold constant during a one-factor comparison</w:t>
            </w:r>
          </w:p>
        </w:tc>
      </w:tr>
      <w:tr>
        <w:tc>
          <w:tcPr>
            <w:tcW w:type="dxa" w:w="3360"/>
            <w:vAlign w:val="center"/>
          </w:tcPr>
          <w:p>
            <w:r>
              <w:t>Spreading factor</w:t>
            </w:r>
          </w:p>
        </w:tc>
        <w:tc>
          <w:tcPr>
            <w:tcW w:type="dxa" w:w="3360"/>
            <w:vAlign w:val="center"/>
          </w:tcPr>
          <w:p>
            <w:r>
              <w:t>All supported SF settings</w:t>
            </w:r>
          </w:p>
        </w:tc>
        <w:tc>
          <w:tcPr>
            <w:tcW w:type="dxa" w:w="3360"/>
            <w:vAlign w:val="center"/>
          </w:tcPr>
          <w:p>
            <w:r>
              <w:t>BW, coding rate, TX power, payload, distance, antenna, environment</w:t>
            </w:r>
          </w:p>
        </w:tc>
      </w:tr>
      <w:tr>
        <w:tc>
          <w:tcPr>
            <w:tcW w:type="dxa" w:w="3360"/>
            <w:vAlign w:val="center"/>
          </w:tcPr>
          <w:p>
            <w:r>
              <w:t>Bandwidth</w:t>
            </w:r>
          </w:p>
        </w:tc>
        <w:tc>
          <w:tcPr>
            <w:tcW w:type="dxa" w:w="3360"/>
            <w:vAlign w:val="center"/>
          </w:tcPr>
          <w:p>
            <w:r>
              <w:t>Supported settings (e.g., 125/250/500 kHz if valid)</w:t>
            </w:r>
          </w:p>
        </w:tc>
        <w:tc>
          <w:tcPr>
            <w:tcW w:type="dxa" w:w="3360"/>
            <w:vAlign w:val="center"/>
          </w:tcPr>
          <w:p>
            <w:r>
              <w:t>SF, coding rate, power, payload, geometry</w:t>
            </w:r>
          </w:p>
        </w:tc>
      </w:tr>
      <w:tr>
        <w:tc>
          <w:tcPr>
            <w:tcW w:type="dxa" w:w="3360"/>
            <w:vAlign w:val="center"/>
          </w:tcPr>
          <w:p>
            <w:r>
              <w:t>Coding rate</w:t>
            </w:r>
          </w:p>
        </w:tc>
        <w:tc>
          <w:tcPr>
            <w:tcW w:type="dxa" w:w="3360"/>
            <w:vAlign w:val="center"/>
          </w:tcPr>
          <w:p>
            <w:r>
              <w:t>Supported values</w:t>
            </w:r>
          </w:p>
        </w:tc>
        <w:tc>
          <w:tcPr>
            <w:tcW w:type="dxa" w:w="3360"/>
            <w:vAlign w:val="center"/>
          </w:tcPr>
          <w:p>
            <w:r>
              <w:t>SF, BW, power, payload, geometry</w:t>
            </w:r>
          </w:p>
        </w:tc>
      </w:tr>
      <w:tr>
        <w:tc>
          <w:tcPr>
            <w:tcW w:type="dxa" w:w="3360"/>
            <w:vAlign w:val="center"/>
          </w:tcPr>
          <w:p>
            <w:r>
              <w:t>TX power</w:t>
            </w:r>
          </w:p>
        </w:tc>
        <w:tc>
          <w:tcPr>
            <w:tcW w:type="dxa" w:w="3360"/>
            <w:vAlign w:val="center"/>
          </w:tcPr>
          <w:p>
            <w:r>
              <w:t>Several legal, supported values</w:t>
            </w:r>
          </w:p>
        </w:tc>
        <w:tc>
          <w:tcPr>
            <w:tcW w:type="dxa" w:w="3360"/>
            <w:vAlign w:val="center"/>
          </w:tcPr>
          <w:p>
            <w:r>
              <w:t>Modulation settings, antenna, distance, geometry</w:t>
            </w:r>
          </w:p>
        </w:tc>
      </w:tr>
      <w:tr>
        <w:tc>
          <w:tcPr>
            <w:tcW w:type="dxa" w:w="3360"/>
            <w:vAlign w:val="center"/>
          </w:tcPr>
          <w:p>
            <w:r>
              <w:t>Payload length</w:t>
            </w:r>
          </w:p>
        </w:tc>
        <w:tc>
          <w:tcPr>
            <w:tcW w:type="dxa" w:w="3360"/>
            <w:vAlign w:val="center"/>
          </w:tcPr>
          <w:p>
            <w:r>
              <w:t>Several lengths up to the supported maximum</w:t>
            </w:r>
          </w:p>
        </w:tc>
        <w:tc>
          <w:tcPr>
            <w:tcW w:type="dxa" w:w="3360"/>
            <w:vAlign w:val="center"/>
          </w:tcPr>
          <w:p>
            <w:r>
              <w:t>Radio settings, distance, payload pattern family</w:t>
            </w:r>
          </w:p>
        </w:tc>
      </w:tr>
      <w:tr>
        <w:tc>
          <w:tcPr>
            <w:tcW w:type="dxa" w:w="3360"/>
            <w:vAlign w:val="center"/>
          </w:tcPr>
          <w:p>
            <w:r>
              <w:t>Distance</w:t>
            </w:r>
          </w:p>
        </w:tc>
        <w:tc>
          <w:tcPr>
            <w:tcW w:type="dxa" w:w="3360"/>
            <w:vAlign w:val="center"/>
          </w:tcPr>
          <w:p>
            <w:r>
              <w:t>Measured increments chosen for the site</w:t>
            </w:r>
          </w:p>
        </w:tc>
        <w:tc>
          <w:tcPr>
            <w:tcW w:type="dxa" w:w="3360"/>
            <w:vAlign w:val="center"/>
          </w:tcPr>
          <w:p>
            <w:r>
              <w:t>Radio settings, antenna height/orientation, environment</w:t>
            </w:r>
          </w:p>
        </w:tc>
      </w:tr>
      <w:tr>
        <w:tc>
          <w:tcPr>
            <w:tcW w:type="dxa" w:w="3360"/>
            <w:vAlign w:val="center"/>
          </w:tcPr>
          <w:p>
            <w:r>
              <w:t>Environment</w:t>
            </w:r>
          </w:p>
        </w:tc>
        <w:tc>
          <w:tcPr>
            <w:tcW w:type="dxa" w:w="3360"/>
            <w:vAlign w:val="center"/>
          </w:tcPr>
          <w:p>
            <w:r>
              <w:t>LOS, built-up, vegetation/rural, defined obstruction</w:t>
            </w:r>
          </w:p>
        </w:tc>
        <w:tc>
          <w:tcPr>
            <w:tcW w:type="dxa" w:w="3360"/>
            <w:vAlign w:val="center"/>
          </w:tcPr>
          <w:p>
            <w:r>
              <w:t>Same radio configuration and as much geometry as practical</w:t>
            </w:r>
          </w:p>
        </w:tc>
      </w:tr>
      <w:tr>
        <w:tc>
          <w:tcPr>
            <w:tcW w:type="dxa" w:w="3360"/>
            <w:vAlign w:val="center"/>
          </w:tcPr>
          <w:p>
            <w:r>
              <w:t>Transmission interval</w:t>
            </w:r>
          </w:p>
        </w:tc>
        <w:tc>
          <w:tcPr>
            <w:tcW w:type="dxa" w:w="3360"/>
            <w:vAlign w:val="center"/>
          </w:tcPr>
          <w:p>
            <w:r>
              <w:t>Several intervals above the measured airtime / permitted duty constraints</w:t>
            </w:r>
          </w:p>
        </w:tc>
        <w:tc>
          <w:tcPr>
            <w:tcW w:type="dxa" w:w="3360"/>
            <w:vAlign w:val="center"/>
          </w:tcPr>
          <w:p>
            <w:r>
              <w:t>Radio settings, packet length, distance</w:t>
            </w:r>
          </w:p>
        </w:tc>
      </w:tr>
    </w:tbl>
    <w:p/>
    <w:p>
      <w:pPr>
        <w:pStyle w:val="Heading2"/>
      </w:pPr>
      <w:r>
        <w:t>4.2 Recommended procedure for each experiment</w:t>
      </w:r>
    </w:p>
    <w:p>
      <w:pPr>
        <w:pStyle w:val="ListNumber"/>
      </w:pPr>
      <w:r>
        <w:t>Assign a unique experiment_id and trial_id before collecting data.</w:t>
      </w:r>
    </w:p>
    <w:p>
      <w:pPr>
        <w:pStyle w:val="ListNumber"/>
      </w:pPr>
      <w:r>
        <w:t>Record the exact firmware commit/version, PlatformIO environment, library versions, board/module IDs, antenna details and radio configuration.</w:t>
      </w:r>
    </w:p>
    <w:p>
      <w:pPr>
        <w:pStyle w:val="ListNumber"/>
      </w:pPr>
      <w:r>
        <w:t>Verify both nodes use matching modulation settings and frequency, and that the receiver is listening before the transmitter begins.</w:t>
      </w:r>
    </w:p>
    <w:p>
      <w:pPr>
        <w:pStyle w:val="ListNumber"/>
      </w:pPr>
      <w:r>
        <w:t>Allow the equipment to stabilize; document startup/reset behaviour.</w:t>
      </w:r>
    </w:p>
    <w:p>
      <w:pPr>
        <w:pStyle w:val="ListNumber"/>
      </w:pPr>
      <w:r>
        <w:t>Run a short pilot to check logging and packet matching. Do not include pilot data in the final dataset unless it is explicitly labelled as pilot data.</w:t>
      </w:r>
    </w:p>
    <w:p>
      <w:pPr>
        <w:pStyle w:val="ListNumber"/>
      </w:pPr>
      <w:r>
        <w:t>Transmit a predeclared packet count (100–500 is a reasonable starting target, not a universal statistical guarantee); use more repetitions where practical, especially near high-PDR conditions.</w:t>
      </w:r>
    </w:p>
    <w:p>
      <w:pPr>
        <w:pStyle w:val="ListNumber"/>
      </w:pPr>
      <w:r>
        <w:t>Repeat trials. Randomize the order of radio configurations when practical to reduce bias from time-of-day or changing conditions.</w:t>
      </w:r>
    </w:p>
    <w:p>
      <w:pPr>
        <w:pStyle w:val="ListNumber"/>
      </w:pPr>
      <w:r>
        <w:t>Record environmental changes, interference, people/vehicles, weather, movement, and any equipment interruption.</w:t>
      </w:r>
    </w:p>
    <w:p>
      <w:pPr>
        <w:pStyle w:val="ListNumber"/>
      </w:pPr>
      <w:r>
        <w:t>At the end, reconcile transmitter and receiver logs, calculate metrics, and flag invalid/incomplete trials rather than silently deleting them.</w:t>
      </w:r>
    </w:p>
    <w:p>
      <w:pPr>
        <w:pStyle w:val="ListNumber"/>
      </w:pPr>
      <w:r>
        <w:t>Keep raw logs immutable. Create cleaned/aggregated datasets as separate derived files, with scripts and transformation notes.</w:t>
      </w:r>
    </w:p>
    <w:p>
      <w:pPr>
        <w:pStyle w:val="Heading2"/>
      </w:pPr>
      <w:r>
        <w:t>4.3 Trial size and experimental design</w:t>
      </w:r>
    </w:p>
    <w:p>
      <w:r>
        <w:t>A run of 100–500 packets per configuration is a practical initial engineering target. It is not automatically sufficient for a publication-quality conclusion: required sample size depends on expected PDR, variability, desired confidence, and the size of the effect being compared. Use multiple independent trials, not just one long run, and report both packet counts and trial counts. If the number of configurations becomes large, use a staged design: screen settings in a controlled baseline first, then test promising configurations across all environments.</w:t>
      </w:r>
    </w:p>
    <w:p>
      <w:pPr>
        <w:pStyle w:val="Heading2"/>
      </w:pPr>
      <w:r>
        <w:t>4.4 Safety, frequency and legal compliance</w:t>
      </w:r>
    </w:p>
    <w:p>
      <w:r>
        <w:t>Confirm Sri Lankan frequency allocation, permitted power/EIRP, duty-cycle or airtime restrictions, antenna rules, and any licensing requirements before transmitting. Do not infer legal operation from a LoRaWAN regional profile or from a setting that the library accepts. The SX1278 supports sub-GHz operation, but the allowed frequency and conditions depend on the country and deployment. Check current local regulatory material and obtain institutional guidance before outdoor campaigns.</w:t>
      </w:r>
    </w:p>
    <w:p>
      <w:pPr>
        <w:pStyle w:val="Heading1"/>
      </w:pPr>
      <w:r>
        <w:t>5. Phase C — Final application packet-format tests</w:t>
      </w:r>
    </w:p>
    <w:p>
      <w:pPr>
        <w:pStyle w:val="Heading2"/>
      </w:pPr>
      <w:r>
        <w:t>22 — Final Packet TX/RX</w:t>
      </w:r>
    </w:p>
    <w:p>
      <w:r>
        <w:t>Send the agreed final packet structure between nodes. Verify the received bytes and decoded fields against a known test vector.</w:t>
      </w:r>
    </w:p>
    <w:p>
      <w:pPr>
        <w:pStyle w:val="Heading2"/>
      </w:pPr>
      <w:r>
        <w:t>23 — Header and Field Encoding</w:t>
      </w:r>
    </w:p>
    <w:p>
      <w:r>
        <w:t>Verify field order, field widths, signedness, endianness, units/scaling, optional fields, and versioning rules. Test known values and boundary values.</w:t>
      </w:r>
    </w:p>
    <w:p>
      <w:pPr>
        <w:pStyle w:val="Heading2"/>
      </w:pPr>
      <w:r>
        <w:t>24 — Packet Integrity/Corruption Handling</w:t>
      </w:r>
    </w:p>
    <w:p>
      <w:r>
        <w:t>Test the integrity mechanism defined by the application protocol, if any. Verify malformed or invalid packets are rejected safely. Distinguish application-level checks from LoRa radio CRC behaviour.</w:t>
      </w:r>
    </w:p>
    <w:p>
      <w:pPr>
        <w:pStyle w:val="Heading2"/>
      </w:pPr>
      <w:r>
        <w:t>25 — Length and Boundary Handling</w:t>
      </w:r>
    </w:p>
    <w:p>
      <w:r>
        <w:t>Test minimum/maximum supported lengths, truncated input, invalid length fields, unexpected field values, and unsupported version values. Ensure no buffer overrun or invalid parsing occurs.</w:t>
      </w:r>
    </w:p>
    <w:p>
      <w:pPr>
        <w:pStyle w:val="Heading2"/>
      </w:pPr>
      <w:r>
        <w:t>26 — Sustained Final-Packet Transmission</w:t>
      </w:r>
    </w:p>
    <w:p>
      <w:r>
        <w:t>Repeat the final packet under the same controlled radio tests. Measure PDR, timing, RSSI/SNR, errors and receiver stability.</w:t>
      </w:r>
    </w:p>
    <w:p>
      <w:pPr>
        <w:pStyle w:val="Heading2"/>
      </w:pPr>
      <w:r>
        <w:t>27 — Raw vs Final-Format Comparison</w:t>
      </w:r>
    </w:p>
    <w:p>
      <w:r>
        <w:t>Compare raw and final-format traffic with identical radio settings and conditions. Compare at equal total transmitted lengths to isolate radio airtime, and also at equal application-data lengths to quantify header overhead. Document the comparison basis.</w:t>
      </w:r>
    </w:p>
    <w:p>
      <w:pPr>
        <w:pStyle w:val="Heading1"/>
      </w:pPr>
      <w:r>
        <w:t>6. Serial monitor capture and log-file creation</w:t>
      </w:r>
    </w:p>
    <w:p>
      <w:pPr>
        <w:pStyle w:val="Heading2"/>
      </w:pPr>
      <w:r>
        <w:t>6.1 Option A — PlatformIO Device Monitor log2file filter</w:t>
      </w:r>
    </w:p>
    <w:p>
      <w:r>
        <w:t>PlatformIO includes a log2file monitor filter. It records the monitor output to a file in the current working directory (typically named platformio-device-monitor-&lt;timestamp&gt;.log). The official documentation describes the filter and its use.</w:t>
      </w:r>
    </w:p>
    <w:p>
      <w:pPr>
        <w:spacing w:before="60" w:after="140"/>
        <w:ind w:left="259" w:right="259"/>
        <w:shd w:fill="F2F4F7"/>
      </w:pPr>
      <w:r>
        <w:rPr>
          <w:rFonts w:ascii="Consolas" w:hAnsi="Consolas"/>
          <w:sz w:val="16"/>
        </w:rPr>
        <w:t># In the PlatformIO terminal, from the project directory:</w:t>
      </w:r>
      <w:r>
        <w:br/>
      </w:r>
      <w:r>
        <w:rPr>
          <w:rFonts w:ascii="Consolas" w:hAnsi="Consolas"/>
          <w:sz w:val="16"/>
        </w:rPr>
        <w:t>pio device monitor -f default -f time -f log2file</w:t>
      </w:r>
      <w:r>
        <w:br/>
      </w:r>
      <w:r>
        <w:rPr>
          <w:rFonts w:ascii="Consolas" w:hAnsi="Consolas"/>
          <w:sz w:val="16"/>
        </w:rPr>
      </w:r>
      <w:r>
        <w:br/>
      </w:r>
      <w:r>
        <w:rPr>
          <w:rFonts w:ascii="Consolas" w:hAnsi="Consolas"/>
          <w:sz w:val="16"/>
        </w:rPr>
        <w:t># Or configure a specific environment in platformio.ini:</w:t>
      </w:r>
      <w:r>
        <w:br/>
      </w:r>
      <w:r>
        <w:rPr>
          <w:rFonts w:ascii="Consolas" w:hAnsi="Consolas"/>
          <w:sz w:val="16"/>
        </w:rPr>
        <w:t>[env:your_environment_name]</w:t>
      </w:r>
      <w:r>
        <w:br/>
      </w:r>
      <w:r>
        <w:rPr>
          <w:rFonts w:ascii="Consolas" w:hAnsi="Consolas"/>
          <w:sz w:val="16"/>
        </w:rPr>
        <w:t>; keep your existing platform, board, framework, etc.</w:t>
      </w:r>
      <w:r>
        <w:br/>
      </w:r>
      <w:r>
        <w:rPr>
          <w:rFonts w:ascii="Consolas" w:hAnsi="Consolas"/>
          <w:sz w:val="16"/>
        </w:rPr>
        <w:t>monitor_speed = 115200</w:t>
      </w:r>
      <w:r>
        <w:br/>
      </w:r>
      <w:r>
        <w:rPr>
          <w:rFonts w:ascii="Consolas" w:hAnsi="Consolas"/>
          <w:sz w:val="16"/>
        </w:rPr>
        <w:t>monitor_filters = time, log2file, default</w:t>
      </w:r>
    </w:p>
    <w:p>
      <w:r>
        <w:t>Do not copy the example environment header blindly if your project already has several environments. Add monitor_filters to the environment you actually use, preserving its existing configuration. After running the monitor, check the terminal for the generated file path and copy the log into a per-experiment folder. Confirm whether the filter order and timestamp behaviour match your installed PlatformIO version.</w:t>
      </w:r>
    </w:p>
    <w:p>
      <w:pPr>
        <w:pStyle w:val="Heading2"/>
      </w:pPr>
      <w:r>
        <w:t>6.2 Option B — Capture output using PySerial</w:t>
      </w:r>
    </w:p>
    <w:p>
      <w:r>
        <w:t>A Python serial logger is useful when you want a known filename, host-side timestamps, automatic trial folders, or separate raw logs. Install pySerial in the Python environment used for logging:</w:t>
      </w:r>
    </w:p>
    <w:p>
      <w:pPr>
        <w:spacing w:before="60" w:after="140"/>
        <w:ind w:left="259" w:right="259"/>
        <w:shd w:fill="F2F4F7"/>
      </w:pPr>
      <w:r>
        <w:rPr>
          <w:rFonts w:ascii="Consolas" w:hAnsi="Consolas"/>
          <w:sz w:val="16"/>
        </w:rPr>
        <w:t>python -m pip install pyserial</w:t>
      </w:r>
      <w:r>
        <w:br/>
      </w:r>
      <w:r>
        <w:rPr>
          <w:rFonts w:ascii="Consolas" w:hAnsi="Consolas"/>
          <w:sz w:val="16"/>
        </w:rPr>
        <w:t>python -m serial.tools.list_ports</w:t>
      </w:r>
    </w:p>
    <w:p>
      <w:r>
        <w:t>Example Windows command (replace COM5 and the baud rate as required):</w:t>
      </w:r>
    </w:p>
    <w:p>
      <w:pPr>
        <w:spacing w:before="60" w:after="140"/>
        <w:ind w:left="259" w:right="259"/>
        <w:shd w:fill="F2F4F7"/>
      </w:pPr>
      <w:r>
        <w:rPr>
          <w:rFonts w:ascii="Consolas" w:hAnsi="Consolas"/>
          <w:sz w:val="16"/>
        </w:rPr>
        <w:t>python -m serial.tools.miniterm COM5 115200 --quiet 2&gt;nul | tee serial_log.txt</w:t>
      </w:r>
    </w:p>
    <w:p>
      <w:r>
        <w:t>The tee command is available in common Unix shells and some Windows environments, but is not guaranteed in a standard Windows Command Prompt. For Windows PowerShell, use a Python logger or redirect output with a suitable shell command. Avoid opening the same COM port in both PlatformIO Monitor and another serial tool at the same time.</w:t>
      </w:r>
    </w:p>
    <w:p>
      <w:pPr>
        <w:pStyle w:val="Heading2"/>
      </w:pPr>
      <w:r>
        <w:t>6.3 Recommended: purpose-built timestamped serial logger</w:t>
      </w:r>
    </w:p>
    <w:p>
      <w:r>
        <w:t>For formal experiments, a small PySerial script is preferable because it can save each received serial line with a host timestamp and a stable experiment filename. The host timestamp records when the computer read the line, not necessarily the exact RF transmission time. Include device-generated timestamps or microsecond counters where useful, and document clock synchronization.</w:t>
      </w:r>
    </w:p>
    <w:p>
      <w:pPr>
        <w:spacing w:before="60" w:after="140"/>
        <w:ind w:left="259" w:right="259"/>
        <w:shd w:fill="F2F4F7"/>
      </w:pPr>
      <w:r>
        <w:rPr>
          <w:rFonts w:ascii="Consolas" w:hAnsi="Consolas"/>
          <w:sz w:val="16"/>
        </w:rPr>
        <w:t># save as tools/serial_logger.py</w:t>
      </w:r>
      <w:r>
        <w:br/>
      </w:r>
      <w:r>
        <w:rPr>
          <w:rFonts w:ascii="Consolas" w:hAnsi="Consolas"/>
          <w:sz w:val="16"/>
        </w:rPr>
        <w:t># Usage: python tools/serial_logger.py --port COM5 --baud 115200 --out logs/trial_001_receiver.log</w:t>
      </w:r>
      <w:r>
        <w:br/>
      </w:r>
      <w:r>
        <w:rPr>
          <w:rFonts w:ascii="Consolas" w:hAnsi="Consolas"/>
          <w:sz w:val="16"/>
        </w:rPr>
      </w:r>
      <w:r>
        <w:br/>
      </w:r>
      <w:r>
        <w:rPr>
          <w:rFonts w:ascii="Consolas" w:hAnsi="Consolas"/>
          <w:sz w:val="16"/>
        </w:rPr>
        <w:t>import argparse</w:t>
      </w:r>
      <w:r>
        <w:br/>
      </w:r>
      <w:r>
        <w:rPr>
          <w:rFonts w:ascii="Consolas" w:hAnsi="Consolas"/>
          <w:sz w:val="16"/>
        </w:rPr>
        <w:t>import datetime as dt</w:t>
      </w:r>
      <w:r>
        <w:br/>
      </w:r>
      <w:r>
        <w:rPr>
          <w:rFonts w:ascii="Consolas" w:hAnsi="Consolas"/>
          <w:sz w:val="16"/>
        </w:rPr>
        <w:t>from pathlib import Path</w:t>
      </w:r>
      <w:r>
        <w:br/>
      </w:r>
      <w:r>
        <w:rPr>
          <w:rFonts w:ascii="Consolas" w:hAnsi="Consolas"/>
          <w:sz w:val="16"/>
        </w:rPr>
        <w:t>import serial</w:t>
      </w:r>
      <w:r>
        <w:br/>
      </w:r>
      <w:r>
        <w:rPr>
          <w:rFonts w:ascii="Consolas" w:hAnsi="Consolas"/>
          <w:sz w:val="16"/>
        </w:rPr>
      </w:r>
      <w:r>
        <w:br/>
      </w:r>
      <w:r>
        <w:rPr>
          <w:rFonts w:ascii="Consolas" w:hAnsi="Consolas"/>
          <w:sz w:val="16"/>
        </w:rPr>
        <w:t>parser = argparse.ArgumentParser()</w:t>
      </w:r>
      <w:r>
        <w:br/>
      </w:r>
      <w:r>
        <w:rPr>
          <w:rFonts w:ascii="Consolas" w:hAnsi="Consolas"/>
          <w:sz w:val="16"/>
        </w:rPr>
        <w:t>parser.add_argument("--port", required=True, help="e.g. COM5 or /dev/ttyUSB0")</w:t>
      </w:r>
      <w:r>
        <w:br/>
      </w:r>
      <w:r>
        <w:rPr>
          <w:rFonts w:ascii="Consolas" w:hAnsi="Consolas"/>
          <w:sz w:val="16"/>
        </w:rPr>
        <w:t>parser.add_argument("--baud", type=int, default=115200)</w:t>
      </w:r>
      <w:r>
        <w:br/>
      </w:r>
      <w:r>
        <w:rPr>
          <w:rFonts w:ascii="Consolas" w:hAnsi="Consolas"/>
          <w:sz w:val="16"/>
        </w:rPr>
        <w:t>parser.add_argument("--out", required=True)</w:t>
      </w:r>
      <w:r>
        <w:br/>
      </w:r>
      <w:r>
        <w:rPr>
          <w:rFonts w:ascii="Consolas" w:hAnsi="Consolas"/>
          <w:sz w:val="16"/>
        </w:rPr>
        <w:t>args = parser.parse_args()</w:t>
      </w:r>
      <w:r>
        <w:br/>
      </w:r>
      <w:r>
        <w:rPr>
          <w:rFonts w:ascii="Consolas" w:hAnsi="Consolas"/>
          <w:sz w:val="16"/>
        </w:rPr>
      </w:r>
      <w:r>
        <w:br/>
      </w:r>
      <w:r>
        <w:rPr>
          <w:rFonts w:ascii="Consolas" w:hAnsi="Consolas"/>
          <w:sz w:val="16"/>
        </w:rPr>
        <w:t>out_path = Path(args.out)</w:t>
      </w:r>
      <w:r>
        <w:br/>
      </w:r>
      <w:r>
        <w:rPr>
          <w:rFonts w:ascii="Consolas" w:hAnsi="Consolas"/>
          <w:sz w:val="16"/>
        </w:rPr>
        <w:t>out_path.parent.mkdir(parents=True, exist_ok=True)</w:t>
      </w:r>
      <w:r>
        <w:br/>
      </w:r>
      <w:r>
        <w:rPr>
          <w:rFonts w:ascii="Consolas" w:hAnsi="Consolas"/>
          <w:sz w:val="16"/>
        </w:rPr>
      </w:r>
      <w:r>
        <w:br/>
      </w:r>
      <w:r>
        <w:rPr>
          <w:rFonts w:ascii="Consolas" w:hAnsi="Consolas"/>
          <w:sz w:val="16"/>
        </w:rPr>
        <w:t>with serial.Serial(args.port, args.baud, timeout=1) as ser, out_path.open(</w:t>
      </w:r>
      <w:r>
        <w:br/>
      </w:r>
      <w:r>
        <w:rPr>
          <w:rFonts w:ascii="Consolas" w:hAnsi="Consolas"/>
          <w:sz w:val="16"/>
        </w:rPr>
        <w:t xml:space="preserve">    "a", encoding="utf-8", buffering=1</w:t>
      </w:r>
      <w:r>
        <w:br/>
      </w:r>
      <w:r>
        <w:rPr>
          <w:rFonts w:ascii="Consolas" w:hAnsi="Consolas"/>
          <w:sz w:val="16"/>
        </w:rPr>
        <w:t>) as log:</w:t>
      </w:r>
      <w:r>
        <w:br/>
      </w:r>
      <w:r>
        <w:rPr>
          <w:rFonts w:ascii="Consolas" w:hAnsi="Consolas"/>
          <w:sz w:val="16"/>
        </w:rPr>
        <w:t xml:space="preserve">    print(f"Logging {args.port} at {args.baud} baud to {out_path}")</w:t>
      </w:r>
      <w:r>
        <w:br/>
      </w:r>
      <w:r>
        <w:rPr>
          <w:rFonts w:ascii="Consolas" w:hAnsi="Consolas"/>
          <w:sz w:val="16"/>
        </w:rPr>
        <w:t xml:space="preserve">    try:</w:t>
      </w:r>
      <w:r>
        <w:br/>
      </w:r>
      <w:r>
        <w:rPr>
          <w:rFonts w:ascii="Consolas" w:hAnsi="Consolas"/>
          <w:sz w:val="16"/>
        </w:rPr>
        <w:t xml:space="preserve">        while True:</w:t>
      </w:r>
      <w:r>
        <w:br/>
      </w:r>
      <w:r>
        <w:rPr>
          <w:rFonts w:ascii="Consolas" w:hAnsi="Consolas"/>
          <w:sz w:val="16"/>
        </w:rPr>
        <w:t xml:space="preserve">            raw = ser.readline()</w:t>
      </w:r>
      <w:r>
        <w:br/>
      </w:r>
      <w:r>
        <w:rPr>
          <w:rFonts w:ascii="Consolas" w:hAnsi="Consolas"/>
          <w:sz w:val="16"/>
        </w:rPr>
        <w:t xml:space="preserve">            if not raw:</w:t>
      </w:r>
      <w:r>
        <w:br/>
      </w:r>
      <w:r>
        <w:rPr>
          <w:rFonts w:ascii="Consolas" w:hAnsi="Consolas"/>
          <w:sz w:val="16"/>
        </w:rPr>
        <w:t xml:space="preserve">                continue</w:t>
      </w:r>
      <w:r>
        <w:br/>
      </w:r>
      <w:r>
        <w:rPr>
          <w:rFonts w:ascii="Consolas" w:hAnsi="Consolas"/>
          <w:sz w:val="16"/>
        </w:rPr>
        <w:t xml:space="preserve">            host_time = dt.datetime.now(dt.timezone.utc).isoformat(timespec="milliseconds")</w:t>
      </w:r>
      <w:r>
        <w:br/>
      </w:r>
      <w:r>
        <w:rPr>
          <w:rFonts w:ascii="Consolas" w:hAnsi="Consolas"/>
          <w:sz w:val="16"/>
        </w:rPr>
        <w:t xml:space="preserve">            decoded = raw.decode("utf-8", errors="replace").rstrip("\r\n")</w:t>
      </w:r>
      <w:r>
        <w:br/>
      </w:r>
      <w:r>
        <w:rPr>
          <w:rFonts w:ascii="Consolas" w:hAnsi="Consolas"/>
          <w:sz w:val="16"/>
        </w:rPr>
        <w:t xml:space="preserve">            line = f"{host_time}\t{decoded}"</w:t>
      </w:r>
      <w:r>
        <w:br/>
      </w:r>
      <w:r>
        <w:rPr>
          <w:rFonts w:ascii="Consolas" w:hAnsi="Consolas"/>
          <w:sz w:val="16"/>
        </w:rPr>
        <w:t xml:space="preserve">            print(line)</w:t>
      </w:r>
      <w:r>
        <w:br/>
      </w:r>
      <w:r>
        <w:rPr>
          <w:rFonts w:ascii="Consolas" w:hAnsi="Consolas"/>
          <w:sz w:val="16"/>
        </w:rPr>
        <w:t xml:space="preserve">            log.write(line + "\n")</w:t>
      </w:r>
      <w:r>
        <w:br/>
      </w:r>
      <w:r>
        <w:rPr>
          <w:rFonts w:ascii="Consolas" w:hAnsi="Consolas"/>
          <w:sz w:val="16"/>
        </w:rPr>
        <w:t xml:space="preserve">    except KeyboardInterrupt:</w:t>
      </w:r>
      <w:r>
        <w:br/>
      </w:r>
      <w:r>
        <w:rPr>
          <w:rFonts w:ascii="Consolas" w:hAnsi="Consolas"/>
          <w:sz w:val="16"/>
        </w:rPr>
        <w:t xml:space="preserve">        print("\nLogging stopped.")</w:t>
      </w:r>
    </w:p>
    <w:p>
      <w:r>
        <w:t>This example records text lines. If firmware prints binary data or does not terminate lines, use a byte-oriented logger and store raw bytes separately. Keep the original raw log unchanged; parse it into CSV using a separate script.</w:t>
      </w:r>
    </w:p>
    <w:p>
      <w:pPr>
        <w:pStyle w:val="Heading2"/>
      </w:pPr>
      <w:r>
        <w:t>6.4 Firmware serial output design</w:t>
      </w:r>
    </w:p>
    <w:p>
      <w:r>
        <w:t>Use consistent machine-readable records. Keep human-readable status messages if useful, but do not rely on them as the only data source. A simple CSV-like line format is easier to parse than variable prose. For example, one transmitter line per attempted packet and one receiver line per received packet:</w:t>
      </w:r>
    </w:p>
    <w:p>
      <w:pPr>
        <w:spacing w:before="60" w:after="140"/>
        <w:ind w:left="259" w:right="259"/>
        <w:shd w:fill="F2F4F7"/>
      </w:pPr>
      <w:r>
        <w:rPr>
          <w:rFonts w:ascii="Consolas" w:hAnsi="Consolas"/>
          <w:sz w:val="16"/>
        </w:rPr>
        <w:t># Transmitter-side example</w:t>
      </w:r>
      <w:r>
        <w:br/>
      </w:r>
      <w:r>
        <w:rPr>
          <w:rFonts w:ascii="Consolas" w:hAnsi="Consolas"/>
          <w:sz w:val="16"/>
        </w:rPr>
        <w:t>TX,2026-10-09T12:00:00.123Z,EXP004,TRIAL02,NODE_A,seq=000123,len=32,tx_ok=1</w:t>
      </w:r>
      <w:r>
        <w:br/>
      </w:r>
      <w:r>
        <w:rPr>
          <w:rFonts w:ascii="Consolas" w:hAnsi="Consolas"/>
          <w:sz w:val="16"/>
        </w:rPr>
      </w:r>
      <w:r>
        <w:br/>
      </w:r>
      <w:r>
        <w:rPr>
          <w:rFonts w:ascii="Consolas" w:hAnsi="Consolas"/>
          <w:sz w:val="16"/>
        </w:rPr>
        <w:t># Receiver-side example</w:t>
      </w:r>
      <w:r>
        <w:br/>
      </w:r>
      <w:r>
        <w:rPr>
          <w:rFonts w:ascii="Consolas" w:hAnsi="Consolas"/>
          <w:sz w:val="16"/>
        </w:rPr>
        <w:t>RX,2026-10-09T12:00:00.181Z,EXP004,TRIAL02,NODE_B,seq=000123,len=32,rssi=-91,snr=7.25,integrity=PASS</w:t>
      </w:r>
      <w:r>
        <w:br/>
      </w:r>
      <w:r>
        <w:rPr>
          <w:rFonts w:ascii="Consolas" w:hAnsi="Consolas"/>
          <w:sz w:val="16"/>
        </w:rPr>
      </w:r>
      <w:r>
        <w:br/>
      </w:r>
      <w:r>
        <w:rPr>
          <w:rFonts w:ascii="Consolas" w:hAnsi="Consolas"/>
          <w:sz w:val="16"/>
        </w:rPr>
        <w:t># Health/status example</w:t>
      </w:r>
      <w:r>
        <w:br/>
      </w:r>
      <w:r>
        <w:rPr>
          <w:rFonts w:ascii="Consolas" w:hAnsi="Consolas"/>
          <w:sz w:val="16"/>
        </w:rPr>
        <w:t>STATUS,2026-10-09T12:00:05.000Z,NODE_B,uptime_ms=300000,reset_reason=POWERON</w:t>
      </w:r>
    </w:p>
    <w:p>
      <w:r>
        <w:t>The example is illustrative; define a formal schema and escape commas or use JSON Lines if payload text can contain delimiters. For best data quality, have the transmitter log every attempt with a sequence number and the receiver log every successfully decoded packet with the same sequence number.</w:t>
      </w:r>
    </w:p>
    <w:p>
      <w:pPr>
        <w:pStyle w:val="Heading1"/>
      </w:pPr>
      <w:r>
        <w:t>7. Building a comprehensive dataset</w:t>
      </w:r>
    </w:p>
    <w:p>
      <w:pPr>
        <w:pStyle w:val="Heading2"/>
      </w:pPr>
      <w:r>
        <w:t>7.1 Recommended folder layout</w:t>
      </w:r>
    </w:p>
    <w:p>
      <w:pPr>
        <w:spacing w:before="60" w:after="140"/>
        <w:ind w:left="259" w:right="259"/>
        <w:shd w:fill="F2F4F7"/>
      </w:pPr>
      <w:r>
        <w:rPr>
          <w:rFonts w:ascii="Consolas" w:hAnsi="Consolas"/>
          <w:sz w:val="16"/>
        </w:rPr>
        <w:t>data/</w:t>
      </w:r>
      <w:r>
        <w:br/>
      </w:r>
      <w:r>
        <w:rPr>
          <w:rFonts w:ascii="Consolas" w:hAnsi="Consolas"/>
          <w:sz w:val="16"/>
        </w:rPr>
        <w:t>├── raw/</w:t>
      </w:r>
      <w:r>
        <w:br/>
      </w:r>
      <w:r>
        <w:rPr>
          <w:rFonts w:ascii="Consolas" w:hAnsi="Consolas"/>
          <w:sz w:val="16"/>
        </w:rPr>
        <w:t>│   └── 2026-10-09_EXP004_TRIAL02/</w:t>
      </w:r>
      <w:r>
        <w:br/>
      </w:r>
      <w:r>
        <w:rPr>
          <w:rFonts w:ascii="Consolas" w:hAnsi="Consolas"/>
          <w:sz w:val="16"/>
        </w:rPr>
        <w:t>│       ├── transmitter_serial.log</w:t>
      </w:r>
      <w:r>
        <w:br/>
      </w:r>
      <w:r>
        <w:rPr>
          <w:rFonts w:ascii="Consolas" w:hAnsi="Consolas"/>
          <w:sz w:val="16"/>
        </w:rPr>
        <w:t>│       ├── receiver_serial.log</w:t>
      </w:r>
      <w:r>
        <w:br/>
      </w:r>
      <w:r>
        <w:rPr>
          <w:rFonts w:ascii="Consolas" w:hAnsi="Consolas"/>
          <w:sz w:val="16"/>
        </w:rPr>
        <w:t>│       ├── experiment_metadata.json</w:t>
      </w:r>
      <w:r>
        <w:br/>
      </w:r>
      <w:r>
        <w:rPr>
          <w:rFonts w:ascii="Consolas" w:hAnsi="Consolas"/>
          <w:sz w:val="16"/>
        </w:rPr>
        <w:t>│       └── field_notes.txt</w:t>
      </w:r>
      <w:r>
        <w:br/>
      </w:r>
      <w:r>
        <w:rPr>
          <w:rFonts w:ascii="Consolas" w:hAnsi="Consolas"/>
          <w:sz w:val="16"/>
        </w:rPr>
        <w:t>├── processed/</w:t>
      </w:r>
      <w:r>
        <w:br/>
      </w:r>
      <w:r>
        <w:rPr>
          <w:rFonts w:ascii="Consolas" w:hAnsi="Consolas"/>
          <w:sz w:val="16"/>
        </w:rPr>
        <w:t>│   ├── packet_level.csv</w:t>
      </w:r>
      <w:r>
        <w:br/>
      </w:r>
      <w:r>
        <w:rPr>
          <w:rFonts w:ascii="Consolas" w:hAnsi="Consolas"/>
          <w:sz w:val="16"/>
        </w:rPr>
        <w:t>│   ├── trial_summary.csv</w:t>
      </w:r>
      <w:r>
        <w:br/>
      </w:r>
      <w:r>
        <w:rPr>
          <w:rFonts w:ascii="Consolas" w:hAnsi="Consolas"/>
          <w:sz w:val="16"/>
        </w:rPr>
        <w:t>│   └── quality_flags.csv</w:t>
      </w:r>
      <w:r>
        <w:br/>
      </w:r>
      <w:r>
        <w:rPr>
          <w:rFonts w:ascii="Consolas" w:hAnsi="Consolas"/>
          <w:sz w:val="16"/>
        </w:rPr>
        <w:t>├── analysis/</w:t>
      </w:r>
      <w:r>
        <w:br/>
      </w:r>
      <w:r>
        <w:rPr>
          <w:rFonts w:ascii="Consolas" w:hAnsi="Consolas"/>
          <w:sz w:val="16"/>
        </w:rPr>
        <w:t>│   ├── notebooks/</w:t>
      </w:r>
      <w:r>
        <w:br/>
      </w:r>
      <w:r>
        <w:rPr>
          <w:rFonts w:ascii="Consolas" w:hAnsi="Consolas"/>
          <w:sz w:val="16"/>
        </w:rPr>
        <w:t>│   ├── scripts/</w:t>
      </w:r>
      <w:r>
        <w:br/>
      </w:r>
      <w:r>
        <w:rPr>
          <w:rFonts w:ascii="Consolas" w:hAnsi="Consolas"/>
          <w:sz w:val="16"/>
        </w:rPr>
        <w:t>│   └── figures/</w:t>
      </w:r>
      <w:r>
        <w:br/>
      </w:r>
      <w:r>
        <w:rPr>
          <w:rFonts w:ascii="Consolas" w:hAnsi="Consolas"/>
          <w:sz w:val="16"/>
        </w:rPr>
        <w:t>└── README.md</w:t>
      </w:r>
    </w:p>
    <w:p>
      <w:r>
        <w:t>Store raw logs separately from processed outputs. Use a unique experiment/trial identifier in filenames and inside every record. Keep a copy of the firmware commit hash and configuration used for each run.</w:t>
      </w:r>
    </w:p>
    <w:p>
      <w:pPr>
        <w:pStyle w:val="Heading2"/>
      </w:pPr>
      <w:r>
        <w:t>7.2 Packet-level dataset fields</w:t>
      </w:r>
    </w:p>
    <w:tbl>
      <w:tblPr>
        <w:tblStyle w:val="LightShading-Accent1"/>
        <w:tblW w:type="auto" w:w="0"/>
        <w:jc w:val="center"/>
        <w:tblLook w:firstColumn="1" w:firstRow="1" w:lastColumn="0" w:lastRow="0" w:noHBand="0" w:noVBand="1" w:val="04A0"/>
      </w:tblPr>
      <w:tblGrid>
        <w:gridCol w:w="5040"/>
        <w:gridCol w:w="5040"/>
      </w:tblGrid>
      <w:tr>
        <w:tc>
          <w:tcPr>
            <w:tcW w:type="dxa" w:w="5040"/>
            <w:vAlign w:val="center"/>
          </w:tcPr>
          <w:p>
            <w:r>
              <w:rPr>
                <w:b/>
              </w:rPr>
              <w:t>Group</w:t>
            </w:r>
          </w:p>
        </w:tc>
        <w:tc>
          <w:tcPr>
            <w:tcW w:type="dxa" w:w="5040"/>
            <w:vAlign w:val="center"/>
          </w:tcPr>
          <w:p>
            <w:r>
              <w:rPr>
                <w:b/>
              </w:rPr>
              <w:t>Recommended fields</w:t>
            </w:r>
          </w:p>
        </w:tc>
      </w:tr>
      <w:tr>
        <w:tc>
          <w:tcPr>
            <w:tcW w:type="dxa" w:w="5040"/>
            <w:vAlign w:val="center"/>
          </w:tcPr>
          <w:p>
            <w:r>
              <w:t>IDs</w:t>
            </w:r>
          </w:p>
        </w:tc>
        <w:tc>
          <w:tcPr>
            <w:tcW w:type="dxa" w:w="5040"/>
            <w:vAlign w:val="center"/>
          </w:tcPr>
          <w:p>
            <w:r>
              <w:t>experiment_id, trial_id, packet_seq, transmitter_id, receiver_id, test_case_id</w:t>
            </w:r>
          </w:p>
        </w:tc>
      </w:tr>
      <w:tr>
        <w:tc>
          <w:tcPr>
            <w:tcW w:type="dxa" w:w="5040"/>
            <w:vAlign w:val="center"/>
          </w:tcPr>
          <w:p>
            <w:r>
              <w:t>Time</w:t>
            </w:r>
          </w:p>
        </w:tc>
        <w:tc>
          <w:tcPr>
            <w:tcW w:type="dxa" w:w="5040"/>
            <w:vAlign w:val="center"/>
          </w:tcPr>
          <w:p>
            <w:r>
              <w:t>tx_host_time_utc, tx_device_time, rx_host_time_utc, rx_device_time, timestamp_source</w:t>
            </w:r>
          </w:p>
        </w:tc>
      </w:tr>
      <w:tr>
        <w:tc>
          <w:tcPr>
            <w:tcW w:type="dxa" w:w="5040"/>
            <w:vAlign w:val="center"/>
          </w:tcPr>
          <w:p>
            <w:r>
              <w:t>Radio settings</w:t>
            </w:r>
          </w:p>
        </w:tc>
        <w:tc>
          <w:tcPr>
            <w:tcW w:type="dxa" w:w="5040"/>
            <w:vAlign w:val="center"/>
          </w:tcPr>
          <w:p>
            <w:r>
              <w:t>frequency_hz, spreading_factor, bandwidth_hz, coding_rate, tx_power_setting_dbm, preamble_length, crc_setting</w:t>
            </w:r>
          </w:p>
        </w:tc>
      </w:tr>
      <w:tr>
        <w:tc>
          <w:tcPr>
            <w:tcW w:type="dxa" w:w="5040"/>
            <w:vAlign w:val="center"/>
          </w:tcPr>
          <w:p>
            <w:r>
              <w:t>Payload</w:t>
            </w:r>
          </w:p>
        </w:tc>
        <w:tc>
          <w:tcPr>
            <w:tcW w:type="dxa" w:w="5040"/>
            <w:vAlign w:val="center"/>
          </w:tcPr>
          <w:p>
            <w:r>
              <w:t>packet_format (raw/final), payload_length_bytes, payload_pattern, application_payload_length_bytes</w:t>
            </w:r>
          </w:p>
        </w:tc>
      </w:tr>
      <w:tr>
        <w:tc>
          <w:tcPr>
            <w:tcW w:type="dxa" w:w="5040"/>
            <w:vAlign w:val="center"/>
          </w:tcPr>
          <w:p>
            <w:r>
              <w:t>Geometry</w:t>
            </w:r>
          </w:p>
        </w:tc>
        <w:tc>
          <w:tcPr>
            <w:tcW w:type="dxa" w:w="5040"/>
            <w:vAlign w:val="center"/>
          </w:tcPr>
          <w:p>
            <w:r>
              <w:t>distance_m, tx_lat, tx_lon, rx_lat, rx_lon, tx_height_m, rx_height_m, antenna_type, antenna_gain_dbi, orientation</w:t>
            </w:r>
          </w:p>
        </w:tc>
      </w:tr>
      <w:tr>
        <w:tc>
          <w:tcPr>
            <w:tcW w:type="dxa" w:w="5040"/>
            <w:vAlign w:val="center"/>
          </w:tcPr>
          <w:p>
            <w:r>
              <w:t>Environment</w:t>
            </w:r>
          </w:p>
        </w:tc>
        <w:tc>
          <w:tcPr>
            <w:tcW w:type="dxa" w:w="5040"/>
            <w:vAlign w:val="center"/>
          </w:tcPr>
          <w:p>
            <w:r>
              <w:t>environment_class, LOS_NLOS, obstruction_notes, weather, temperature_c, humidity_pct, movement_state, speed_mps</w:t>
            </w:r>
          </w:p>
        </w:tc>
      </w:tr>
      <w:tr>
        <w:tc>
          <w:tcPr>
            <w:tcW w:type="dxa" w:w="5040"/>
            <w:vAlign w:val="center"/>
          </w:tcPr>
          <w:p>
            <w:r>
              <w:t>TX record</w:t>
            </w:r>
          </w:p>
        </w:tc>
        <w:tc>
          <w:tcPr>
            <w:tcW w:type="dxa" w:w="5040"/>
            <w:vAlign w:val="center"/>
          </w:tcPr>
          <w:p>
            <w:r>
              <w:t>tx_attempted, tx_api_success, tx_start_time, tx_complete_time, tx_error_code</w:t>
            </w:r>
          </w:p>
        </w:tc>
      </w:tr>
      <w:tr>
        <w:tc>
          <w:tcPr>
            <w:tcW w:type="dxa" w:w="5040"/>
            <w:vAlign w:val="center"/>
          </w:tcPr>
          <w:p>
            <w:r>
              <w:t>RX record</w:t>
            </w:r>
          </w:p>
        </w:tc>
        <w:tc>
          <w:tcPr>
            <w:tcW w:type="dxa" w:w="5040"/>
            <w:vAlign w:val="center"/>
          </w:tcPr>
          <w:p>
            <w:r>
              <w:t>rx_received, rx_length_bytes, rx_integrity_result, rssi_dbm, snr_db, rx_error_code</w:t>
            </w:r>
          </w:p>
        </w:tc>
      </w:tr>
      <w:tr>
        <w:tc>
          <w:tcPr>
            <w:tcW w:type="dxa" w:w="5040"/>
            <w:vAlign w:val="center"/>
          </w:tcPr>
          <w:p>
            <w:r>
              <w:t>Derived outcomes</w:t>
            </w:r>
          </w:p>
        </w:tc>
        <w:tc>
          <w:tcPr>
            <w:tcW w:type="dxa" w:w="5040"/>
            <w:vAlign w:val="center"/>
          </w:tcPr>
          <w:p>
            <w:r>
              <w:t>packet_delivered, packet_lost, duplicate, out_of_order, payload_match, latency_ms</w:t>
            </w:r>
          </w:p>
        </w:tc>
      </w:tr>
      <w:tr>
        <w:tc>
          <w:tcPr>
            <w:tcW w:type="dxa" w:w="5040"/>
            <w:vAlign w:val="center"/>
          </w:tcPr>
          <w:p>
            <w:r>
              <w:t>Provenance</w:t>
            </w:r>
          </w:p>
        </w:tc>
        <w:tc>
          <w:tcPr>
            <w:tcW w:type="dxa" w:w="5040"/>
            <w:vAlign w:val="center"/>
          </w:tcPr>
          <w:p>
            <w:r>
              <w:t>firmware_commit, build_environment, library_versions, operator_notes, data_quality_flag</w:t>
            </w:r>
          </w:p>
        </w:tc>
      </w:tr>
    </w:tbl>
    <w:p/>
    <w:p>
      <w:r>
        <w:t>Not every field will be available in every trial. Use blank/NA for unknown values, never a fabricated zero. For example, RSSI/SNR do not exist for a packet that was never received; zero should only be used if it has a documented meaning in that data source.</w:t>
      </w:r>
    </w:p>
    <w:p>
      <w:pPr>
        <w:pStyle w:val="Heading2"/>
      </w:pPr>
      <w:r>
        <w:t>7.3 Packet-level row design and loss accounting</w:t>
      </w:r>
    </w:p>
    <w:p>
      <w:r>
        <w:t>A robust dataset should contain one row per transmitter attempt, then join any matching receiver event by (experiment_id, trial_id, packet_seq). This preserves lost packets. If you create rows only from receiver logs, lost packets disappear from the dataset and PDR will be biased upward. If the receiver can receive duplicates, retain them and flag them rather than silently removing them.</w:t>
      </w:r>
    </w:p>
    <w:p>
      <w:pPr>
        <w:pStyle w:val="Heading2"/>
      </w:pPr>
      <w:r>
        <w:t>7.4 CSV schema example</w:t>
      </w:r>
    </w:p>
    <w:p>
      <w:pPr>
        <w:spacing w:before="60" w:after="140"/>
        <w:ind w:left="259" w:right="259"/>
        <w:shd w:fill="F2F4F7"/>
      </w:pPr>
      <w:r>
        <w:rPr>
          <w:rFonts w:ascii="Consolas" w:hAnsi="Consolas"/>
          <w:sz w:val="16"/>
        </w:rPr>
        <w:t>experiment_id,trial_id,packet_seq,tx_time_utc,rx_time_utc,tx_attempted,tx_api_success,rx_received,payload_len_bytes,frequency_hz,sf,bw_hz,coding_rate,tx_power_dbm,distance_m,environment,rssi_dbm,snr_db,payload_match</w:t>
      </w:r>
      <w:r>
        <w:br/>
      </w:r>
      <w:r>
        <w:rPr>
          <w:rFonts w:ascii="Consolas" w:hAnsi="Consolas"/>
          <w:sz w:val="16"/>
        </w:rPr>
        <w:t>EXP004,TRIAL02,123,2026-10-09T12:00:00.123Z,2026-10-09T12:00:00.181Z,1,1,1,32,433000000,7,125000,4/5,14,100,LOS,-91,7.25,1</w:t>
      </w:r>
      <w:r>
        <w:br/>
      </w:r>
      <w:r>
        <w:rPr>
          <w:rFonts w:ascii="Consolas" w:hAnsi="Consolas"/>
          <w:sz w:val="16"/>
        </w:rPr>
        <w:t>EXP004,TRIAL02,124,2026-10-09T12:00:01.123Z,,1,1,0,32,433000000,7,125000,4/5,14,100,LOS,,,0</w:t>
      </w:r>
    </w:p>
    <w:p>
      <w:r>
        <w:t>The numbers above are illustrative examples only, not measurements from the AutoLink hardware.</w:t>
      </w:r>
    </w:p>
    <w:p>
      <w:pPr>
        <w:pStyle w:val="Heading2"/>
      </w:pPr>
      <w:r>
        <w:t>7.5 Metrics and formulas</w:t>
      </w:r>
    </w:p>
    <w:p>
      <w:r>
        <w:t>PDR (%) = 100 × unique valid packets received / packets attempted by the transmitter.</w:t>
      </w:r>
    </w:p>
    <w:p>
      <w:r>
        <w:t>Packet loss rate (%) = 100 − PDR, provided the numerator and denominator use the same defined packet set.</w:t>
      </w:r>
    </w:p>
    <w:p>
      <w:r>
        <w:t>Mean RSSI/SNR should be calculated over received packets only; report sample count and distribution/standard deviation.</w:t>
      </w:r>
    </w:p>
    <w:p>
      <w:r>
        <w:t>Latency = receive timestamp − transmit timestamp only when the clocks are synchronized and timestamp semantics are known. Otherwise use a controlled round-trip test or report host-observed delay with its limitations.</w:t>
      </w:r>
    </w:p>
    <w:p>
      <w:r>
        <w:t>Airtime should ideally be computed from the exact LoRa modulation settings and packet length or measured with a validated method. The time spent inside a software TX call may include driver overhead and is not necessarily pure RF airtime.</w:t>
      </w:r>
    </w:p>
    <w:p>
      <w:pPr>
        <w:pStyle w:val="Heading2"/>
      </w:pPr>
      <w:r>
        <w:t>7.6 Data quality and reproducibility checks</w:t>
      </w:r>
    </w:p>
    <w:p>
      <w:pPr>
        <w:pStyle w:val="ListBullet"/>
      </w:pPr>
      <w:r>
        <w:t>Verify that sequence numbers are unique within a trial and wraparound is handled.</w:t>
      </w:r>
    </w:p>
    <w:p>
      <w:pPr>
        <w:pStyle w:val="ListBullet"/>
      </w:pPr>
      <w:r>
        <w:t>Compare transmitter attempt counts, receiver unique packet counts, duplicate counts, and receiver uptime.</w:t>
      </w:r>
    </w:p>
    <w:p>
      <w:pPr>
        <w:pStyle w:val="ListBullet"/>
      </w:pPr>
      <w:r>
        <w:t>Mark trials with resets, disconnected serial links, configuration mismatch, or uncertain geometry.</w:t>
      </w:r>
    </w:p>
    <w:p>
      <w:pPr>
        <w:pStyle w:val="ListBullet"/>
      </w:pPr>
      <w:r>
        <w:t>Do not silently delete outliers. Investigate them and document exclusion rules before analysis.</w:t>
      </w:r>
    </w:p>
    <w:p>
      <w:pPr>
        <w:pStyle w:val="ListBullet"/>
      </w:pPr>
      <w:r>
        <w:t>Use a consistent unit system: Hz, bytes, metres, dBm, dB, milliseconds, UTC timestamps.</w:t>
      </w:r>
    </w:p>
    <w:p>
      <w:pPr>
        <w:pStyle w:val="ListBullet"/>
      </w:pPr>
      <w:r>
        <w:t>Store metadata and field notes; a CSV without setup details is difficult to reproduce.</w:t>
      </w:r>
    </w:p>
    <w:p>
      <w:pPr>
        <w:pStyle w:val="ListBullet"/>
      </w:pPr>
      <w:r>
        <w:t>Keep scripts for parsing, joining logs, calculating metrics, and plotting under version control.</w:t>
      </w:r>
    </w:p>
    <w:p>
      <w:pPr>
        <w:pStyle w:val="ListBullet"/>
      </w:pPr>
      <w:r>
        <w:t>Record calibration/measurement uncertainty for distance, antenna height, TX power setting, and clock timing where relevant.</w:t>
      </w:r>
    </w:p>
    <w:p>
      <w:pPr>
        <w:pStyle w:val="Heading1"/>
      </w:pPr>
      <w:r>
        <w:t>8. Dataset analysis and reporting</w:t>
      </w:r>
    </w:p>
    <w:p>
      <w:r>
        <w:t>For each test configuration, produce a trial summary with at least:</w:t>
      </w:r>
    </w:p>
    <w:p>
      <w:pPr>
        <w:pStyle w:val="ListBullet"/>
      </w:pPr>
      <w:r>
        <w:t>Packets attempted, local TX API successes, unique packets received, missing packets, duplicates, and out-of-order packets.</w:t>
      </w:r>
    </w:p>
    <w:p>
      <w:pPr>
        <w:pStyle w:val="ListBullet"/>
      </w:pPr>
      <w:r>
        <w:t>PDR and packet loss rate with counts; do not report only percentages.</w:t>
      </w:r>
    </w:p>
    <w:p>
      <w:pPr>
        <w:pStyle w:val="ListBullet"/>
      </w:pPr>
      <w:r>
        <w:t>RSSI and SNR median, mean, standard deviation, and sample count.</w:t>
      </w:r>
    </w:p>
    <w:p>
      <w:pPr>
        <w:pStyle w:val="ListBullet"/>
      </w:pPr>
      <w:r>
        <w:t>Latency distribution if validly measured (median and upper percentile are often more informative than the mean alone).</w:t>
      </w:r>
    </w:p>
    <w:p>
      <w:pPr>
        <w:pStyle w:val="ListBullet"/>
      </w:pPr>
      <w:r>
        <w:t>Airtime or measured TX duration, packet length, and effective goodput where relevant.</w:t>
      </w:r>
    </w:p>
    <w:p>
      <w:pPr>
        <w:pStyle w:val="ListBullet"/>
      </w:pPr>
      <w:r>
        <w:t>Test conditions, environment, distance, antenna configuration, and data-quality flags.</w:t>
      </w:r>
    </w:p>
    <w:p>
      <w:r>
        <w:t>Useful plots include PDR versus distance, RSSI/SNR versus distance, PDR by SF/BW/TX power, airtime versus payload length, and environment comparisons with uncertainty bars or distributions. Use trial-level repetitions in analysis rather than treating every packet as an independent environmental trial.</w:t>
      </w:r>
    </w:p>
    <w:p>
      <w:pPr>
        <w:pStyle w:val="Heading1"/>
      </w:pPr>
      <w:r>
        <w:t>9. Existing datasets and reference resources</w:t>
      </w:r>
    </w:p>
    <w:p>
      <w:r>
        <w:t>Public datasets are useful for learning common schemas, checking the kinds of measurements other researchers collect, and comparing broad patterns. They are not a substitute for your own ESP32/SX1278 dataset: hardware, antenna, frequency, modulation settings, network architecture, location and packet definitions may differ. Check each dataset's licence and citation instructions before reusing it.</w:t>
      </w:r>
    </w:p>
    <w:p>
      <w:pPr>
        <w:pStyle w:val="ListNumber"/>
      </w:pPr>
      <w:r>
        <w:rPr>
          <w:b/>
        </w:rPr>
        <w:t xml:space="preserve">A. LoRa RSSI measurements, indoor/outdoor and weather-linked — </w:t>
      </w:r>
      <w:r>
        <w:t xml:space="preserve">GitHub dataset with indoor/outdoor localization RSSI measurements and a vineyard/weather-and-signal-strength dataset. The README provides paper citations, including Goldoni et al. (2022), DOI 10.1016/j.comnet.2021.108627. </w:t>
      </w:r>
      <w:hyperlink r:id="rId11">
        <w:r>
          <w:rPr>
            <w:color w:val="0563C1"/>
            <w:u w:val="single"/>
          </w:rPr>
          <w:t>https://github.com/emanueleg/lora-rssi</w:t>
        </w:r>
      </w:hyperlink>
    </w:p>
    <w:p>
      <w:pPr>
        <w:pStyle w:val="ListNumber"/>
      </w:pPr>
      <w:r>
        <w:rPr>
          <w:b/>
        </w:rPr>
        <w:t xml:space="preserve">B. Outdoor LoRa RSSI dataset with LOS/NLOS and movement surveys — </w:t>
      </w:r>
      <w:r>
        <w:t xml:space="preserve">CSV data from static LOS/NLOS surveys, walking, and a campus-by-car survey. Includes packet IDs and joined data that can help inform transmitter/receiver log alignment. </w:t>
      </w:r>
      <w:hyperlink r:id="rId12">
        <w:r>
          <w:rPr>
            <w:color w:val="0563C1"/>
            <w:u w:val="single"/>
          </w:rPr>
          <w:t>https://github.com/oliveiraleo/LoRa-RSSI-dataset-outdoor</w:t>
        </w:r>
      </w:hyperlink>
    </w:p>
    <w:p>
      <w:pPr>
        <w:pStyle w:val="ListNumber"/>
      </w:pPr>
      <w:r>
        <w:rPr>
          <w:b/>
        </w:rPr>
        <w:t xml:space="preserve">C. LoRa RSSI measurement dataset with SF, distance, power and bandwidth labels — </w:t>
      </w:r>
      <w:r>
        <w:t xml:space="preserve">Organized into ground LOS, ground NLOS and underground NLOS; filenames encode device, SF, distance, TX power and bandwidth. </w:t>
      </w:r>
      <w:hyperlink r:id="rId13">
        <w:r>
          <w:rPr>
            <w:color w:val="0563C1"/>
            <w:u w:val="single"/>
          </w:rPr>
          <w:t>https://github.com/Yifan-DU/LoRa_RSSI_Measurement_Dataset</w:t>
        </w:r>
      </w:hyperlink>
    </w:p>
    <w:p>
      <w:pPr>
        <w:pStyle w:val="ListNumber"/>
      </w:pPr>
      <w:r>
        <w:rPr>
          <w:b/>
        </w:rPr>
        <w:t xml:space="preserve">D. RSSI dataset across several wireless technologies including LoRaWAN — </w:t>
      </w:r>
      <w:r>
        <w:t xml:space="preserve">Indoor measurements across two office environments and multiple technologies. Useful as an example of repeated RSSI readings and experimental organization; distances are short and not directly comparable to vehicle-to-vehicle range. </w:t>
      </w:r>
      <w:hyperlink r:id="rId14">
        <w:r>
          <w:rPr>
            <w:color w:val="0563C1"/>
            <w:u w:val="single"/>
          </w:rPr>
          <w:t>https://github.com/pspachos/RSSI-Dataset</w:t>
        </w:r>
      </w:hyperlink>
    </w:p>
    <w:p>
      <w:pPr>
        <w:pStyle w:val="ListNumber"/>
      </w:pPr>
      <w:r>
        <w:rPr>
          <w:b/>
        </w:rPr>
        <w:t xml:space="preserve">E. Sri Lankan LoRa RSSI indoor localization dataset — </w:t>
      </w:r>
      <w:r>
        <w:t xml:space="preserve">A locally relevant dataset described as 1,473 RSSI values from a mobile target at 12 known locations in a multi-storey building. Its purpose is indoor localization, so use it as a schema/method reference rather than as a direct V2V benchmark. </w:t>
      </w:r>
      <w:hyperlink r:id="rId15">
        <w:r>
          <w:rPr>
            <w:color w:val="0563C1"/>
            <w:u w:val="single"/>
          </w:rPr>
          <w:t>https://github.com/pasanmaduranga/LoRa_RSSI-Dataset-</w:t>
        </w:r>
      </w:hyperlink>
    </w:p>
    <w:p>
      <w:pPr>
        <w:pStyle w:val="ListNumber"/>
      </w:pPr>
      <w:r>
        <w:rPr>
          <w:b/>
        </w:rPr>
        <w:t xml:space="preserve">F. LoRaWAN at the Edge Dataset (LoED) — </w:t>
      </w:r>
      <w:r>
        <w:t xml:space="preserve">Open real-world LoRaWAN packet dataset collected at nine gateways over four months in a dense urban environment. Includes packet/header information and gateway-reported physical-layer properties such as RSSI, SNR, CRC and SF. </w:t>
      </w:r>
      <w:hyperlink r:id="rId16">
        <w:r>
          <w:rPr>
            <w:color w:val="0563C1"/>
            <w:u w:val="single"/>
          </w:rPr>
          <w:t>https://doi.org/10.5281/zenodo.4121430</w:t>
        </w:r>
      </w:hyperlink>
    </w:p>
    <w:p>
      <w:pPr>
        <w:pStyle w:val="ListNumber"/>
      </w:pPr>
      <w:r>
        <w:rPr>
          <w:b/>
        </w:rPr>
        <w:t xml:space="preserve">G. Industrial/harbour LoRaWAN RSSI dataset with high humidity — </w:t>
      </w:r>
      <w:r>
        <w:t xml:space="preserve">Describes a dynamic industrial/harbour dataset with timestamps, node locations, RSSI and SNR. The article links to the downloadable dataset (2022-10-16_v2). </w:t>
      </w:r>
      <w:hyperlink r:id="rId17">
        <w:r>
          <w:rPr>
            <w:color w:val="0563C1"/>
            <w:u w:val="single"/>
          </w:rPr>
          <w:t>https://pmc.ncbi.nlm.nih.gov/articles/PMC10859256/</w:t>
        </w:r>
      </w:hyperlink>
    </w:p>
    <w:p>
      <w:pPr>
        <w:pStyle w:val="ListNumber"/>
      </w:pPr>
      <w:r>
        <w:rPr>
          <w:b/>
        </w:rPr>
        <w:t xml:space="preserve">H. LoRaWAN dataset with environmental variables and link-budget features — </w:t>
      </w:r>
      <w:r>
        <w:t xml:space="preserve">Includes radio/path-loss fields, environmental measurements, RSSI, SNR, time-on-air and energy-related features. Useful as a model for a richer metadata schema. </w:t>
      </w:r>
      <w:hyperlink r:id="rId18">
        <w:r>
          <w:rPr>
            <w:color w:val="0563C1"/>
            <w:u w:val="single"/>
          </w:rPr>
          <w:t>https://github.com/magonzalezudem/MDPI_LoRaWAN_Dataset_With_Environmental_Variables</w:t>
        </w:r>
      </w:hyperlink>
    </w:p>
    <w:p>
      <w:pPr>
        <w:pStyle w:val="ListNumber"/>
      </w:pPr>
      <w:r>
        <w:rPr>
          <w:b/>
        </w:rPr>
        <w:t xml:space="preserve">I. Experimental indoor/outdoor LoRa localization dataset paper — </w:t>
      </w:r>
      <w:r>
        <w:t xml:space="preserve">Goldoni et al. (2019), Experimental data set analysis of RSSI-based indoor and outdoor localization in LoRa networks. </w:t>
      </w:r>
      <w:hyperlink r:id="rId19">
        <w:r>
          <w:rPr>
            <w:color w:val="0563C1"/>
            <w:u w:val="single"/>
          </w:rPr>
          <w:t>https://doi.org/10.1002/itl2.75</w:t>
        </w:r>
      </w:hyperlink>
    </w:p>
    <w:p>
      <w:pPr>
        <w:pStyle w:val="ListNumber"/>
      </w:pPr>
      <w:r>
        <w:rPr>
          <w:b/>
        </w:rPr>
        <w:t xml:space="preserve">J. Weather and signal-strength dataset paper — </w:t>
      </w:r>
      <w:r>
        <w:t xml:space="preserve">Goldoni et al. (2022), Correlation between weather and signal strength in LoRaWAN networks: An extensive dataset. </w:t>
      </w:r>
      <w:hyperlink r:id="rId20">
        <w:r>
          <w:rPr>
            <w:color w:val="0563C1"/>
            <w:u w:val="single"/>
          </w:rPr>
          <w:t>https://doi.org/10.1016/j.comnet.2021.108627</w:t>
        </w:r>
      </w:hyperlink>
    </w:p>
    <w:p>
      <w:pPr>
        <w:pStyle w:val="Heading1"/>
      </w:pPr>
      <w:r>
        <w:t>10. Official technical documentation</w:t>
      </w:r>
    </w:p>
    <w:p>
      <w:pPr>
        <w:pStyle w:val="ListBullet"/>
      </w:pPr>
      <w:r>
        <w:rPr>
          <w:b/>
        </w:rPr>
        <w:t xml:space="preserve">PlatformIO Device Monitor and log2file filter: </w:t>
      </w:r>
      <w:r>
        <w:t xml:space="preserve">How to log serial monitor output to a file and use filters. </w:t>
      </w:r>
      <w:hyperlink r:id="rId21">
        <w:r>
          <w:rPr>
            <w:color w:val="0563C1"/>
            <w:u w:val="single"/>
          </w:rPr>
          <w:t>https://docs.platformio.org/en/stable/core/userguide/device/cmd_monitor.html</w:t>
        </w:r>
      </w:hyperlink>
    </w:p>
    <w:p>
      <w:pPr>
        <w:pStyle w:val="ListBullet"/>
      </w:pPr>
      <w:r>
        <w:rPr>
          <w:b/>
        </w:rPr>
        <w:t xml:space="preserve">PlatformIO monitor_filters configuration: </w:t>
      </w:r>
      <w:r>
        <w:t xml:space="preserve">Configuration reference for time, log2file, default and other monitor filters. </w:t>
      </w:r>
      <w:hyperlink r:id="rId22">
        <w:r>
          <w:rPr>
            <w:color w:val="0563C1"/>
            <w:u w:val="single"/>
          </w:rPr>
          <w:t>https://docs.platformio.org/en/latest/projectconf/sections/env/options/monitor/monitor_filters.html</w:t>
        </w:r>
      </w:hyperlink>
    </w:p>
    <w:p>
      <w:pPr>
        <w:pStyle w:val="ListBullet"/>
      </w:pPr>
      <w:r>
        <w:rPr>
          <w:b/>
        </w:rPr>
        <w:t xml:space="preserve">pySerial tools documentation: </w:t>
      </w:r>
      <w:r>
        <w:t xml:space="preserve">Official pySerial documentation for serial.tools.miniterm and related tools. </w:t>
      </w:r>
      <w:hyperlink r:id="rId23">
        <w:r>
          <w:rPr>
            <w:color w:val="0563C1"/>
            <w:u w:val="single"/>
          </w:rPr>
          <w:t>https://pyserial.readthedocs.io/en/latest/tools.html</w:t>
        </w:r>
      </w:hyperlink>
    </w:p>
    <w:p>
      <w:pPr>
        <w:pStyle w:val="ListBullet"/>
      </w:pPr>
      <w:r>
        <w:rPr>
          <w:b/>
        </w:rPr>
        <w:t xml:space="preserve">pySerial Miniterm reference: </w:t>
      </w:r>
      <w:r>
        <w:t xml:space="preserve">Practical Miniterm command examples and serial capture options. </w:t>
      </w:r>
      <w:hyperlink r:id="rId24">
        <w:r>
          <w:rPr>
            <w:color w:val="0563C1"/>
            <w:u w:val="single"/>
          </w:rPr>
          <w:t>https://www.pyserial.com/docs/miniterm</w:t>
        </w:r>
      </w:hyperlink>
    </w:p>
    <w:p>
      <w:pPr>
        <w:pStyle w:val="ListBullet"/>
      </w:pPr>
      <w:r>
        <w:rPr>
          <w:b/>
        </w:rPr>
        <w:t xml:space="preserve">The Things Network frequency plans by country: </w:t>
      </w:r>
      <w:r>
        <w:t xml:space="preserve">A useful starting reference, explicitly not an official substitute for local regulations. The country entry may not list Sri Lanka's applicable plan. </w:t>
      </w:r>
      <w:hyperlink r:id="rId25">
        <w:r>
          <w:rPr>
            <w:color w:val="0563C1"/>
            <w:u w:val="single"/>
          </w:rPr>
          <w:t>https://www.thethingsnetwork.org/docs/lorawan/frequencies-by-country/</w:t>
        </w:r>
      </w:hyperlink>
    </w:p>
    <w:p>
      <w:pPr>
        <w:pStyle w:val="ListBullet"/>
      </w:pPr>
      <w:r>
        <w:rPr>
          <w:b/>
        </w:rPr>
        <w:t xml:space="preserve">The Things Network regional parameters: </w:t>
      </w:r>
      <w:r>
        <w:t xml:space="preserve">Background on regional frequency plans and why frequency rules differ by country. </w:t>
      </w:r>
      <w:hyperlink r:id="rId26">
        <w:r>
          <w:rPr>
            <w:color w:val="0563C1"/>
            <w:u w:val="single"/>
          </w:rPr>
          <w:t>https://www.thethingsnetwork.org/docs/lorawan/regional-parameters/</w:t>
        </w:r>
      </w:hyperlink>
    </w:p>
    <w:p>
      <w:pPr>
        <w:pStyle w:val="ListBullet"/>
      </w:pPr>
      <w:r>
        <w:rPr>
          <w:b/>
        </w:rPr>
        <w:t xml:space="preserve">The Things Network frequency-plan repository: </w:t>
      </w:r>
      <w:r>
        <w:t xml:space="preserve">Version-controlled frequency-plan definitions and associated regional settings. </w:t>
      </w:r>
      <w:hyperlink r:id="rId27">
        <w:r>
          <w:rPr>
            <w:color w:val="0563C1"/>
            <w:u w:val="single"/>
          </w:rPr>
          <w:t>https://github.com/TheThingsNetwork/lorawan-frequency-plans</w:t>
        </w:r>
      </w:hyperlink>
    </w:p>
    <w:p>
      <w:pPr>
        <w:pStyle w:val="ListBullet"/>
      </w:pPr>
      <w:r>
        <w:rPr>
          <w:b/>
        </w:rPr>
        <w:t xml:space="preserve">SX1276/77/78/79 family product documentation: </w:t>
      </w:r>
      <w:r>
        <w:t xml:space="preserve">Semtech's SX127x family page; use the official datasheet linked from the product page for electrical characteristics and supported radio settings. </w:t>
      </w:r>
      <w:hyperlink r:id="rId28">
        <w:r>
          <w:rPr>
            <w:color w:val="0563C1"/>
            <w:u w:val="single"/>
          </w:rPr>
          <w:t>https://www.semtech.com/products/wireless-rf/lora-connect/sx1276</w:t>
        </w:r>
      </w:hyperlink>
    </w:p>
    <w:p>
      <w:pPr>
        <w:pStyle w:val="Heading1"/>
      </w:pPr>
      <w:r>
        <w:t>11. Suggested deliverables for the project</w:t>
      </w:r>
    </w:p>
    <w:p>
      <w:pPr>
        <w:pStyle w:val="ListBullet"/>
      </w:pPr>
      <w:r>
        <w:t>A documented, reusable raw transmitter firmware and raw receiver firmware.</w:t>
      </w:r>
    </w:p>
    <w:p>
      <w:pPr>
        <w:pStyle w:val="ListBullet"/>
      </w:pPr>
      <w:r>
        <w:t>A configuration record for each run, including frequency, SF, bandwidth, coding rate, power, payload length, interval and antenna setup.</w:t>
      </w:r>
    </w:p>
    <w:p>
      <w:pPr>
        <w:pStyle w:val="ListBullet"/>
      </w:pPr>
      <w:r>
        <w:t>A stable serial log format with packet sequence numbers and separate TX/RX logs.</w:t>
      </w:r>
    </w:p>
    <w:p>
      <w:pPr>
        <w:pStyle w:val="ListBullet"/>
      </w:pPr>
      <w:r>
        <w:t>An experiment metadata template and a field-notes checklist.</w:t>
      </w:r>
    </w:p>
    <w:p>
      <w:pPr>
        <w:pStyle w:val="ListBullet"/>
      </w:pPr>
      <w:r>
        <w:t>Immutable raw log files, parsed packet-level CSV, trial summary CSV, and analysis scripts.</w:t>
      </w:r>
    </w:p>
    <w:p>
      <w:pPr>
        <w:pStyle w:val="ListBullet"/>
      </w:pPr>
      <w:r>
        <w:t>Plots and tables for PDR, RSSI, SNR, latency/airtime and environmental comparisons.</w:t>
      </w:r>
    </w:p>
    <w:p>
      <w:pPr>
        <w:pStyle w:val="ListBullet"/>
      </w:pPr>
      <w:r>
        <w:t>A final packet-format test report once the application header is approved.</w:t>
      </w:r>
    </w:p>
    <w:p>
      <w:pPr>
        <w:pStyle w:val="ListBullet"/>
      </w:pPr>
      <w:r>
        <w:t>A README explaining data columns, units, missing-value conventions, firmware versions, processing steps, and citations.</w:t>
      </w:r>
    </w:p>
    <w:p>
      <w:pPr>
        <w:pStyle w:val="Heading1"/>
      </w:pPr>
      <w:r>
        <w:t>12. Final recommendations</w:t>
      </w:r>
    </w:p>
    <w:p>
      <w:r>
        <w:t>Prioritize logging and reproducibility before scaling up the campaign. A smaller set of well-controlled, repeated experiments with reliable TX/RX matching is more useful than a large collection of poorly documented serial logs. Use raw tests to establish a baseline, change one radio parameter at a time for initial characterization, and then compare promising configurations across multiple environments. Only after this should you validate the final application packet format and measure the impact of its overhead.</w:t>
      </w:r>
    </w:p>
    <w:p>
      <w:r>
        <w:t>The proposed values and test counts are starting recommendations, not measured results or universal requirements. Final choices should be agreed with the supervisor and adapted to the available test sites, time, equipment, and local radio regulations.</w:t>
      </w:r>
    </w:p>
    <w:sectPr w:rsidR="00FC693F" w:rsidRPr="0006063C" w:rsidSect="00034616">
      <w:headerReference w:type="default" r:id="rId9"/>
      <w:footerReference w:type="default" r:id="rId10"/>
      <w:pgSz w:w="12240" w:h="15840"/>
      <w:pgMar w:top="1008" w:right="1080" w:bottom="1008"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t>AutoLink RadioSense — System Testing &amp; Dataset Methodology  •  Working document</w:t>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Caption"/>
    </w:pPr>
    <w:r>
      <w:t>AUTOLINK RADIOSENSE  |  LoRa SYSTEM TESTING</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ptos" w:hAnsi="Aptos"/>
      <w:sz w:val="19"/>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365F91" w:themeColor="accent1" w:themeShade="BF"/>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4F81BD" w:themeColor="accent1"/>
      <w:sz w:val="2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hyperlink" Target="https://github.com/emanueleg/lora-rssi" TargetMode="External"/><Relationship Id="rId12" Type="http://schemas.openxmlformats.org/officeDocument/2006/relationships/hyperlink" Target="https://github.com/oliveiraleo/LoRa-RSSI-dataset-outdoor" TargetMode="External"/><Relationship Id="rId13" Type="http://schemas.openxmlformats.org/officeDocument/2006/relationships/hyperlink" Target="https://github.com/Yifan-DU/LoRa_RSSI_Measurement_Dataset" TargetMode="External"/><Relationship Id="rId14" Type="http://schemas.openxmlformats.org/officeDocument/2006/relationships/hyperlink" Target="https://github.com/pspachos/RSSI-Dataset" TargetMode="External"/><Relationship Id="rId15" Type="http://schemas.openxmlformats.org/officeDocument/2006/relationships/hyperlink" Target="https://github.com/pasanmaduranga/LoRa_RSSI-Dataset-" TargetMode="External"/><Relationship Id="rId16" Type="http://schemas.openxmlformats.org/officeDocument/2006/relationships/hyperlink" Target="https://doi.org/10.5281/zenodo.4121430" TargetMode="External"/><Relationship Id="rId17" Type="http://schemas.openxmlformats.org/officeDocument/2006/relationships/hyperlink" Target="https://pmc.ncbi.nlm.nih.gov/articles/PMC10859256/" TargetMode="External"/><Relationship Id="rId18" Type="http://schemas.openxmlformats.org/officeDocument/2006/relationships/hyperlink" Target="https://github.com/magonzalezudem/MDPI_LoRaWAN_Dataset_With_Environmental_Variables" TargetMode="External"/><Relationship Id="rId19" Type="http://schemas.openxmlformats.org/officeDocument/2006/relationships/hyperlink" Target="https://doi.org/10.1002/itl2.75" TargetMode="External"/><Relationship Id="rId20" Type="http://schemas.openxmlformats.org/officeDocument/2006/relationships/hyperlink" Target="https://doi.org/10.1016/j.comnet.2021.108627" TargetMode="External"/><Relationship Id="rId21" Type="http://schemas.openxmlformats.org/officeDocument/2006/relationships/hyperlink" Target="https://docs.platformio.org/en/stable/core/userguide/device/cmd_monitor.html" TargetMode="External"/><Relationship Id="rId22" Type="http://schemas.openxmlformats.org/officeDocument/2006/relationships/hyperlink" Target="https://docs.platformio.org/en/latest/projectconf/sections/env/options/monitor/monitor_filters.html" TargetMode="External"/><Relationship Id="rId23" Type="http://schemas.openxmlformats.org/officeDocument/2006/relationships/hyperlink" Target="https://pyserial.readthedocs.io/en/latest/tools.html" TargetMode="External"/><Relationship Id="rId24" Type="http://schemas.openxmlformats.org/officeDocument/2006/relationships/hyperlink" Target="https://www.pyserial.com/docs/miniterm" TargetMode="External"/><Relationship Id="rId25" Type="http://schemas.openxmlformats.org/officeDocument/2006/relationships/hyperlink" Target="https://www.thethingsnetwork.org/docs/lorawan/frequencies-by-country/" TargetMode="External"/><Relationship Id="rId26" Type="http://schemas.openxmlformats.org/officeDocument/2006/relationships/hyperlink" Target="https://www.thethingsnetwork.org/docs/lorawan/regional-parameters/" TargetMode="External"/><Relationship Id="rId27" Type="http://schemas.openxmlformats.org/officeDocument/2006/relationships/hyperlink" Target="https://github.com/TheThingsNetwork/lorawan-frequency-plans" TargetMode="External"/><Relationship Id="rId28" Type="http://schemas.openxmlformats.org/officeDocument/2006/relationships/hyperlink" Target="https://www.semtech.com/products/wireless-rf/lora-connect/sx1276"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