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app_icon.png"/>
                    <pic:cNvPicPr/>
                  </pic:nvPicPr>
                  <pic:blipFill>
                    <a:blip r:embed="rId11"/>
                    <a:stretch>
                      <a:fillRect/>
                    </a:stretch>
                  </pic:blipFill>
                  <pic:spPr>
                    <a:xfrm>
                      <a:off x="0" y="0"/>
                      <a:ext cx="1371600" cy="1371600"/>
                    </a:xfrm>
                    <a:prstGeom prst="rect"/>
                  </pic:spPr>
                </pic:pic>
              </a:graphicData>
            </a:graphic>
          </wp:inline>
        </w:drawing>
      </w:r>
    </w:p>
    <w:p>
      <w:pPr>
        <w:spacing w:before="360" w:after="120"/>
        <w:jc w:val="center"/>
      </w:pPr>
      <w:r>
        <w:rPr>
          <w:rFonts w:ascii="Calibri" w:hAnsi="Calibri"/>
          <w:b/>
          <w:color w:val="0F172A"/>
          <w:sz w:val="52"/>
        </w:rPr>
        <w:t>Enterprise Database Cloud Backup</w:t>
        <w:br/>
        <w:t>Automation System</w:t>
      </w:r>
    </w:p>
    <w:p>
      <w:pPr>
        <w:spacing w:after="480"/>
        <w:jc w:val="center"/>
      </w:pPr>
      <w:r>
        <w:rPr>
          <w:rFonts w:ascii="Calibri" w:hAnsi="Calibri"/>
          <w:color w:val="475569"/>
          <w:sz w:val="24"/>
        </w:rPr>
        <w:t>Comprehensive Technical Architecture, Engineering Documentation &amp; Operational Runbook</w:t>
        <w:br/>
        <w:t>Autonomous Zero-Touch SQL Server Cloud Disaster Recovery &amp; Telemetry Pipeline</w:t>
      </w:r>
    </w:p>
    <w:tbl>
      <w:tblPr>
        <w:tblW w:type="auto" w:w="0"/>
        <w:jc w:val="center"/>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r>
              <w:rPr>
                <w:b/>
                <w:color w:val="0F172A"/>
                <w:sz w:val="19"/>
              </w:rPr>
              <w:t>Document Version:</w:t>
            </w:r>
          </w:p>
        </w:tc>
        <w:tc>
          <w:tcPr>
            <w:tcW w:type="dxa" w:w="4680"/>
            <w:shd w:fill="F8FAFC"/>
            <w:tcMar>
              <w:top w:w="80" w:type="dxa"/>
              <w:bottom w:w="80" w:type="dxa"/>
              <w:left w:w="120" w:type="dxa"/>
              <w:right w:w="120" w:type="dxa"/>
            </w:tcMar>
          </w:tcPr>
          <w:p>
            <w:r>
              <w:rPr>
                <w:color w:val="475569"/>
                <w:sz w:val="19"/>
              </w:rPr>
              <w:t>3.5.0 (Enterprise Titanium Edition)</w:t>
            </w:r>
          </w:p>
        </w:tc>
      </w:tr>
      <w:tr>
        <w:tc>
          <w:tcPr>
            <w:tcW w:type="dxa" w:w="4680"/>
            <w:shd w:fill="F1F5F9"/>
            <w:tcMar>
              <w:top w:w="80" w:type="dxa"/>
              <w:bottom w:w="80" w:type="dxa"/>
              <w:left w:w="120" w:type="dxa"/>
              <w:right w:w="120" w:type="dxa"/>
            </w:tcMar>
          </w:tcPr>
          <w:p>
            <w:r>
              <w:rPr>
                <w:b/>
                <w:color w:val="0F172A"/>
                <w:sz w:val="19"/>
              </w:rPr>
              <w:t>Classification:</w:t>
            </w:r>
          </w:p>
        </w:tc>
        <w:tc>
          <w:tcPr>
            <w:tcW w:type="dxa" w:w="4680"/>
            <w:shd w:fill="F8FAFC"/>
            <w:tcMar>
              <w:top w:w="80" w:type="dxa"/>
              <w:bottom w:w="80" w:type="dxa"/>
              <w:left w:w="120" w:type="dxa"/>
              <w:right w:w="120" w:type="dxa"/>
            </w:tcMar>
          </w:tcPr>
          <w:p>
            <w:r>
              <w:rPr>
                <w:color w:val="475569"/>
                <w:sz w:val="19"/>
              </w:rPr>
              <w:t>Confidential &amp; Proprietary — Engineering &amp; Client Operations</w:t>
            </w:r>
          </w:p>
        </w:tc>
      </w:tr>
      <w:tr>
        <w:tc>
          <w:tcPr>
            <w:tcW w:type="dxa" w:w="4680"/>
            <w:shd w:fill="F1F5F9"/>
            <w:tcMar>
              <w:top w:w="80" w:type="dxa"/>
              <w:bottom w:w="80" w:type="dxa"/>
              <w:left w:w="120" w:type="dxa"/>
              <w:right w:w="120" w:type="dxa"/>
            </w:tcMar>
          </w:tcPr>
          <w:p>
            <w:r>
              <w:rPr>
                <w:b/>
                <w:color w:val="0F172A"/>
                <w:sz w:val="19"/>
              </w:rPr>
              <w:t>Target Platforms:</w:t>
            </w:r>
          </w:p>
        </w:tc>
        <w:tc>
          <w:tcPr>
            <w:tcW w:type="dxa" w:w="4680"/>
            <w:shd w:fill="F8FAFC"/>
            <w:tcMar>
              <w:top w:w="80" w:type="dxa"/>
              <w:bottom w:w="80" w:type="dxa"/>
              <w:left w:w="120" w:type="dxa"/>
              <w:right w:w="120" w:type="dxa"/>
            </w:tcMar>
          </w:tcPr>
          <w:p>
            <w:r>
              <w:rPr>
                <w:color w:val="475569"/>
                <w:sz w:val="19"/>
              </w:rPr>
              <w:t>Windows Server 2008–2025, Windows 10/11, macOS, Linux</w:t>
            </w:r>
          </w:p>
        </w:tc>
      </w:tr>
      <w:tr>
        <w:tc>
          <w:tcPr>
            <w:tcW w:type="dxa" w:w="4680"/>
            <w:shd w:fill="F1F5F9"/>
            <w:tcMar>
              <w:top w:w="80" w:type="dxa"/>
              <w:bottom w:w="80" w:type="dxa"/>
              <w:left w:w="120" w:type="dxa"/>
              <w:right w:w="120" w:type="dxa"/>
            </w:tcMar>
          </w:tcPr>
          <w:p>
            <w:r>
              <w:rPr>
                <w:b/>
                <w:color w:val="0F172A"/>
                <w:sz w:val="19"/>
              </w:rPr>
              <w:t>Database Engines:</w:t>
            </w:r>
          </w:p>
        </w:tc>
        <w:tc>
          <w:tcPr>
            <w:tcW w:type="dxa" w:w="4680"/>
            <w:shd w:fill="F8FAFC"/>
            <w:tcMar>
              <w:top w:w="80" w:type="dxa"/>
              <w:bottom w:w="80" w:type="dxa"/>
              <w:left w:w="120" w:type="dxa"/>
              <w:right w:w="120" w:type="dxa"/>
            </w:tcMar>
          </w:tcPr>
          <w:p>
            <w:r>
              <w:rPr>
                <w:color w:val="475569"/>
                <w:sz w:val="19"/>
              </w:rPr>
              <w:t>Microsoft SQL Server 2000–2022 (Express, Standard, Enterprise)</w:t>
            </w:r>
          </w:p>
        </w:tc>
      </w:tr>
      <w:tr>
        <w:tc>
          <w:tcPr>
            <w:tcW w:type="dxa" w:w="4680"/>
            <w:shd w:fill="F1F5F9"/>
            <w:tcMar>
              <w:top w:w="80" w:type="dxa"/>
              <w:bottom w:w="80" w:type="dxa"/>
              <w:left w:w="120" w:type="dxa"/>
              <w:right w:w="120" w:type="dxa"/>
            </w:tcMar>
          </w:tcPr>
          <w:p>
            <w:r>
              <w:rPr>
                <w:b/>
                <w:color w:val="0F172A"/>
                <w:sz w:val="19"/>
              </w:rPr>
              <w:t>Author &amp; Architect:</w:t>
            </w:r>
          </w:p>
        </w:tc>
        <w:tc>
          <w:tcPr>
            <w:tcW w:type="dxa" w:w="4680"/>
            <w:shd w:fill="F8FAFC"/>
            <w:tcMar>
              <w:top w:w="80" w:type="dxa"/>
              <w:bottom w:w="80" w:type="dxa"/>
              <w:left w:w="120" w:type="dxa"/>
              <w:right w:w="120" w:type="dxa"/>
            </w:tcMar>
          </w:tcPr>
          <w:p>
            <w:r>
              <w:rPr>
                <w:color w:val="475569"/>
                <w:sz w:val="19"/>
              </w:rPr>
              <w:t>Dulnindu Saranga (Chief Systems Architect)</w:t>
            </w:r>
          </w:p>
        </w:tc>
      </w:tr>
      <w:tr>
        <w:tc>
          <w:tcPr>
            <w:tcW w:type="dxa" w:w="4680"/>
            <w:shd w:fill="F1F5F9"/>
            <w:tcMar>
              <w:top w:w="80" w:type="dxa"/>
              <w:bottom w:w="80" w:type="dxa"/>
              <w:left w:w="120" w:type="dxa"/>
              <w:right w:w="120" w:type="dxa"/>
            </w:tcMar>
          </w:tcPr>
          <w:p>
            <w:r>
              <w:rPr>
                <w:b/>
                <w:color w:val="0F172A"/>
                <w:sz w:val="19"/>
              </w:rPr>
              <w:t>Last Audit Date:</w:t>
            </w:r>
          </w:p>
        </w:tc>
        <w:tc>
          <w:tcPr>
            <w:tcW w:type="dxa" w:w="4680"/>
            <w:shd w:fill="F8FAFC"/>
            <w:tcMar>
              <w:top w:w="80" w:type="dxa"/>
              <w:bottom w:w="80" w:type="dxa"/>
              <w:left w:w="120" w:type="dxa"/>
              <w:right w:w="120" w:type="dxa"/>
            </w:tcMar>
          </w:tcPr>
          <w:p>
            <w:r>
              <w:rPr>
                <w:color w:val="475569"/>
                <w:sz w:val="19"/>
              </w:rPr>
              <w:t>September 2026 (Verified Clean &amp; Fully Operational)</w:t>
            </w:r>
          </w:p>
        </w:tc>
      </w:tr>
    </w:tbl>
    <w:p>
      <w:r>
        <w:br w:type="page"/>
      </w:r>
    </w:p>
    <w:p>
      <w:pPr>
        <w:pStyle w:val="Heading1"/>
        <w:spacing w:before="240" w:after="120"/>
      </w:pPr>
      <w:r>
        <w:t>1. Executive Summary &amp; Core Objectives</w:t>
      </w:r>
    </w:p>
    <w:p>
      <w:r>
        <w:t>Enterprise database disaster recovery often relies on expensive, complex enterprise backup suites (e.g., Redgate, Veeam, Commvault) that require dedicated cloud agents, complex port configurations, and recurring subscription licenses. Smaller and mid-sized enterprises using Microsoft SQL Server frequently suffer from lack of offsite cloud redundancy, accidental disk space exhaustion caused by accumulating local .bak files, permission barriers where SQL Server service accounts cannot write to destination folders, and silent backup failures.</w:t>
      </w:r>
    </w:p>
    <w:p>
      <w:r>
        <w:t>The Enterprise Database Cloud Backup Automation Suite was engineered to solve every single one of these operational bottlenecks in an autonomous, zero-touch, client-side application. It delivers automated SQL database dumps, Level 9 maximum deflation compression, resumable chunked uploads to Google Drive with real-time throughput metrics, instant post-upload local disk purges, and centralized compliance logging in Google Sheets.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left w:val="single" w:sz="24" w:space="0" w:color="059669"/>
              <w:top w:val="none"/>
              <w:right w:val="none"/>
              <w:bottom w:val="none"/>
            </w:tcBorders>
          </w:tcPr>
          <w:p>
            <w:pPr>
              <w:spacing w:before="40" w:after="40"/>
            </w:pPr>
            <w:r>
              <w:rPr>
                <w:rFonts w:ascii="Calibri" w:hAnsi="Calibri"/>
                <w:b/>
                <w:color w:val="059669"/>
                <w:sz w:val="20"/>
              </w:rPr>
              <w:t xml:space="preserve">[ZERO LOCAL STORAGE FOOTPRINT] </w:t>
            </w:r>
            <w:r>
              <w:rPr>
                <w:rFonts w:ascii="Calibri" w:hAnsi="Calibri"/>
                <w:color w:val="1E293B"/>
                <w:sz w:val="20"/>
              </w:rPr>
              <w:t>Key Operational Guarantee: The system enforces a strict Two-Phase Purge Lifecycle. Raw .bak files are deleted immediately after compression, and compressed .zip archives are deleted immediately after cloud upload confirmation, maintaining a permanent 0-byte local storage footprint.</w:t>
            </w:r>
          </w:p>
        </w:tc>
      </w:tr>
    </w:tbl>
    <w:p>
      <w:pPr>
        <w:spacing w:after="120"/>
      </w:pPr>
    </w:p>
    <w:p>
      <w:pPr>
        <w:pStyle w:val="Heading1"/>
        <w:spacing w:before="280" w:after="120"/>
      </w:pPr>
      <w:r>
        <w:t>2. End-to-End System Architecture &amp; Data Flow</w:t>
      </w:r>
    </w:p>
    <w:p>
      <w:r>
        <w:t>The application is architected around a Decoupled Model-View-Controller (MVC) topology. The core engine (backup_core.py) is completely stateless, thread-safe, and independent of any user interface. This allows identical execution logic whether initiated by an interactive user via the desktop GUI, by Windows Task Scheduler in Session 0, or by a command-line administrator script.</w:t>
      </w:r>
    </w:p>
    <w:p>
      <w:pPr>
        <w:jc w:val="center"/>
      </w:pPr>
      <w:r>
        <w:drawing>
          <wp:inline xmlns:a="http://schemas.openxmlformats.org/drawingml/2006/main" xmlns:pic="http://schemas.openxmlformats.org/drawingml/2006/picture">
            <wp:extent cx="5486400" cy="4457700"/>
            <wp:docPr id="2" name="Picture 2"/>
            <wp:cNvGraphicFramePr>
              <a:graphicFrameLocks noChangeAspect="1"/>
            </wp:cNvGraphicFramePr>
            <a:graphic>
              <a:graphicData uri="http://schemas.openxmlformats.org/drawingml/2006/picture">
                <pic:pic>
                  <pic:nvPicPr>
                    <pic:cNvPr id="0" name="01_dashboard_execution.png"/>
                    <pic:cNvPicPr/>
                  </pic:nvPicPr>
                  <pic:blipFill>
                    <a:blip r:embed="rId12"/>
                    <a:stretch>
                      <a:fillRect/>
                    </a:stretch>
                  </pic:blipFill>
                  <pic:spPr>
                    <a:xfrm>
                      <a:off x="0" y="0"/>
                      <a:ext cx="5486400" cy="4457700"/>
                    </a:xfrm>
                    <a:prstGeom prst="rect"/>
                  </pic:spPr>
                </pic:pic>
              </a:graphicData>
            </a:graphic>
          </wp:inline>
        </w:drawing>
      </w:r>
    </w:p>
    <w:p>
      <w:pPr>
        <w:jc w:val="center"/>
      </w:pPr>
      <w:r>
        <w:t>Figure 1: Executive Dashboard with System Readiness Badge, Metric Cards, Live Upload Progress, Throughput &amp; ETA Bar</w:t>
      </w:r>
    </w:p>
    <w:p>
      <w:pPr>
        <w:pStyle w:val="Heading2"/>
      </w:pPr>
      <w:r>
        <w:t>2.1 Resumable In-Chunk Cloud Transport Architecture</w:t>
      </w:r>
    </w:p>
    <w:p>
      <w:r>
        <w:t>To eliminate upload drops on fluctuating or high-latency client broadband connections (WinError 10060 WSAETIMEDOUT), the engine implements an in-chunk resumable transport layer on top of Google Drive API v3. Uploads stream in 1MB chunks with 10 exponential backoff retries. If a network socket disconnects, the engine queries the Google Drive resumable session URI and continues at the exact byte offset where it paused, guaranteeing zero byte loss and eliminating the need to restart large uploads from byte 0.</w:t>
      </w:r>
    </w:p>
    <w:p>
      <w:pPr>
        <w:pStyle w:val="Heading2"/>
      </w:pPr>
      <w:r>
        <w:t>2.2 Universal SQL Server Discovery Pipeline</w:t>
      </w:r>
    </w:p>
    <w:p>
      <w:r>
        <w:t>The engine guarantees compatibility across 25 years of Microsoft SQL Server editions (SQL Server 2000 through SQL Server 2022). It autonomously resolves CLI tools from modern ODBC Driver 18/17/13 sqlcmd down to legacy osql.exe. It dynamically tests the modern -C (Trust Server Certificate) flag, automatically falls back if legacy tools reject the parameter, and executes universal catalog discovery queries matching sys.databases or master.dbo.sysdatabases.</w:t>
      </w:r>
    </w:p>
    <w:p>
      <w:pPr>
        <w:pStyle w:val="Heading1"/>
        <w:spacing w:before="280" w:after="120"/>
      </w:pPr>
      <w:r>
        <w:t>3. Visual Application Tour &amp; Interface Guide</w:t>
      </w:r>
    </w:p>
    <w:p>
      <w:r>
        <w:t>The desktop application features a modern dark-slate UI built on CustomTkinter, providing complete operational transparency, one-click execution, live progress tracking, and diagnostic logging.</w:t>
      </w:r>
    </w:p>
    <w:p>
      <w:pPr>
        <w:jc w:val="center"/>
      </w:pPr>
      <w:r>
        <w:drawing>
          <wp:inline xmlns:a="http://schemas.openxmlformats.org/drawingml/2006/main" xmlns:pic="http://schemas.openxmlformats.org/drawingml/2006/picture">
            <wp:extent cx="5486400" cy="2893219"/>
            <wp:docPr id="3" name="Picture 3"/>
            <wp:cNvGraphicFramePr>
              <a:graphicFrameLocks noChangeAspect="1"/>
            </wp:cNvGraphicFramePr>
            <a:graphic>
              <a:graphicData uri="http://schemas.openxmlformats.org/drawingml/2006/picture">
                <pic:pic>
                  <pic:nvPicPr>
                    <pic:cNvPr id="0" name="03_unattended_scheduler.png"/>
                    <pic:cNvPicPr/>
                  </pic:nvPicPr>
                  <pic:blipFill>
                    <a:blip r:embed="rId13"/>
                    <a:stretch>
                      <a:fillRect/>
                    </a:stretch>
                  </pic:blipFill>
                  <pic:spPr>
                    <a:xfrm>
                      <a:off x="0" y="0"/>
                      <a:ext cx="5486400" cy="2893219"/>
                    </a:xfrm>
                    <a:prstGeom prst="rect"/>
                  </pic:spPr>
                </pic:pic>
              </a:graphicData>
            </a:graphic>
          </wp:inline>
        </w:drawing>
      </w:r>
    </w:p>
    <w:p>
      <w:pPr>
        <w:jc w:val="center"/>
      </w:pPr>
      <w:r>
        <w:t>Figure 2: Unattended Background Service &amp; Custom Timing Engine (Session 0 System Service vs Desktop Task)</w:t>
      </w:r>
    </w:p>
    <w:p>
      <w:r>
        <w:t>The Auto Schedule tab allows administrators to configure automated unattended execution without opening Windows Task Scheduler manually:</w:t>
        <w:br/>
        <w:t>• Unattended Windows System Service: Runs under NT AUTHORITY\SYSTEM in Session 0. Operates 100% unattended before any user logon, survives system restarts, and is never disrupted by RDP disconnects.</w:t>
        <w:br/>
        <w:t>• Standard User Task: Executes under the active interactive user context for non-administrative workstations.</w:t>
        <w:br/>
        <w:t>• Frequency Presets &amp; Custom Days: Weekly (Mondays), Daily (Every Day), Weekdays (Mon-Fri), or Custom Days with individual day checkboxes.</w:t>
        <w:br/>
        <w:t>• 24-Hour Time &amp; Quick Presets: Precise time input (e.g. 02:00 AM, 11:00 PM).</w:t>
        <w:br/>
        <w:t>• Startup Recovery Trigger: Automatically executes missed scheduled backups when the server boots if it was powered off during the scheduled window.</w:t>
      </w:r>
    </w:p>
    <w:p>
      <w:pPr>
        <w:jc w:val="center"/>
      </w:pPr>
      <w:r>
        <w:drawing>
          <wp:inline xmlns:a="http://schemas.openxmlformats.org/drawingml/2006/main" xmlns:pic="http://schemas.openxmlformats.org/drawingml/2006/picture">
            <wp:extent cx="5486400" cy="2909292"/>
            <wp:docPr id="4" name="Picture 4"/>
            <wp:cNvGraphicFramePr>
              <a:graphicFrameLocks noChangeAspect="1"/>
            </wp:cNvGraphicFramePr>
            <a:graphic>
              <a:graphicData uri="http://schemas.openxmlformats.org/drawingml/2006/picture">
                <pic:pic>
                  <pic:nvPicPr>
                    <pic:cNvPr id="0" name="02_live_execution_logs.png"/>
                    <pic:cNvPicPr/>
                  </pic:nvPicPr>
                  <pic:blipFill>
                    <a:blip r:embed="rId14"/>
                    <a:stretch>
                      <a:fillRect/>
                    </a:stretch>
                  </pic:blipFill>
                  <pic:spPr>
                    <a:xfrm>
                      <a:off x="0" y="0"/>
                      <a:ext cx="5486400" cy="2909292"/>
                    </a:xfrm>
                    <a:prstGeom prst="rect"/>
                  </pic:spPr>
                </pic:pic>
              </a:graphicData>
            </a:graphic>
          </wp:inline>
        </w:drawing>
      </w:r>
    </w:p>
    <w:p>
      <w:pPr>
        <w:jc w:val="center"/>
      </w:pPr>
      <w:r>
        <w:t>Figure 3: Real-Time Diagnostic Execution Console with Dedicated Auto-Flushed File Logging</w:t>
      </w:r>
    </w:p>
    <w:p>
      <w:r>
        <w:br w:type="page"/>
      </w:r>
    </w:p>
    <w:p>
      <w:pPr>
        <w:pStyle w:val="Heading1"/>
      </w:pPr>
      <w:r>
        <w:t>4. Prerequisites &amp; Compatibility Matrix</w:t>
      </w:r>
    </w:p>
    <w:p>
      <w:r>
        <w:t>The application has been extensively tested across enterprise operating systems and database releases:</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120" w:type="dxa"/>
              <w:bottom w:w="120" w:type="dxa"/>
              <w:left w:w="150" w:type="dxa"/>
              <w:right w:w="150" w:type="dxa"/>
            </w:tcMar>
          </w:tcPr>
          <w:p>
            <w:pPr>
              <w:jc w:val="left"/>
            </w:pPr>
            <w:r>
              <w:rPr>
                <w:rFonts w:ascii="Calibri" w:hAnsi="Calibri"/>
                <w:b/>
                <w:color w:val="FFFFFF"/>
                <w:sz w:val="19"/>
              </w:rPr>
              <w:t>Operating System</w:t>
            </w:r>
          </w:p>
        </w:tc>
        <w:tc>
          <w:tcPr>
            <w:tcW w:type="dxa" w:w="2340"/>
            <w:shd w:fill="1E293B"/>
            <w:tcMar>
              <w:top w:w="120" w:type="dxa"/>
              <w:bottom w:w="120" w:type="dxa"/>
              <w:left w:w="150" w:type="dxa"/>
              <w:right w:w="150" w:type="dxa"/>
            </w:tcMar>
          </w:tcPr>
          <w:p>
            <w:pPr>
              <w:jc w:val="left"/>
            </w:pPr>
            <w:r>
              <w:rPr>
                <w:rFonts w:ascii="Calibri" w:hAnsi="Calibri"/>
                <w:b/>
                <w:color w:val="FFFFFF"/>
                <w:sz w:val="19"/>
              </w:rPr>
              <w:t>Architectures</w:t>
            </w:r>
          </w:p>
        </w:tc>
        <w:tc>
          <w:tcPr>
            <w:tcW w:type="dxa" w:w="2340"/>
            <w:shd w:fill="1E293B"/>
            <w:tcMar>
              <w:top w:w="120" w:type="dxa"/>
              <w:bottom w:w="120" w:type="dxa"/>
              <w:left w:w="150" w:type="dxa"/>
              <w:right w:w="150" w:type="dxa"/>
            </w:tcMar>
          </w:tcPr>
          <w:p>
            <w:pPr>
              <w:jc w:val="left"/>
            </w:pPr>
            <w:r>
              <w:rPr>
                <w:rFonts w:ascii="Calibri" w:hAnsi="Calibri"/>
                <w:b/>
                <w:color w:val="FFFFFF"/>
                <w:sz w:val="19"/>
              </w:rPr>
              <w:t>Support Tier</w:t>
            </w:r>
          </w:p>
        </w:tc>
        <w:tc>
          <w:tcPr>
            <w:tcW w:type="dxa" w:w="2340"/>
            <w:shd w:fill="1E293B"/>
            <w:tcMar>
              <w:top w:w="120" w:type="dxa"/>
              <w:bottom w:w="120" w:type="dxa"/>
              <w:left w:w="150" w:type="dxa"/>
              <w:right w:w="150" w:type="dxa"/>
            </w:tcMar>
          </w:tcPr>
          <w:p>
            <w:pPr>
              <w:jc w:val="left"/>
            </w:pPr>
            <w:r>
              <w:rPr>
                <w:rFonts w:ascii="Calibri" w:hAnsi="Calibri"/>
                <w:b/>
                <w:color w:val="FFFFFF"/>
                <w:sz w:val="19"/>
              </w:rPr>
              <w:t>Operational Notes</w:t>
            </w:r>
          </w:p>
        </w:tc>
      </w:tr>
      <w:tr>
        <w:tc>
          <w:tcPr>
            <w:tcW w:type="dxa" w:w="2340"/>
            <w:shd w:fill="F8FAFC"/>
            <w:tcMar>
              <w:top w:w="100" w:type="dxa"/>
              <w:bottom w:w="100" w:type="dxa"/>
              <w:left w:w="150" w:type="dxa"/>
              <w:right w:w="150" w:type="dxa"/>
            </w:tcMar>
          </w:tcPr>
          <w:p>
            <w:r>
              <w:rPr>
                <w:rFonts w:ascii="Calibri" w:hAnsi="Calibri"/>
                <w:color w:val="1E293B"/>
                <w:sz w:val="18"/>
              </w:rPr>
              <w:t>Windows 11 / 10</w:t>
            </w:r>
          </w:p>
        </w:tc>
        <w:tc>
          <w:tcPr>
            <w:tcW w:type="dxa" w:w="2340"/>
            <w:shd w:fill="F8FAFC"/>
            <w:tcMar>
              <w:top w:w="100" w:type="dxa"/>
              <w:bottom w:w="100" w:type="dxa"/>
              <w:left w:w="150" w:type="dxa"/>
              <w:right w:w="150" w:type="dxa"/>
            </w:tcMar>
          </w:tcPr>
          <w:p>
            <w:r>
              <w:rPr>
                <w:rFonts w:ascii="Calibri" w:hAnsi="Calibri"/>
                <w:color w:val="1E293B"/>
                <w:sz w:val="18"/>
              </w:rPr>
              <w:t>x64, ARM64, x86</w:t>
            </w:r>
          </w:p>
        </w:tc>
        <w:tc>
          <w:tcPr>
            <w:tcW w:type="dxa" w:w="2340"/>
            <w:shd w:fill="F8FAFC"/>
            <w:tcMar>
              <w:top w:w="100" w:type="dxa"/>
              <w:bottom w:w="100" w:type="dxa"/>
              <w:left w:w="150" w:type="dxa"/>
              <w:right w:w="150" w:type="dxa"/>
            </w:tcMar>
          </w:tcPr>
          <w:p>
            <w:r>
              <w:rPr>
                <w:rFonts w:ascii="Calibri" w:hAnsi="Calibri"/>
                <w:color w:val="1E293B"/>
                <w:sz w:val="18"/>
              </w:rPr>
              <w:t>Tier 1 (Native)</w:t>
            </w:r>
          </w:p>
        </w:tc>
        <w:tc>
          <w:tcPr>
            <w:tcW w:type="dxa" w:w="2340"/>
            <w:shd w:fill="F8FAFC"/>
            <w:tcMar>
              <w:top w:w="100" w:type="dxa"/>
              <w:bottom w:w="100" w:type="dxa"/>
              <w:left w:w="150" w:type="dxa"/>
              <w:right w:w="150" w:type="dxa"/>
            </w:tcMar>
          </w:tcPr>
          <w:p>
            <w:r>
              <w:rPr>
                <w:rFonts w:ascii="Calibri" w:hAnsi="Calibri"/>
                <w:color w:val="1E293B"/>
                <w:sz w:val="18"/>
              </w:rPr>
              <w:t>Full native GUI, Task Scheduler &amp; modern ODBC 18 support</w:t>
            </w:r>
          </w:p>
        </w:tc>
      </w:tr>
      <w:tr>
        <w:tc>
          <w:tcPr>
            <w:tcW w:type="dxa" w:w="2340"/>
            <w:shd w:fill="FFFFFF"/>
            <w:tcMar>
              <w:top w:w="100" w:type="dxa"/>
              <w:bottom w:w="100" w:type="dxa"/>
              <w:left w:w="150" w:type="dxa"/>
              <w:right w:w="150" w:type="dxa"/>
            </w:tcMar>
          </w:tcPr>
          <w:p>
            <w:r>
              <w:rPr>
                <w:rFonts w:ascii="Calibri" w:hAnsi="Calibri"/>
                <w:color w:val="1E293B"/>
                <w:sz w:val="18"/>
              </w:rPr>
              <w:t>Windows Server 2025 / 2022 / 2019</w:t>
            </w:r>
          </w:p>
        </w:tc>
        <w:tc>
          <w:tcPr>
            <w:tcW w:type="dxa" w:w="2340"/>
            <w:shd w:fill="FFFFFF"/>
            <w:tcMar>
              <w:top w:w="100" w:type="dxa"/>
              <w:bottom w:w="100" w:type="dxa"/>
              <w:left w:w="150" w:type="dxa"/>
              <w:right w:w="150" w:type="dxa"/>
            </w:tcMar>
          </w:tcPr>
          <w:p>
            <w:r>
              <w:rPr>
                <w:rFonts w:ascii="Calibri" w:hAnsi="Calibri"/>
                <w:color w:val="1E293B"/>
                <w:sz w:val="18"/>
              </w:rPr>
              <w:t>x64</w:t>
            </w:r>
          </w:p>
        </w:tc>
        <w:tc>
          <w:tcPr>
            <w:tcW w:type="dxa" w:w="2340"/>
            <w:shd w:fill="FFFFFF"/>
            <w:tcMar>
              <w:top w:w="100" w:type="dxa"/>
              <w:bottom w:w="100" w:type="dxa"/>
              <w:left w:w="150" w:type="dxa"/>
              <w:right w:w="150" w:type="dxa"/>
            </w:tcMar>
          </w:tcPr>
          <w:p>
            <w:r>
              <w:rPr>
                <w:rFonts w:ascii="Calibri" w:hAnsi="Calibri"/>
                <w:color w:val="1E293B"/>
                <w:sz w:val="18"/>
              </w:rPr>
              <w:t>Tier 1 (Native)</w:t>
            </w:r>
          </w:p>
        </w:tc>
        <w:tc>
          <w:tcPr>
            <w:tcW w:type="dxa" w:w="2340"/>
            <w:shd w:fill="FFFFFF"/>
            <w:tcMar>
              <w:top w:w="100" w:type="dxa"/>
              <w:bottom w:w="100" w:type="dxa"/>
              <w:left w:w="150" w:type="dxa"/>
              <w:right w:w="150" w:type="dxa"/>
            </w:tcMar>
          </w:tcPr>
          <w:p>
            <w:r>
              <w:rPr>
                <w:rFonts w:ascii="Calibri" w:hAnsi="Calibri"/>
                <w:color w:val="1E293B"/>
                <w:sz w:val="18"/>
              </w:rPr>
              <w:t>Full Session 0 Unattended Service support, RDP persistent</w:t>
            </w:r>
          </w:p>
        </w:tc>
      </w:tr>
      <w:tr>
        <w:tc>
          <w:tcPr>
            <w:tcW w:type="dxa" w:w="2340"/>
            <w:shd w:fill="F8FAFC"/>
            <w:tcMar>
              <w:top w:w="100" w:type="dxa"/>
              <w:bottom w:w="100" w:type="dxa"/>
              <w:left w:w="150" w:type="dxa"/>
              <w:right w:w="150" w:type="dxa"/>
            </w:tcMar>
          </w:tcPr>
          <w:p>
            <w:r>
              <w:rPr>
                <w:rFonts w:ascii="Calibri" w:hAnsi="Calibri"/>
                <w:color w:val="1E293B"/>
                <w:sz w:val="18"/>
              </w:rPr>
              <w:t>Windows Server 2016 / 2012 / R2</w:t>
            </w:r>
          </w:p>
        </w:tc>
        <w:tc>
          <w:tcPr>
            <w:tcW w:type="dxa" w:w="2340"/>
            <w:shd w:fill="F8FAFC"/>
            <w:tcMar>
              <w:top w:w="100" w:type="dxa"/>
              <w:bottom w:w="100" w:type="dxa"/>
              <w:left w:w="150" w:type="dxa"/>
              <w:right w:w="150" w:type="dxa"/>
            </w:tcMar>
          </w:tcPr>
          <w:p>
            <w:r>
              <w:rPr>
                <w:rFonts w:ascii="Calibri" w:hAnsi="Calibri"/>
                <w:color w:val="1E293B"/>
                <w:sz w:val="18"/>
              </w:rPr>
              <w:t>x64</w:t>
            </w:r>
          </w:p>
        </w:tc>
        <w:tc>
          <w:tcPr>
            <w:tcW w:type="dxa" w:w="2340"/>
            <w:shd w:fill="F8FAFC"/>
            <w:tcMar>
              <w:top w:w="100" w:type="dxa"/>
              <w:bottom w:w="100" w:type="dxa"/>
              <w:left w:w="150" w:type="dxa"/>
              <w:right w:w="150" w:type="dxa"/>
            </w:tcMar>
          </w:tcPr>
          <w:p>
            <w:r>
              <w:rPr>
                <w:rFonts w:ascii="Calibri" w:hAnsi="Calibri"/>
                <w:color w:val="1E293B"/>
                <w:sz w:val="18"/>
              </w:rPr>
              <w:t>Tier 1 (Native)</w:t>
            </w:r>
          </w:p>
        </w:tc>
        <w:tc>
          <w:tcPr>
            <w:tcW w:type="dxa" w:w="2340"/>
            <w:shd w:fill="F8FAFC"/>
            <w:tcMar>
              <w:top w:w="100" w:type="dxa"/>
              <w:bottom w:w="100" w:type="dxa"/>
              <w:left w:w="150" w:type="dxa"/>
              <w:right w:w="150" w:type="dxa"/>
            </w:tcMar>
          </w:tcPr>
          <w:p>
            <w:r>
              <w:rPr>
                <w:rFonts w:ascii="Calibri" w:hAnsi="Calibri"/>
                <w:color w:val="1E293B"/>
                <w:sz w:val="18"/>
              </w:rPr>
              <w:t>Bundled zero-dependency CPython runtime</w:t>
            </w:r>
          </w:p>
        </w:tc>
      </w:tr>
      <w:tr>
        <w:tc>
          <w:tcPr>
            <w:tcW w:type="dxa" w:w="2340"/>
            <w:shd w:fill="FFFFFF"/>
            <w:tcMar>
              <w:top w:w="100" w:type="dxa"/>
              <w:bottom w:w="100" w:type="dxa"/>
              <w:left w:w="150" w:type="dxa"/>
              <w:right w:w="150" w:type="dxa"/>
            </w:tcMar>
          </w:tcPr>
          <w:p>
            <w:r>
              <w:rPr>
                <w:rFonts w:ascii="Calibri" w:hAnsi="Calibri"/>
                <w:color w:val="1E293B"/>
                <w:sz w:val="18"/>
              </w:rPr>
              <w:t>Windows 7 / 8 / Server 2008 R2</w:t>
            </w:r>
          </w:p>
        </w:tc>
        <w:tc>
          <w:tcPr>
            <w:tcW w:type="dxa" w:w="2340"/>
            <w:shd w:fill="FFFFFF"/>
            <w:tcMar>
              <w:top w:w="100" w:type="dxa"/>
              <w:bottom w:w="100" w:type="dxa"/>
              <w:left w:w="150" w:type="dxa"/>
              <w:right w:w="150" w:type="dxa"/>
            </w:tcMar>
          </w:tcPr>
          <w:p>
            <w:r>
              <w:rPr>
                <w:rFonts w:ascii="Calibri" w:hAnsi="Calibri"/>
                <w:color w:val="1E293B"/>
                <w:sz w:val="18"/>
              </w:rPr>
              <w:t>x86, x64</w:t>
            </w:r>
          </w:p>
        </w:tc>
        <w:tc>
          <w:tcPr>
            <w:tcW w:type="dxa" w:w="2340"/>
            <w:shd w:fill="FFFFFF"/>
            <w:tcMar>
              <w:top w:w="100" w:type="dxa"/>
              <w:bottom w:w="100" w:type="dxa"/>
              <w:left w:w="150" w:type="dxa"/>
              <w:right w:w="150" w:type="dxa"/>
            </w:tcMar>
          </w:tcPr>
          <w:p>
            <w:r>
              <w:rPr>
                <w:rFonts w:ascii="Calibri" w:hAnsi="Calibri"/>
                <w:color w:val="1E293B"/>
                <w:sz w:val="18"/>
              </w:rPr>
              <w:t>Tier 2 (Legacy)</w:t>
            </w:r>
          </w:p>
        </w:tc>
        <w:tc>
          <w:tcPr>
            <w:tcW w:type="dxa" w:w="2340"/>
            <w:shd w:fill="FFFFFF"/>
            <w:tcMar>
              <w:top w:w="100" w:type="dxa"/>
              <w:bottom w:w="100" w:type="dxa"/>
              <w:left w:w="150" w:type="dxa"/>
              <w:right w:w="150" w:type="dxa"/>
            </w:tcMar>
          </w:tcPr>
          <w:p>
            <w:r>
              <w:rPr>
                <w:rFonts w:ascii="Calibri" w:hAnsi="Calibri"/>
                <w:color w:val="1E293B"/>
                <w:sz w:val="18"/>
              </w:rPr>
              <w:t>Fully compatible; auto-detects legacy catalog &amp; tools</w:t>
            </w:r>
          </w:p>
        </w:tc>
      </w:tr>
      <w:tr>
        <w:tc>
          <w:tcPr>
            <w:tcW w:type="dxa" w:w="2340"/>
            <w:shd w:fill="F8FAFC"/>
            <w:tcMar>
              <w:top w:w="100" w:type="dxa"/>
              <w:bottom w:w="100" w:type="dxa"/>
              <w:left w:w="150" w:type="dxa"/>
              <w:right w:w="150" w:type="dxa"/>
            </w:tcMar>
          </w:tcPr>
          <w:p>
            <w:r>
              <w:rPr>
                <w:rFonts w:ascii="Calibri" w:hAnsi="Calibri"/>
                <w:color w:val="1E293B"/>
                <w:sz w:val="18"/>
              </w:rPr>
              <w:t>macOS (12 Monterey - 15 Sequoia)</w:t>
            </w:r>
          </w:p>
        </w:tc>
        <w:tc>
          <w:tcPr>
            <w:tcW w:type="dxa" w:w="2340"/>
            <w:shd w:fill="F8FAFC"/>
            <w:tcMar>
              <w:top w:w="100" w:type="dxa"/>
              <w:bottom w:w="100" w:type="dxa"/>
              <w:left w:w="150" w:type="dxa"/>
              <w:right w:w="150" w:type="dxa"/>
            </w:tcMar>
          </w:tcPr>
          <w:p>
            <w:r>
              <w:rPr>
                <w:rFonts w:ascii="Calibri" w:hAnsi="Calibri"/>
                <w:color w:val="1E293B"/>
                <w:sz w:val="18"/>
              </w:rPr>
              <w:t>Intel &amp; Apple Silicon</w:t>
            </w:r>
          </w:p>
        </w:tc>
        <w:tc>
          <w:tcPr>
            <w:tcW w:type="dxa" w:w="2340"/>
            <w:shd w:fill="F8FAFC"/>
            <w:tcMar>
              <w:top w:w="100" w:type="dxa"/>
              <w:bottom w:w="100" w:type="dxa"/>
              <w:left w:w="150" w:type="dxa"/>
              <w:right w:w="150" w:type="dxa"/>
            </w:tcMar>
          </w:tcPr>
          <w:p>
            <w:r>
              <w:rPr>
                <w:rFonts w:ascii="Calibri" w:hAnsi="Calibri"/>
                <w:color w:val="1E293B"/>
                <w:sz w:val="18"/>
              </w:rPr>
              <w:t>Tier 2 (LaunchAgent)</w:t>
            </w:r>
          </w:p>
        </w:tc>
        <w:tc>
          <w:tcPr>
            <w:tcW w:type="dxa" w:w="2340"/>
            <w:shd w:fill="F8FAFC"/>
            <w:tcMar>
              <w:top w:w="100" w:type="dxa"/>
              <w:bottom w:w="100" w:type="dxa"/>
              <w:left w:w="150" w:type="dxa"/>
              <w:right w:w="150" w:type="dxa"/>
            </w:tcMar>
          </w:tcPr>
          <w:p>
            <w:r>
              <w:rPr>
                <w:rFonts w:ascii="Calibri" w:hAnsi="Calibri"/>
                <w:color w:val="1E293B"/>
                <w:sz w:val="18"/>
              </w:rPr>
              <w:t>Headless daemon via launchd plist; native 'open' integration</w:t>
            </w:r>
          </w:p>
        </w:tc>
      </w:tr>
    </w:tbl>
    <w:p>
      <w:pPr>
        <w:spacing w:after="160"/>
      </w:pPr>
    </w:p>
    <w:p>
      <w:pPr>
        <w:pStyle w:val="Heading2"/>
      </w:pPr>
      <w:r>
        <w:t>4.1 Microsoft SQL Server Compatibility</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120" w:type="dxa"/>
              <w:bottom w:w="120" w:type="dxa"/>
              <w:left w:w="150" w:type="dxa"/>
              <w:right w:w="150" w:type="dxa"/>
            </w:tcMar>
          </w:tcPr>
          <w:p>
            <w:pPr>
              <w:jc w:val="left"/>
            </w:pPr>
            <w:r>
              <w:rPr>
                <w:rFonts w:ascii="Calibri" w:hAnsi="Calibri"/>
                <w:b/>
                <w:color w:val="FFFFFF"/>
                <w:sz w:val="19"/>
              </w:rPr>
              <w:t>Database Engine</w:t>
            </w:r>
          </w:p>
        </w:tc>
        <w:tc>
          <w:tcPr>
            <w:tcW w:type="dxa" w:w="2340"/>
            <w:shd w:fill="1E293B"/>
            <w:tcMar>
              <w:top w:w="120" w:type="dxa"/>
              <w:bottom w:w="120" w:type="dxa"/>
              <w:left w:w="150" w:type="dxa"/>
              <w:right w:w="150" w:type="dxa"/>
            </w:tcMar>
          </w:tcPr>
          <w:p>
            <w:pPr>
              <w:jc w:val="left"/>
            </w:pPr>
            <w:r>
              <w:rPr>
                <w:rFonts w:ascii="Calibri" w:hAnsi="Calibri"/>
                <w:b/>
                <w:color w:val="FFFFFF"/>
                <w:sz w:val="19"/>
              </w:rPr>
              <w:t>CLI Executable</w:t>
            </w:r>
          </w:p>
        </w:tc>
        <w:tc>
          <w:tcPr>
            <w:tcW w:type="dxa" w:w="2340"/>
            <w:shd w:fill="1E293B"/>
            <w:tcMar>
              <w:top w:w="120" w:type="dxa"/>
              <w:bottom w:w="120" w:type="dxa"/>
              <w:left w:w="150" w:type="dxa"/>
              <w:right w:w="150" w:type="dxa"/>
            </w:tcMar>
          </w:tcPr>
          <w:p>
            <w:pPr>
              <w:jc w:val="left"/>
            </w:pPr>
            <w:r>
              <w:rPr>
                <w:rFonts w:ascii="Calibri" w:hAnsi="Calibri"/>
                <w:b/>
                <w:color w:val="FFFFFF"/>
                <w:sz w:val="19"/>
              </w:rPr>
              <w:t>Catalog Query</w:t>
            </w:r>
          </w:p>
        </w:tc>
        <w:tc>
          <w:tcPr>
            <w:tcW w:type="dxa" w:w="2340"/>
            <w:shd w:fill="1E293B"/>
            <w:tcMar>
              <w:top w:w="120" w:type="dxa"/>
              <w:bottom w:w="120" w:type="dxa"/>
              <w:left w:w="150" w:type="dxa"/>
              <w:right w:w="150" w:type="dxa"/>
            </w:tcMar>
          </w:tcPr>
          <w:p>
            <w:pPr>
              <w:jc w:val="left"/>
            </w:pPr>
            <w:r>
              <w:rPr>
                <w:rFonts w:ascii="Calibri" w:hAnsi="Calibri"/>
                <w:b/>
                <w:color w:val="FFFFFF"/>
                <w:sz w:val="19"/>
              </w:rPr>
              <w:t>Security &amp; Driver Notes</w:t>
            </w:r>
          </w:p>
        </w:tc>
      </w:tr>
      <w:tr>
        <w:tc>
          <w:tcPr>
            <w:tcW w:type="dxa" w:w="2340"/>
            <w:shd w:fill="F8FAFC"/>
            <w:tcMar>
              <w:top w:w="100" w:type="dxa"/>
              <w:bottom w:w="100" w:type="dxa"/>
              <w:left w:w="150" w:type="dxa"/>
              <w:right w:w="150" w:type="dxa"/>
            </w:tcMar>
          </w:tcPr>
          <w:p>
            <w:r>
              <w:rPr>
                <w:rFonts w:ascii="Calibri" w:hAnsi="Calibri"/>
                <w:color w:val="1E293B"/>
                <w:sz w:val="18"/>
              </w:rPr>
              <w:t>SQL Server 2022</w:t>
            </w:r>
          </w:p>
        </w:tc>
        <w:tc>
          <w:tcPr>
            <w:tcW w:type="dxa" w:w="2340"/>
            <w:shd w:fill="F8FAFC"/>
            <w:tcMar>
              <w:top w:w="100" w:type="dxa"/>
              <w:bottom w:w="100" w:type="dxa"/>
              <w:left w:w="150" w:type="dxa"/>
              <w:right w:w="150" w:type="dxa"/>
            </w:tcMar>
          </w:tcPr>
          <w:p>
            <w:r>
              <w:rPr>
                <w:rFonts w:ascii="Calibri" w:hAnsi="Calibri"/>
                <w:color w:val="1E293B"/>
                <w:sz w:val="18"/>
              </w:rPr>
              <w:t>sqlcmd (ODBC 18)</w:t>
            </w:r>
          </w:p>
        </w:tc>
        <w:tc>
          <w:tcPr>
            <w:tcW w:type="dxa" w:w="2340"/>
            <w:shd w:fill="F8FAFC"/>
            <w:tcMar>
              <w:top w:w="100" w:type="dxa"/>
              <w:bottom w:w="100" w:type="dxa"/>
              <w:left w:w="150" w:type="dxa"/>
              <w:right w:w="150" w:type="dxa"/>
            </w:tcMar>
          </w:tcPr>
          <w:p>
            <w:r>
              <w:rPr>
                <w:rFonts w:ascii="Calibri" w:hAnsi="Calibri"/>
                <w:color w:val="1E293B"/>
                <w:sz w:val="18"/>
              </w:rPr>
              <w:t>sys.databases</w:t>
            </w:r>
          </w:p>
        </w:tc>
        <w:tc>
          <w:tcPr>
            <w:tcW w:type="dxa" w:w="2340"/>
            <w:shd w:fill="F8FAFC"/>
            <w:tcMar>
              <w:top w:w="100" w:type="dxa"/>
              <w:bottom w:w="100" w:type="dxa"/>
              <w:left w:w="150" w:type="dxa"/>
              <w:right w:w="150" w:type="dxa"/>
            </w:tcMar>
          </w:tcPr>
          <w:p>
            <w:r>
              <w:rPr>
                <w:rFonts w:ascii="Calibri" w:hAnsi="Calibri"/>
                <w:color w:val="1E293B"/>
                <w:sz w:val="18"/>
              </w:rPr>
              <w:t>Auto-applies -C (Trust Server Certificate)</w:t>
            </w:r>
          </w:p>
        </w:tc>
      </w:tr>
      <w:tr>
        <w:tc>
          <w:tcPr>
            <w:tcW w:type="dxa" w:w="2340"/>
            <w:shd w:fill="FFFFFF"/>
            <w:tcMar>
              <w:top w:w="100" w:type="dxa"/>
              <w:bottom w:w="100" w:type="dxa"/>
              <w:left w:w="150" w:type="dxa"/>
              <w:right w:w="150" w:type="dxa"/>
            </w:tcMar>
          </w:tcPr>
          <w:p>
            <w:r>
              <w:rPr>
                <w:rFonts w:ascii="Calibri" w:hAnsi="Calibri"/>
                <w:color w:val="1E293B"/>
                <w:sz w:val="18"/>
              </w:rPr>
              <w:t>SQL Server 2019 / 2017</w:t>
            </w:r>
          </w:p>
        </w:tc>
        <w:tc>
          <w:tcPr>
            <w:tcW w:type="dxa" w:w="2340"/>
            <w:shd w:fill="FFFFFF"/>
            <w:tcMar>
              <w:top w:w="100" w:type="dxa"/>
              <w:bottom w:w="100" w:type="dxa"/>
              <w:left w:w="150" w:type="dxa"/>
              <w:right w:w="150" w:type="dxa"/>
            </w:tcMar>
          </w:tcPr>
          <w:p>
            <w:r>
              <w:rPr>
                <w:rFonts w:ascii="Calibri" w:hAnsi="Calibri"/>
                <w:color w:val="1E293B"/>
                <w:sz w:val="18"/>
              </w:rPr>
              <w:t>sqlcmd (ODBC 17/13)</w:t>
            </w:r>
          </w:p>
        </w:tc>
        <w:tc>
          <w:tcPr>
            <w:tcW w:type="dxa" w:w="2340"/>
            <w:shd w:fill="FFFFFF"/>
            <w:tcMar>
              <w:top w:w="100" w:type="dxa"/>
              <w:bottom w:w="100" w:type="dxa"/>
              <w:left w:w="150" w:type="dxa"/>
              <w:right w:w="150" w:type="dxa"/>
            </w:tcMar>
          </w:tcPr>
          <w:p>
            <w:r>
              <w:rPr>
                <w:rFonts w:ascii="Calibri" w:hAnsi="Calibri"/>
                <w:color w:val="1E293B"/>
                <w:sz w:val="18"/>
              </w:rPr>
              <w:t>sys.databases</w:t>
            </w:r>
          </w:p>
        </w:tc>
        <w:tc>
          <w:tcPr>
            <w:tcW w:type="dxa" w:w="2340"/>
            <w:shd w:fill="FFFFFF"/>
            <w:tcMar>
              <w:top w:w="100" w:type="dxa"/>
              <w:bottom w:w="100" w:type="dxa"/>
              <w:left w:w="150" w:type="dxa"/>
              <w:right w:w="150" w:type="dxa"/>
            </w:tcMar>
          </w:tcPr>
          <w:p>
            <w:r>
              <w:rPr>
                <w:rFonts w:ascii="Calibri" w:hAnsi="Calibri"/>
                <w:color w:val="1E293B"/>
                <w:sz w:val="18"/>
              </w:rPr>
              <w:t>Windows Authentication &amp; SQL sa supported</w:t>
            </w:r>
          </w:p>
        </w:tc>
      </w:tr>
      <w:tr>
        <w:tc>
          <w:tcPr>
            <w:tcW w:type="dxa" w:w="2340"/>
            <w:shd w:fill="F8FAFC"/>
            <w:tcMar>
              <w:top w:w="100" w:type="dxa"/>
              <w:bottom w:w="100" w:type="dxa"/>
              <w:left w:w="150" w:type="dxa"/>
              <w:right w:w="150" w:type="dxa"/>
            </w:tcMar>
          </w:tcPr>
          <w:p>
            <w:r>
              <w:rPr>
                <w:rFonts w:ascii="Calibri" w:hAnsi="Calibri"/>
                <w:color w:val="1E293B"/>
                <w:sz w:val="18"/>
              </w:rPr>
              <w:t>SQL Server 2016 / 2014 / 2012</w:t>
            </w:r>
          </w:p>
        </w:tc>
        <w:tc>
          <w:tcPr>
            <w:tcW w:type="dxa" w:w="2340"/>
            <w:shd w:fill="F8FAFC"/>
            <w:tcMar>
              <w:top w:w="100" w:type="dxa"/>
              <w:bottom w:w="100" w:type="dxa"/>
              <w:left w:w="150" w:type="dxa"/>
              <w:right w:w="150" w:type="dxa"/>
            </w:tcMar>
          </w:tcPr>
          <w:p>
            <w:r>
              <w:rPr>
                <w:rFonts w:ascii="Calibri" w:hAnsi="Calibri"/>
                <w:color w:val="1E293B"/>
                <w:sz w:val="18"/>
              </w:rPr>
              <w:t>sqlcmd.exe</w:t>
            </w:r>
          </w:p>
        </w:tc>
        <w:tc>
          <w:tcPr>
            <w:tcW w:type="dxa" w:w="2340"/>
            <w:shd w:fill="F8FAFC"/>
            <w:tcMar>
              <w:top w:w="100" w:type="dxa"/>
              <w:bottom w:w="100" w:type="dxa"/>
              <w:left w:w="150" w:type="dxa"/>
              <w:right w:w="150" w:type="dxa"/>
            </w:tcMar>
          </w:tcPr>
          <w:p>
            <w:r>
              <w:rPr>
                <w:rFonts w:ascii="Calibri" w:hAnsi="Calibri"/>
                <w:color w:val="1E293B"/>
                <w:sz w:val="18"/>
              </w:rPr>
              <w:t>sys.databases</w:t>
            </w:r>
          </w:p>
        </w:tc>
        <w:tc>
          <w:tcPr>
            <w:tcW w:type="dxa" w:w="2340"/>
            <w:shd w:fill="F8FAFC"/>
            <w:tcMar>
              <w:top w:w="100" w:type="dxa"/>
              <w:bottom w:w="100" w:type="dxa"/>
              <w:left w:w="150" w:type="dxa"/>
              <w:right w:w="150" w:type="dxa"/>
            </w:tcMar>
          </w:tcPr>
          <w:p>
            <w:r>
              <w:rPr>
                <w:rFonts w:ascii="Calibri" w:hAnsi="Calibri"/>
                <w:color w:val="1E293B"/>
                <w:sz w:val="18"/>
              </w:rPr>
              <w:t>Standard execution; adaptive timeout protection</w:t>
            </w:r>
          </w:p>
        </w:tc>
      </w:tr>
      <w:tr>
        <w:tc>
          <w:tcPr>
            <w:tcW w:type="dxa" w:w="2340"/>
            <w:shd w:fill="FFFFFF"/>
            <w:tcMar>
              <w:top w:w="100" w:type="dxa"/>
              <w:bottom w:w="100" w:type="dxa"/>
              <w:left w:w="150" w:type="dxa"/>
              <w:right w:w="150" w:type="dxa"/>
            </w:tcMar>
          </w:tcPr>
          <w:p>
            <w:r>
              <w:rPr>
                <w:rFonts w:ascii="Calibri" w:hAnsi="Calibri"/>
                <w:color w:val="1E293B"/>
                <w:sz w:val="18"/>
              </w:rPr>
              <w:t>SQL Server 2008 / 2008 R2</w:t>
            </w:r>
          </w:p>
        </w:tc>
        <w:tc>
          <w:tcPr>
            <w:tcW w:type="dxa" w:w="2340"/>
            <w:shd w:fill="FFFFFF"/>
            <w:tcMar>
              <w:top w:w="100" w:type="dxa"/>
              <w:bottom w:w="100" w:type="dxa"/>
              <w:left w:w="150" w:type="dxa"/>
              <w:right w:w="150" w:type="dxa"/>
            </w:tcMar>
          </w:tcPr>
          <w:p>
            <w:r>
              <w:rPr>
                <w:rFonts w:ascii="Calibri" w:hAnsi="Calibri"/>
                <w:color w:val="1E293B"/>
                <w:sz w:val="18"/>
              </w:rPr>
              <w:t>sqlcmd / osql</w:t>
            </w:r>
          </w:p>
        </w:tc>
        <w:tc>
          <w:tcPr>
            <w:tcW w:type="dxa" w:w="2340"/>
            <w:shd w:fill="FFFFFF"/>
            <w:tcMar>
              <w:top w:w="100" w:type="dxa"/>
              <w:bottom w:w="100" w:type="dxa"/>
              <w:left w:w="150" w:type="dxa"/>
              <w:right w:w="150" w:type="dxa"/>
            </w:tcMar>
          </w:tcPr>
          <w:p>
            <w:r>
              <w:rPr>
                <w:rFonts w:ascii="Calibri" w:hAnsi="Calibri"/>
                <w:color w:val="1E293B"/>
                <w:sz w:val="18"/>
              </w:rPr>
              <w:t>sys.databases</w:t>
            </w:r>
          </w:p>
        </w:tc>
        <w:tc>
          <w:tcPr>
            <w:tcW w:type="dxa" w:w="2340"/>
            <w:shd w:fill="FFFFFF"/>
            <w:tcMar>
              <w:top w:w="100" w:type="dxa"/>
              <w:bottom w:w="100" w:type="dxa"/>
              <w:left w:w="150" w:type="dxa"/>
              <w:right w:w="150" w:type="dxa"/>
            </w:tcMar>
          </w:tcPr>
          <w:p>
            <w:r>
              <w:rPr>
                <w:rFonts w:ascii="Calibri" w:hAnsi="Calibri"/>
                <w:color w:val="1E293B"/>
                <w:sz w:val="18"/>
              </w:rPr>
              <w:t>Auto-fallback if modern ODBC flags rejected</w:t>
            </w:r>
          </w:p>
        </w:tc>
      </w:tr>
      <w:tr>
        <w:tc>
          <w:tcPr>
            <w:tcW w:type="dxa" w:w="2340"/>
            <w:shd w:fill="F8FAFC"/>
            <w:tcMar>
              <w:top w:w="100" w:type="dxa"/>
              <w:bottom w:w="100" w:type="dxa"/>
              <w:left w:w="150" w:type="dxa"/>
              <w:right w:w="150" w:type="dxa"/>
            </w:tcMar>
          </w:tcPr>
          <w:p>
            <w:r>
              <w:rPr>
                <w:rFonts w:ascii="Calibri" w:hAnsi="Calibri"/>
                <w:color w:val="1E293B"/>
                <w:sz w:val="18"/>
              </w:rPr>
              <w:t>SQL Server 2005 / 2000</w:t>
            </w:r>
          </w:p>
        </w:tc>
        <w:tc>
          <w:tcPr>
            <w:tcW w:type="dxa" w:w="2340"/>
            <w:shd w:fill="F8FAFC"/>
            <w:tcMar>
              <w:top w:w="100" w:type="dxa"/>
              <w:bottom w:w="100" w:type="dxa"/>
              <w:left w:w="150" w:type="dxa"/>
              <w:right w:w="150" w:type="dxa"/>
            </w:tcMar>
          </w:tcPr>
          <w:p>
            <w:r>
              <w:rPr>
                <w:rFonts w:ascii="Calibri" w:hAnsi="Calibri"/>
                <w:color w:val="1E293B"/>
                <w:sz w:val="18"/>
              </w:rPr>
              <w:t>osql.exe</w:t>
            </w:r>
          </w:p>
        </w:tc>
        <w:tc>
          <w:tcPr>
            <w:tcW w:type="dxa" w:w="2340"/>
            <w:shd w:fill="F8FAFC"/>
            <w:tcMar>
              <w:top w:w="100" w:type="dxa"/>
              <w:bottom w:w="100" w:type="dxa"/>
              <w:left w:w="150" w:type="dxa"/>
              <w:right w:w="150" w:type="dxa"/>
            </w:tcMar>
          </w:tcPr>
          <w:p>
            <w:r>
              <w:rPr>
                <w:rFonts w:ascii="Calibri" w:hAnsi="Calibri"/>
                <w:color w:val="1E293B"/>
                <w:sz w:val="18"/>
              </w:rPr>
              <w:t>master.dbo.sysdatabases</w:t>
            </w:r>
          </w:p>
        </w:tc>
        <w:tc>
          <w:tcPr>
            <w:tcW w:type="dxa" w:w="2340"/>
            <w:shd w:fill="F8FAFC"/>
            <w:tcMar>
              <w:top w:w="100" w:type="dxa"/>
              <w:bottom w:w="100" w:type="dxa"/>
              <w:left w:w="150" w:type="dxa"/>
              <w:right w:w="150" w:type="dxa"/>
            </w:tcMar>
          </w:tcPr>
          <w:p>
            <w:r>
              <w:rPr>
                <w:rFonts w:ascii="Calibri" w:hAnsi="Calibri"/>
                <w:color w:val="1E293B"/>
                <w:sz w:val="18"/>
              </w:rPr>
              <w:t>Auto-detects missing sys.databases; queries sysdatabases</w:t>
            </w:r>
          </w:p>
        </w:tc>
      </w:tr>
    </w:tbl>
    <w:p>
      <w:pPr>
        <w:spacing w:after="160"/>
      </w:pPr>
    </w:p>
    <w:p>
      <w:pPr>
        <w:pStyle w:val="Heading1"/>
      </w:pPr>
      <w:r>
        <w:t>5. Complete Installation &amp; Deployment Runbook</w:t>
      </w:r>
    </w:p>
    <w:p>
      <w:r>
        <w:t>To accommodate diverse enterprise infrastructure, the system supports four distinct deployment methods:</w:t>
      </w:r>
    </w:p>
    <w:p>
      <w:pPr>
        <w:jc w:val="center"/>
      </w:pPr>
      <w:r>
        <w:drawing>
          <wp:inline xmlns:a="http://schemas.openxmlformats.org/drawingml/2006/main" xmlns:pic="http://schemas.openxmlformats.org/drawingml/2006/picture">
            <wp:extent cx="4114800" cy="3600450"/>
            <wp:docPr id="5" name="Picture 5"/>
            <wp:cNvGraphicFramePr>
              <a:graphicFrameLocks noChangeAspect="1"/>
            </wp:cNvGraphicFramePr>
            <a:graphic>
              <a:graphicData uri="http://schemas.openxmlformats.org/drawingml/2006/picture">
                <pic:pic>
                  <pic:nvPicPr>
                    <pic:cNvPr id="0" name="04_setup_wizard_start.png"/>
                    <pic:cNvPicPr/>
                  </pic:nvPicPr>
                  <pic:blipFill>
                    <a:blip r:embed="rId15"/>
                    <a:stretch>
                      <a:fillRect/>
                    </a:stretch>
                  </pic:blipFill>
                  <pic:spPr>
                    <a:xfrm>
                      <a:off x="0" y="0"/>
                      <a:ext cx="4114800" cy="3600450"/>
                    </a:xfrm>
                    <a:prstGeom prst="rect"/>
                  </pic:spPr>
                </pic:pic>
              </a:graphicData>
            </a:graphic>
          </wp:inline>
        </w:drawing>
      </w:r>
    </w:p>
    <w:p>
      <w:pPr>
        <w:jc w:val="center"/>
      </w:pPr>
      <w:r>
        <w:t>Figure 4: Standalone Graphical Setup Wizard (Setup_DatabaseBackup.exe)</w:t>
      </w:r>
    </w:p>
    <w:p>
      <w:r>
        <w:t>Method A: Standalone Setup Wizard (Setup_DatabaseBackup.exe)</w:t>
        <w:br/>
        <w:t>1. Copy Setup_DatabaseBackup.exe and config.json to the target machine.</w:t>
        <w:br/>
        <w:t>2. Double-click Setup_DatabaseBackup.exe (or Run as Administrator).</w:t>
        <w:br/>
        <w:t>3. Choose the target destination directory (defaults to C:\Program Files\DatabaseBackupApp or %LOCALAPPDATA%\Programs).</w:t>
        <w:br/>
        <w:t>4. Select desired options (Desktop Shortcut, Start Menu Shortcut, Auto-Schedule).</w:t>
        <w:br/>
        <w:t>5. Click Install Now. The setup completes in under 3 seconds.</w:t>
        <w:br/>
        <w:br/>
        <w:t>Method B: Rapid 1-Click Scripted Deployment (1_Quick_Install.bat)</w:t>
        <w:br/>
        <w:t>1. Copy Client_Installation_Package to the target machine.</w:t>
        <w:br/>
        <w:t>2. Right-click 1_Quick_Install.bat and select Run as administrator.</w:t>
        <w:br/>
        <w:t>3. The script automatically requests UAC elevation, creates C:\Program Files\DatabaseBackupApp, copies all runtime files, grants NTFS ACLs on C:\temp\backups, and registers the scheduled task.</w:t>
        <w:br/>
        <w:br/>
        <w:t>Method C: Silent Remote Mass Push (Intune / SCCM / PowerShell)</w:t>
        <w:br/>
        <w:t>Execute the setup wizard with the /silent switch:</w:t>
        <w:br/>
        <w:t xml:space="preserve">    Start-Process Setup_DatabaseBackup.exe -ArgumentList '/silent' -Wait -Verb RunAs</w:t>
        <w:br/>
        <w:br/>
        <w:t>Method D: Developer Source Execution</w:t>
        <w:br/>
        <w:t xml:space="preserve">    cd BackupAutomation</w:t>
        <w:br/>
        <w:t xml:space="preserve">    pip install -r requirements.txt</w:t>
        <w:br/>
        <w:t xml:space="preserve">    python app_gui.py</w:t>
      </w:r>
    </w:p>
    <w:p>
      <w:pPr>
        <w:jc w:val="center"/>
      </w:pPr>
      <w:r>
        <w:drawing>
          <wp:inline xmlns:a="http://schemas.openxmlformats.org/drawingml/2006/main" xmlns:pic="http://schemas.openxmlformats.org/drawingml/2006/picture">
            <wp:extent cx="4114800" cy="3459650"/>
            <wp:docPr id="6" name="Picture 6"/>
            <wp:cNvGraphicFramePr>
              <a:graphicFrameLocks noChangeAspect="1"/>
            </wp:cNvGraphicFramePr>
            <a:graphic>
              <a:graphicData uri="http://schemas.openxmlformats.org/drawingml/2006/picture">
                <pic:pic>
                  <pic:nvPicPr>
                    <pic:cNvPr id="0" name="05_setup_wizard_success.png"/>
                    <pic:cNvPicPr/>
                  </pic:nvPicPr>
                  <pic:blipFill>
                    <a:blip r:embed="rId16"/>
                    <a:stretch>
                      <a:fillRect/>
                    </a:stretch>
                  </pic:blipFill>
                  <pic:spPr>
                    <a:xfrm>
                      <a:off x="0" y="0"/>
                      <a:ext cx="4114800" cy="3459650"/>
                    </a:xfrm>
                    <a:prstGeom prst="rect"/>
                  </pic:spPr>
                </pic:pic>
              </a:graphicData>
            </a:graphic>
          </wp:inline>
        </w:drawing>
      </w:r>
    </w:p>
    <w:p>
      <w:pPr>
        <w:jc w:val="center"/>
      </w:pPr>
      <w:r>
        <w:t>Figure 5: Setup Wizard Successful Installation Confirmation</w:t>
      </w:r>
    </w:p>
    <w:p>
      <w:r>
        <w:br w:type="page"/>
      </w:r>
    </w:p>
    <w:p>
      <w:pPr>
        <w:pStyle w:val="Heading1"/>
      </w:pPr>
      <w:r>
        <w:t>6. In-Place Upgrades &amp; Zero-Downtime Updates</w:t>
      </w:r>
    </w:p>
    <w:p>
      <w:r>
        <w:t>Updating an application on customer production servers must be fast, reliable, and guaranteed never to erase customer configurations. Traditional installers wipe customer settings (config.json) or Google OAuth tokens (token.json), breaking scheduled backups.</w:t>
      </w:r>
    </w:p>
    <w:p>
      <w:r>
        <w:t>Our deployment package includes a dedicated 1-click in-place update engine (Update_App.bat) that executes in under 5 seconds:</w:t>
        <w:br/>
        <w:t>1. Discovers existing installation location via Windows Registry or Program Files.</w:t>
        <w:br/>
        <w:t>2. Gracefully terminates any active GUI or background backup processes to release file locks.</w:t>
        <w:br/>
        <w:t>3. Creates an isolated safety snapshot in %TEMP%\DB_Backup_Config_Safety backing up config.json, token.json, credentials.json, and backup_log.txt.</w:t>
        <w:br/>
        <w:t>4. Mirrors updated binaries from AppFiles\ using Robocopy.</w:t>
        <w:br/>
        <w:t>5. Restores the exact customer configurations and tokens with 100% integrity.</w:t>
        <w:br/>
        <w:t>6. Performs a headless verification check (DatabaseBackupApp.exe --auto) to confirm engine health.</w:t>
      </w:r>
    </w:p>
    <w:p>
      <w:pPr>
        <w:pStyle w:val="Heading1"/>
      </w:pPr>
      <w:r>
        <w:t>7. Complete Clean Uninstallation Runbook (Zero Leftovers)</w:t>
      </w:r>
    </w:p>
    <w:p>
      <w:r>
        <w:t>To guarantee compliance and clean decommission, the uninstallation process completely removes 100% of installed files, shortcuts, registry keys, and background tasks.</w:t>
      </w:r>
    </w:p>
    <w:p>
      <w:r>
        <w:t>Four Methods to Uninstall:</w:t>
        <w:br/>
        <w:t>1. Windows Control Panel: Go to Settings &gt; Apps &gt; Installed apps &gt; Database Cloud Backup &gt; Uninstall.</w:t>
        <w:br/>
        <w:t>2. In-App Console: In the desktop GUI, go to the Settings tab and click Uninstall Application.</w:t>
        <w:br/>
        <w:t>3. Interactive Script: Right-click Uninstall.bat and select Run as administrator.</w:t>
        <w:br/>
        <w:t>4. Silent Automated Push: Execute 'Uninstall.bat /silent' via remote management.</w:t>
      </w:r>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DC2626"/>
              <w:top w:val="none"/>
              <w:right w:val="none"/>
              <w:bottom w:val="none"/>
            </w:tcBorders>
          </w:tcPr>
          <w:p>
            <w:pPr>
              <w:spacing w:before="40" w:after="40"/>
            </w:pPr>
            <w:r>
              <w:rPr>
                <w:rFonts w:ascii="Calibri" w:hAnsi="Calibri"/>
                <w:b/>
                <w:color w:val="DC2626"/>
                <w:sz w:val="20"/>
              </w:rPr>
              <w:t xml:space="preserve">[ZERO LEFTOVERS GUARANTEE] </w:t>
            </w:r>
            <w:r>
              <w:rPr>
                <w:rFonts w:ascii="Calibri" w:hAnsi="Calibri"/>
                <w:color w:val="1E293B"/>
                <w:sz w:val="20"/>
              </w:rPr>
              <w:t>Detached Cleanup Architecture: On Windows, a running program cannot delete its own folder due to OS file locking. Our uninstaller dispatches a detached background PowerShell job from %TEMP%, exits immediately to release all locks, and purges the application folder with 100% reliability.</w:t>
            </w:r>
          </w:p>
        </w:tc>
      </w:tr>
    </w:tbl>
    <w:p>
      <w:pPr>
        <w:spacing w:after="120"/>
      </w:pPr>
    </w:p>
    <w:p>
      <w:pPr>
        <w:pStyle w:val="Heading1"/>
      </w:pPr>
      <w:r>
        <w:t>8. Configuration Specification (config.json)</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120" w:type="dxa"/>
              <w:bottom w:w="120" w:type="dxa"/>
              <w:left w:w="150" w:type="dxa"/>
              <w:right w:w="150" w:type="dxa"/>
            </w:tcMar>
          </w:tcPr>
          <w:p>
            <w:pPr>
              <w:jc w:val="left"/>
            </w:pPr>
            <w:r>
              <w:rPr>
                <w:rFonts w:ascii="Calibri" w:hAnsi="Calibri"/>
                <w:b/>
                <w:color w:val="FFFFFF"/>
                <w:sz w:val="19"/>
              </w:rPr>
              <w:t>Key Name</w:t>
            </w:r>
          </w:p>
        </w:tc>
        <w:tc>
          <w:tcPr>
            <w:tcW w:type="dxa" w:w="2340"/>
            <w:shd w:fill="1E293B"/>
            <w:tcMar>
              <w:top w:w="120" w:type="dxa"/>
              <w:bottom w:w="120" w:type="dxa"/>
              <w:left w:w="150" w:type="dxa"/>
              <w:right w:w="150" w:type="dxa"/>
            </w:tcMar>
          </w:tcPr>
          <w:p>
            <w:pPr>
              <w:jc w:val="left"/>
            </w:pPr>
            <w:r>
              <w:rPr>
                <w:rFonts w:ascii="Calibri" w:hAnsi="Calibri"/>
                <w:b/>
                <w:color w:val="FFFFFF"/>
                <w:sz w:val="19"/>
              </w:rPr>
              <w:t>Data Type</w:t>
            </w:r>
          </w:p>
        </w:tc>
        <w:tc>
          <w:tcPr>
            <w:tcW w:type="dxa" w:w="2340"/>
            <w:shd w:fill="1E293B"/>
            <w:tcMar>
              <w:top w:w="120" w:type="dxa"/>
              <w:bottom w:w="120" w:type="dxa"/>
              <w:left w:w="150" w:type="dxa"/>
              <w:right w:w="150" w:type="dxa"/>
            </w:tcMar>
          </w:tcPr>
          <w:p>
            <w:pPr>
              <w:jc w:val="left"/>
            </w:pPr>
            <w:r>
              <w:rPr>
                <w:rFonts w:ascii="Calibri" w:hAnsi="Calibri"/>
                <w:b/>
                <w:color w:val="FFFFFF"/>
                <w:sz w:val="19"/>
              </w:rPr>
              <w:t>Default / Example</w:t>
            </w:r>
          </w:p>
        </w:tc>
        <w:tc>
          <w:tcPr>
            <w:tcW w:type="dxa" w:w="2340"/>
            <w:shd w:fill="1E293B"/>
            <w:tcMar>
              <w:top w:w="120" w:type="dxa"/>
              <w:bottom w:w="120" w:type="dxa"/>
              <w:left w:w="150" w:type="dxa"/>
              <w:right w:w="150" w:type="dxa"/>
            </w:tcMar>
          </w:tcPr>
          <w:p>
            <w:pPr>
              <w:jc w:val="left"/>
            </w:pPr>
            <w:r>
              <w:rPr>
                <w:rFonts w:ascii="Calibri" w:hAnsi="Calibri"/>
                <w:b/>
                <w:color w:val="FFFFFF"/>
                <w:sz w:val="19"/>
              </w:rPr>
              <w:t>Description &amp; Purpose</w:t>
            </w:r>
          </w:p>
        </w:tc>
      </w:tr>
      <w:tr>
        <w:tc>
          <w:tcPr>
            <w:tcW w:type="dxa" w:w="2340"/>
            <w:shd w:fill="F8FAFC"/>
            <w:tcMar>
              <w:top w:w="100" w:type="dxa"/>
              <w:bottom w:w="100" w:type="dxa"/>
              <w:left w:w="150" w:type="dxa"/>
              <w:right w:w="150" w:type="dxa"/>
            </w:tcMar>
          </w:tcPr>
          <w:p>
            <w:r>
              <w:rPr>
                <w:rFonts w:ascii="Calibri" w:hAnsi="Calibri"/>
                <w:color w:val="1E293B"/>
                <w:sz w:val="18"/>
              </w:rPr>
              <w:t>DB_SERVER</w:t>
            </w:r>
          </w:p>
        </w:tc>
        <w:tc>
          <w:tcPr>
            <w:tcW w:type="dxa" w:w="2340"/>
            <w:shd w:fill="F8FAFC"/>
            <w:tcMar>
              <w:top w:w="100" w:type="dxa"/>
              <w:bottom w:w="100" w:type="dxa"/>
              <w:left w:w="150" w:type="dxa"/>
              <w:right w:w="150" w:type="dxa"/>
            </w:tcMar>
          </w:tcPr>
          <w:p>
            <w:r>
              <w:rPr>
                <w:rFonts w:ascii="Calibri" w:hAnsi="Calibri"/>
                <w:color w:val="1E293B"/>
                <w:sz w:val="18"/>
              </w:rPr>
              <w:t>String</w:t>
            </w:r>
          </w:p>
        </w:tc>
        <w:tc>
          <w:tcPr>
            <w:tcW w:type="dxa" w:w="2340"/>
            <w:shd w:fill="F8FAFC"/>
            <w:tcMar>
              <w:top w:w="100" w:type="dxa"/>
              <w:bottom w:w="100" w:type="dxa"/>
              <w:left w:w="150" w:type="dxa"/>
              <w:right w:w="150" w:type="dxa"/>
            </w:tcMar>
          </w:tcPr>
          <w:p>
            <w:r>
              <w:rPr>
                <w:rFonts w:ascii="Calibri" w:hAnsi="Calibri"/>
                <w:color w:val="1E293B"/>
                <w:sz w:val="18"/>
              </w:rPr>
              <w:t>localhost\SQL25SARANGA</w:t>
            </w:r>
          </w:p>
        </w:tc>
        <w:tc>
          <w:tcPr>
            <w:tcW w:type="dxa" w:w="2340"/>
            <w:shd w:fill="F8FAFC"/>
            <w:tcMar>
              <w:top w:w="100" w:type="dxa"/>
              <w:bottom w:w="100" w:type="dxa"/>
              <w:left w:w="150" w:type="dxa"/>
              <w:right w:w="150" w:type="dxa"/>
            </w:tcMar>
          </w:tcPr>
          <w:p>
            <w:r>
              <w:rPr>
                <w:rFonts w:ascii="Calibri" w:hAnsi="Calibri"/>
                <w:color w:val="1E293B"/>
                <w:sz w:val="18"/>
              </w:rPr>
              <w:t>Target SQL Server instance name or IP address</w:t>
            </w:r>
          </w:p>
        </w:tc>
      </w:tr>
      <w:tr>
        <w:tc>
          <w:tcPr>
            <w:tcW w:type="dxa" w:w="2340"/>
            <w:shd w:fill="FFFFFF"/>
            <w:tcMar>
              <w:top w:w="100" w:type="dxa"/>
              <w:bottom w:w="100" w:type="dxa"/>
              <w:left w:w="150" w:type="dxa"/>
              <w:right w:w="150" w:type="dxa"/>
            </w:tcMar>
          </w:tcPr>
          <w:p>
            <w:r>
              <w:rPr>
                <w:rFonts w:ascii="Calibri" w:hAnsi="Calibri"/>
                <w:color w:val="1E293B"/>
                <w:sz w:val="18"/>
              </w:rPr>
              <w:t>DB_USER</w:t>
            </w:r>
          </w:p>
        </w:tc>
        <w:tc>
          <w:tcPr>
            <w:tcW w:type="dxa" w:w="2340"/>
            <w:shd w:fill="FFFFFF"/>
            <w:tcMar>
              <w:top w:w="100" w:type="dxa"/>
              <w:bottom w:w="100" w:type="dxa"/>
              <w:left w:w="150" w:type="dxa"/>
              <w:right w:w="150" w:type="dxa"/>
            </w:tcMar>
          </w:tcPr>
          <w:p>
            <w:r>
              <w:rPr>
                <w:rFonts w:ascii="Calibri" w:hAnsi="Calibri"/>
                <w:color w:val="1E293B"/>
                <w:sz w:val="18"/>
              </w:rPr>
              <w:t>String</w:t>
            </w:r>
          </w:p>
        </w:tc>
        <w:tc>
          <w:tcPr>
            <w:tcW w:type="dxa" w:w="2340"/>
            <w:shd w:fill="FFFFFF"/>
            <w:tcMar>
              <w:top w:w="100" w:type="dxa"/>
              <w:bottom w:w="100" w:type="dxa"/>
              <w:left w:w="150" w:type="dxa"/>
              <w:right w:w="150" w:type="dxa"/>
            </w:tcMar>
          </w:tcPr>
          <w:p>
            <w:r>
              <w:rPr>
                <w:rFonts w:ascii="Calibri" w:hAnsi="Calibri"/>
                <w:color w:val="1E293B"/>
                <w:sz w:val="18"/>
              </w:rPr>
              <w:t>"" (Empty for Trusted)</w:t>
            </w:r>
          </w:p>
        </w:tc>
        <w:tc>
          <w:tcPr>
            <w:tcW w:type="dxa" w:w="2340"/>
            <w:shd w:fill="FFFFFF"/>
            <w:tcMar>
              <w:top w:w="100" w:type="dxa"/>
              <w:bottom w:w="100" w:type="dxa"/>
              <w:left w:w="150" w:type="dxa"/>
              <w:right w:w="150" w:type="dxa"/>
            </w:tcMar>
          </w:tcPr>
          <w:p>
            <w:r>
              <w:rPr>
                <w:rFonts w:ascii="Calibri" w:hAnsi="Calibri"/>
                <w:color w:val="1E293B"/>
                <w:sz w:val="18"/>
              </w:rPr>
              <w:t>SQL authentication login (leave empty for Windows Auth)</w:t>
            </w:r>
          </w:p>
        </w:tc>
      </w:tr>
      <w:tr>
        <w:tc>
          <w:tcPr>
            <w:tcW w:type="dxa" w:w="2340"/>
            <w:shd w:fill="F8FAFC"/>
            <w:tcMar>
              <w:top w:w="100" w:type="dxa"/>
              <w:bottom w:w="100" w:type="dxa"/>
              <w:left w:w="150" w:type="dxa"/>
              <w:right w:w="150" w:type="dxa"/>
            </w:tcMar>
          </w:tcPr>
          <w:p>
            <w:r>
              <w:rPr>
                <w:rFonts w:ascii="Calibri" w:hAnsi="Calibri"/>
                <w:color w:val="1E293B"/>
                <w:sz w:val="18"/>
              </w:rPr>
              <w:t>DB_PASSWORD</w:t>
            </w:r>
          </w:p>
        </w:tc>
        <w:tc>
          <w:tcPr>
            <w:tcW w:type="dxa" w:w="2340"/>
            <w:shd w:fill="F8FAFC"/>
            <w:tcMar>
              <w:top w:w="100" w:type="dxa"/>
              <w:bottom w:w="100" w:type="dxa"/>
              <w:left w:w="150" w:type="dxa"/>
              <w:right w:w="150" w:type="dxa"/>
            </w:tcMar>
          </w:tcPr>
          <w:p>
            <w:r>
              <w:rPr>
                <w:rFonts w:ascii="Calibri" w:hAnsi="Calibri"/>
                <w:color w:val="1E293B"/>
                <w:sz w:val="18"/>
              </w:rPr>
              <w:t>String</w:t>
            </w:r>
          </w:p>
        </w:tc>
        <w:tc>
          <w:tcPr>
            <w:tcW w:type="dxa" w:w="2340"/>
            <w:shd w:fill="F8FAFC"/>
            <w:tcMar>
              <w:top w:w="100" w:type="dxa"/>
              <w:bottom w:w="100" w:type="dxa"/>
              <w:left w:w="150" w:type="dxa"/>
              <w:right w:w="150" w:type="dxa"/>
            </w:tcMar>
          </w:tcPr>
          <w:p>
            <w:r>
              <w:rPr>
                <w:rFonts w:ascii="Calibri" w:hAnsi="Calibri"/>
                <w:color w:val="1E293B"/>
                <w:sz w:val="18"/>
              </w:rPr>
              <w:t>"" (Empty for Trusted)</w:t>
            </w:r>
          </w:p>
        </w:tc>
        <w:tc>
          <w:tcPr>
            <w:tcW w:type="dxa" w:w="2340"/>
            <w:shd w:fill="F8FAFC"/>
            <w:tcMar>
              <w:top w:w="100" w:type="dxa"/>
              <w:bottom w:w="100" w:type="dxa"/>
              <w:left w:w="150" w:type="dxa"/>
              <w:right w:w="150" w:type="dxa"/>
            </w:tcMar>
          </w:tcPr>
          <w:p>
            <w:r>
              <w:rPr>
                <w:rFonts w:ascii="Calibri" w:hAnsi="Calibri"/>
                <w:color w:val="1E293B"/>
                <w:sz w:val="18"/>
              </w:rPr>
              <w:t>SQL authentication password</w:t>
            </w:r>
          </w:p>
        </w:tc>
      </w:tr>
      <w:tr>
        <w:tc>
          <w:tcPr>
            <w:tcW w:type="dxa" w:w="2340"/>
            <w:shd w:fill="FFFFFF"/>
            <w:tcMar>
              <w:top w:w="100" w:type="dxa"/>
              <w:bottom w:w="100" w:type="dxa"/>
              <w:left w:w="150" w:type="dxa"/>
              <w:right w:w="150" w:type="dxa"/>
            </w:tcMar>
          </w:tcPr>
          <w:p>
            <w:r>
              <w:rPr>
                <w:rFonts w:ascii="Calibri" w:hAnsi="Calibri"/>
                <w:color w:val="1E293B"/>
                <w:sz w:val="18"/>
              </w:rPr>
              <w:t>TARGET_DATABASES</w:t>
            </w:r>
          </w:p>
        </w:tc>
        <w:tc>
          <w:tcPr>
            <w:tcW w:type="dxa" w:w="2340"/>
            <w:shd w:fill="FFFFFF"/>
            <w:tcMar>
              <w:top w:w="100" w:type="dxa"/>
              <w:bottom w:w="100" w:type="dxa"/>
              <w:left w:w="150" w:type="dxa"/>
              <w:right w:w="150" w:type="dxa"/>
            </w:tcMar>
          </w:tcPr>
          <w:p>
            <w:r>
              <w:rPr>
                <w:rFonts w:ascii="Calibri" w:hAnsi="Calibri"/>
                <w:color w:val="1E293B"/>
                <w:sz w:val="18"/>
              </w:rPr>
              <w:t>Array</w:t>
            </w:r>
          </w:p>
        </w:tc>
        <w:tc>
          <w:tcPr>
            <w:tcW w:type="dxa" w:w="2340"/>
            <w:shd w:fill="FFFFFF"/>
            <w:tcMar>
              <w:top w:w="100" w:type="dxa"/>
              <w:bottom w:w="100" w:type="dxa"/>
              <w:left w:w="150" w:type="dxa"/>
              <w:right w:w="150" w:type="dxa"/>
            </w:tcMar>
          </w:tcPr>
          <w:p>
            <w:r>
              <w:rPr>
                <w:rFonts w:ascii="Calibri" w:hAnsi="Calibri"/>
                <w:color w:val="1E293B"/>
                <w:sz w:val="18"/>
              </w:rPr>
              <w:t>["UserDB", "RGT"]</w:t>
            </w:r>
          </w:p>
        </w:tc>
        <w:tc>
          <w:tcPr>
            <w:tcW w:type="dxa" w:w="2340"/>
            <w:shd w:fill="FFFFFF"/>
            <w:tcMar>
              <w:top w:w="100" w:type="dxa"/>
              <w:bottom w:w="100" w:type="dxa"/>
              <w:left w:w="150" w:type="dxa"/>
              <w:right w:w="150" w:type="dxa"/>
            </w:tcMar>
          </w:tcPr>
          <w:p>
            <w:r>
              <w:rPr>
                <w:rFonts w:ascii="Calibri" w:hAnsi="Calibri"/>
                <w:color w:val="1E293B"/>
                <w:sz w:val="18"/>
              </w:rPr>
              <w:t>List of specific user database names to back up</w:t>
            </w:r>
          </w:p>
        </w:tc>
      </w:tr>
      <w:tr>
        <w:tc>
          <w:tcPr>
            <w:tcW w:type="dxa" w:w="2340"/>
            <w:shd w:fill="F8FAFC"/>
            <w:tcMar>
              <w:top w:w="100" w:type="dxa"/>
              <w:bottom w:w="100" w:type="dxa"/>
              <w:left w:w="150" w:type="dxa"/>
              <w:right w:w="150" w:type="dxa"/>
            </w:tcMar>
          </w:tcPr>
          <w:p>
            <w:r>
              <w:rPr>
                <w:rFonts w:ascii="Calibri" w:hAnsi="Calibri"/>
                <w:color w:val="1E293B"/>
                <w:sz w:val="18"/>
              </w:rPr>
              <w:t>LOCAL_BACKUP_DIR</w:t>
            </w:r>
          </w:p>
        </w:tc>
        <w:tc>
          <w:tcPr>
            <w:tcW w:type="dxa" w:w="2340"/>
            <w:shd w:fill="F8FAFC"/>
            <w:tcMar>
              <w:top w:w="100" w:type="dxa"/>
              <w:bottom w:w="100" w:type="dxa"/>
              <w:left w:w="150" w:type="dxa"/>
              <w:right w:w="150" w:type="dxa"/>
            </w:tcMar>
          </w:tcPr>
          <w:p>
            <w:r>
              <w:rPr>
                <w:rFonts w:ascii="Calibri" w:hAnsi="Calibri"/>
                <w:color w:val="1E293B"/>
                <w:sz w:val="18"/>
              </w:rPr>
              <w:t>String</w:t>
            </w:r>
          </w:p>
        </w:tc>
        <w:tc>
          <w:tcPr>
            <w:tcW w:type="dxa" w:w="2340"/>
            <w:shd w:fill="F8FAFC"/>
            <w:tcMar>
              <w:top w:w="100" w:type="dxa"/>
              <w:bottom w:w="100" w:type="dxa"/>
              <w:left w:w="150" w:type="dxa"/>
              <w:right w:w="150" w:type="dxa"/>
            </w:tcMar>
          </w:tcPr>
          <w:p>
            <w:r>
              <w:rPr>
                <w:rFonts w:ascii="Calibri" w:hAnsi="Calibri"/>
                <w:color w:val="1E293B"/>
                <w:sz w:val="18"/>
              </w:rPr>
              <w:t>C:\temp\backups</w:t>
            </w:r>
          </w:p>
        </w:tc>
        <w:tc>
          <w:tcPr>
            <w:tcW w:type="dxa" w:w="2340"/>
            <w:shd w:fill="F8FAFC"/>
            <w:tcMar>
              <w:top w:w="100" w:type="dxa"/>
              <w:bottom w:w="100" w:type="dxa"/>
              <w:left w:w="150" w:type="dxa"/>
              <w:right w:w="150" w:type="dxa"/>
            </w:tcMar>
          </w:tcPr>
          <w:p>
            <w:r>
              <w:rPr>
                <w:rFonts w:ascii="Calibri" w:hAnsi="Calibri"/>
                <w:color w:val="1E293B"/>
                <w:sz w:val="18"/>
              </w:rPr>
              <w:t>Temporary folder for staging .bak and .zip archives</w:t>
            </w:r>
          </w:p>
        </w:tc>
      </w:tr>
      <w:tr>
        <w:tc>
          <w:tcPr>
            <w:tcW w:type="dxa" w:w="2340"/>
            <w:shd w:fill="FFFFFF"/>
            <w:tcMar>
              <w:top w:w="100" w:type="dxa"/>
              <w:bottom w:w="100" w:type="dxa"/>
              <w:left w:w="150" w:type="dxa"/>
              <w:right w:w="150" w:type="dxa"/>
            </w:tcMar>
          </w:tcPr>
          <w:p>
            <w:r>
              <w:rPr>
                <w:rFonts w:ascii="Calibri" w:hAnsi="Calibri"/>
                <w:color w:val="1E293B"/>
                <w:sz w:val="18"/>
              </w:rPr>
              <w:t>DRIVE_FOLDER_ID</w:t>
            </w:r>
          </w:p>
        </w:tc>
        <w:tc>
          <w:tcPr>
            <w:tcW w:type="dxa" w:w="2340"/>
            <w:shd w:fill="FFFFFF"/>
            <w:tcMar>
              <w:top w:w="100" w:type="dxa"/>
              <w:bottom w:w="100" w:type="dxa"/>
              <w:left w:w="150" w:type="dxa"/>
              <w:right w:w="150" w:type="dxa"/>
            </w:tcMar>
          </w:tcPr>
          <w:p>
            <w:r>
              <w:rPr>
                <w:rFonts w:ascii="Calibri" w:hAnsi="Calibri"/>
                <w:color w:val="1E293B"/>
                <w:sz w:val="18"/>
              </w:rPr>
              <w:t>String</w:t>
            </w:r>
          </w:p>
        </w:tc>
        <w:tc>
          <w:tcPr>
            <w:tcW w:type="dxa" w:w="2340"/>
            <w:shd w:fill="FFFFFF"/>
            <w:tcMar>
              <w:top w:w="100" w:type="dxa"/>
              <w:bottom w:w="100" w:type="dxa"/>
              <w:left w:w="150" w:type="dxa"/>
              <w:right w:w="150" w:type="dxa"/>
            </w:tcMar>
          </w:tcPr>
          <w:p>
            <w:r>
              <w:rPr>
                <w:rFonts w:ascii="Calibri" w:hAnsi="Calibri"/>
                <w:color w:val="1E293B"/>
                <w:sz w:val="18"/>
              </w:rPr>
              <w:t>14X-x01-Zm4eU1h2qksm6...</w:t>
            </w:r>
          </w:p>
        </w:tc>
        <w:tc>
          <w:tcPr>
            <w:tcW w:type="dxa" w:w="2340"/>
            <w:shd w:fill="FFFFFF"/>
            <w:tcMar>
              <w:top w:w="100" w:type="dxa"/>
              <w:bottom w:w="100" w:type="dxa"/>
              <w:left w:w="150" w:type="dxa"/>
              <w:right w:w="150" w:type="dxa"/>
            </w:tcMar>
          </w:tcPr>
          <w:p>
            <w:r>
              <w:rPr>
                <w:rFonts w:ascii="Calibri" w:hAnsi="Calibri"/>
                <w:color w:val="1E293B"/>
                <w:sz w:val="18"/>
              </w:rPr>
              <w:t>Target Google Drive folder ID from Drive URL</w:t>
            </w:r>
          </w:p>
        </w:tc>
      </w:tr>
      <w:tr>
        <w:tc>
          <w:tcPr>
            <w:tcW w:type="dxa" w:w="2340"/>
            <w:shd w:fill="F8FAFC"/>
            <w:tcMar>
              <w:top w:w="100" w:type="dxa"/>
              <w:bottom w:w="100" w:type="dxa"/>
              <w:left w:w="150" w:type="dxa"/>
              <w:right w:w="150" w:type="dxa"/>
            </w:tcMar>
          </w:tcPr>
          <w:p>
            <w:r>
              <w:rPr>
                <w:rFonts w:ascii="Calibri" w:hAnsi="Calibri"/>
                <w:color w:val="1E293B"/>
                <w:sz w:val="18"/>
              </w:rPr>
              <w:t>SHEET_ID</w:t>
            </w:r>
          </w:p>
        </w:tc>
        <w:tc>
          <w:tcPr>
            <w:tcW w:type="dxa" w:w="2340"/>
            <w:shd w:fill="F8FAFC"/>
            <w:tcMar>
              <w:top w:w="100" w:type="dxa"/>
              <w:bottom w:w="100" w:type="dxa"/>
              <w:left w:w="150" w:type="dxa"/>
              <w:right w:w="150" w:type="dxa"/>
            </w:tcMar>
          </w:tcPr>
          <w:p>
            <w:r>
              <w:rPr>
                <w:rFonts w:ascii="Calibri" w:hAnsi="Calibri"/>
                <w:color w:val="1E293B"/>
                <w:sz w:val="18"/>
              </w:rPr>
              <w:t>String</w:t>
            </w:r>
          </w:p>
        </w:tc>
        <w:tc>
          <w:tcPr>
            <w:tcW w:type="dxa" w:w="2340"/>
            <w:shd w:fill="F8FAFC"/>
            <w:tcMar>
              <w:top w:w="100" w:type="dxa"/>
              <w:bottom w:w="100" w:type="dxa"/>
              <w:left w:w="150" w:type="dxa"/>
              <w:right w:w="150" w:type="dxa"/>
            </w:tcMar>
          </w:tcPr>
          <w:p>
            <w:r>
              <w:rPr>
                <w:rFonts w:ascii="Calibri" w:hAnsi="Calibri"/>
                <w:color w:val="1E293B"/>
                <w:sz w:val="18"/>
              </w:rPr>
              <w:t>1O7-sh1JTJas-JSmSkERep...</w:t>
            </w:r>
          </w:p>
        </w:tc>
        <w:tc>
          <w:tcPr>
            <w:tcW w:type="dxa" w:w="2340"/>
            <w:shd w:fill="F8FAFC"/>
            <w:tcMar>
              <w:top w:w="100" w:type="dxa"/>
              <w:bottom w:w="100" w:type="dxa"/>
              <w:left w:w="150" w:type="dxa"/>
              <w:right w:w="150" w:type="dxa"/>
            </w:tcMar>
          </w:tcPr>
          <w:p>
            <w:r>
              <w:rPr>
                <w:rFonts w:ascii="Calibri" w:hAnsi="Calibri"/>
                <w:color w:val="1E293B"/>
                <w:sz w:val="18"/>
              </w:rPr>
              <w:t>Google Sheet ID for real-time audit logging</w:t>
            </w:r>
          </w:p>
        </w:tc>
      </w:tr>
      <w:tr>
        <w:tc>
          <w:tcPr>
            <w:tcW w:type="dxa" w:w="2340"/>
            <w:shd w:fill="FFFFFF"/>
            <w:tcMar>
              <w:top w:w="100" w:type="dxa"/>
              <w:bottom w:w="100" w:type="dxa"/>
              <w:left w:w="150" w:type="dxa"/>
              <w:right w:w="150" w:type="dxa"/>
            </w:tcMar>
          </w:tcPr>
          <w:p>
            <w:r>
              <w:rPr>
                <w:rFonts w:ascii="Calibri" w:hAnsi="Calibri"/>
                <w:color w:val="1E293B"/>
                <w:sz w:val="18"/>
              </w:rPr>
              <w:t>SCHEDULE_DAYS</w:t>
            </w:r>
          </w:p>
        </w:tc>
        <w:tc>
          <w:tcPr>
            <w:tcW w:type="dxa" w:w="2340"/>
            <w:shd w:fill="FFFFFF"/>
            <w:tcMar>
              <w:top w:w="100" w:type="dxa"/>
              <w:bottom w:w="100" w:type="dxa"/>
              <w:left w:w="150" w:type="dxa"/>
              <w:right w:w="150" w:type="dxa"/>
            </w:tcMar>
          </w:tcPr>
          <w:p>
            <w:r>
              <w:rPr>
                <w:rFonts w:ascii="Calibri" w:hAnsi="Calibri"/>
                <w:color w:val="1E293B"/>
                <w:sz w:val="18"/>
              </w:rPr>
              <w:t>Array</w:t>
            </w:r>
          </w:p>
        </w:tc>
        <w:tc>
          <w:tcPr>
            <w:tcW w:type="dxa" w:w="2340"/>
            <w:shd w:fill="FFFFFF"/>
            <w:tcMar>
              <w:top w:w="100" w:type="dxa"/>
              <w:bottom w:w="100" w:type="dxa"/>
              <w:left w:w="150" w:type="dxa"/>
              <w:right w:w="150" w:type="dxa"/>
            </w:tcMar>
          </w:tcPr>
          <w:p>
            <w:r>
              <w:rPr>
                <w:rFonts w:ascii="Calibri" w:hAnsi="Calibri"/>
                <w:color w:val="1E293B"/>
                <w:sz w:val="18"/>
              </w:rPr>
              <w:t>["MON"]</w:t>
            </w:r>
          </w:p>
        </w:tc>
        <w:tc>
          <w:tcPr>
            <w:tcW w:type="dxa" w:w="2340"/>
            <w:shd w:fill="FFFFFF"/>
            <w:tcMar>
              <w:top w:w="100" w:type="dxa"/>
              <w:bottom w:w="100" w:type="dxa"/>
              <w:left w:w="150" w:type="dxa"/>
              <w:right w:w="150" w:type="dxa"/>
            </w:tcMar>
          </w:tcPr>
          <w:p>
            <w:r>
              <w:rPr>
                <w:rFonts w:ascii="Calibri" w:hAnsi="Calibri"/>
                <w:color w:val="1E293B"/>
                <w:sz w:val="18"/>
              </w:rPr>
              <w:t>Active days of week for scheduled execution (MON-SUN)</w:t>
            </w:r>
          </w:p>
        </w:tc>
      </w:tr>
      <w:tr>
        <w:tc>
          <w:tcPr>
            <w:tcW w:type="dxa" w:w="2340"/>
            <w:shd w:fill="F8FAFC"/>
            <w:tcMar>
              <w:top w:w="100" w:type="dxa"/>
              <w:bottom w:w="100" w:type="dxa"/>
              <w:left w:w="150" w:type="dxa"/>
              <w:right w:w="150" w:type="dxa"/>
            </w:tcMar>
          </w:tcPr>
          <w:p>
            <w:r>
              <w:rPr>
                <w:rFonts w:ascii="Calibri" w:hAnsi="Calibri"/>
                <w:color w:val="1E293B"/>
                <w:sz w:val="18"/>
              </w:rPr>
              <w:t>SCHEDULE_TIME</w:t>
            </w:r>
          </w:p>
        </w:tc>
        <w:tc>
          <w:tcPr>
            <w:tcW w:type="dxa" w:w="2340"/>
            <w:shd w:fill="F8FAFC"/>
            <w:tcMar>
              <w:top w:w="100" w:type="dxa"/>
              <w:bottom w:w="100" w:type="dxa"/>
              <w:left w:w="150" w:type="dxa"/>
              <w:right w:w="150" w:type="dxa"/>
            </w:tcMar>
          </w:tcPr>
          <w:p>
            <w:r>
              <w:rPr>
                <w:rFonts w:ascii="Calibri" w:hAnsi="Calibri"/>
                <w:color w:val="1E293B"/>
                <w:sz w:val="18"/>
              </w:rPr>
              <w:t>String</w:t>
            </w:r>
          </w:p>
        </w:tc>
        <w:tc>
          <w:tcPr>
            <w:tcW w:type="dxa" w:w="2340"/>
            <w:shd w:fill="F8FAFC"/>
            <w:tcMar>
              <w:top w:w="100" w:type="dxa"/>
              <w:bottom w:w="100" w:type="dxa"/>
              <w:left w:w="150" w:type="dxa"/>
              <w:right w:w="150" w:type="dxa"/>
            </w:tcMar>
          </w:tcPr>
          <w:p>
            <w:r>
              <w:rPr>
                <w:rFonts w:ascii="Calibri" w:hAnsi="Calibri"/>
                <w:color w:val="1E293B"/>
                <w:sz w:val="18"/>
              </w:rPr>
              <w:t>"02:00"</w:t>
            </w:r>
          </w:p>
        </w:tc>
        <w:tc>
          <w:tcPr>
            <w:tcW w:type="dxa" w:w="2340"/>
            <w:shd w:fill="F8FAFC"/>
            <w:tcMar>
              <w:top w:w="100" w:type="dxa"/>
              <w:bottom w:w="100" w:type="dxa"/>
              <w:left w:w="150" w:type="dxa"/>
              <w:right w:w="150" w:type="dxa"/>
            </w:tcMar>
          </w:tcPr>
          <w:p>
            <w:r>
              <w:rPr>
                <w:rFonts w:ascii="Calibri" w:hAnsi="Calibri"/>
                <w:color w:val="1E293B"/>
                <w:sz w:val="18"/>
              </w:rPr>
              <w:t>24-hour time of scheduled backup execution</w:t>
            </w:r>
          </w:p>
        </w:tc>
      </w:tr>
    </w:tbl>
    <w:p>
      <w:pPr>
        <w:spacing w:after="160"/>
      </w:pPr>
    </w:p>
    <w:p>
      <w:pPr>
        <w:pStyle w:val="Heading1"/>
      </w:pPr>
      <w:r>
        <w:t>9. Database Disaster Recovery &amp; Restoration Runbook</w:t>
      </w:r>
    </w:p>
    <w:p>
      <w:r>
        <w:t>Step 1: Retrieve Archive from Cloud</w:t>
        <w:br/>
        <w:t>Open Google Drive or click the direct URL in the Google Sheet audit log. Download &lt;DatabaseName&gt;_&lt;Timestamp&gt;.zip.</w:t>
        <w:br/>
        <w:br/>
        <w:t>Step 2: Extract Archive</w:t>
        <w:br/>
        <w:t>Extract the raw .bak file using Windows Explorer or PowerShell:</w:t>
        <w:br/>
        <w:t xml:space="preserve">    Expand-Archive -Path 'UserDB_20260925_020000.zip' -DestinationPath 'C:\temp\restore'</w:t>
        <w:br/>
        <w:br/>
        <w:t>Step 3: Execute Database Restore via T-SQL</w:t>
        <w:br/>
        <w:t xml:space="preserve">    RESTORE DATABASE [UserDB]</w:t>
        <w:br/>
        <w:t xml:space="preserve">    FROM DISK = N'C:\temp\restore\UserDB_20260925_020000.bak'</w:t>
        <w:br/>
        <w:t xml:space="preserve">    WITH REPLACE, RECOVERY, STATS = 10;</w:t>
        <w:br/>
        <w:t xml:space="preserve">    GO</w:t>
        <w:br/>
        <w:br/>
        <w:t>Step 4: Verify Database Integrity</w:t>
        <w:br/>
        <w:t xml:space="preserve">    DBCC CHECKDB ([UserDB]) WITH NO_INFOMSGS, ALL_ERRORMSGS;</w:t>
        <w:br/>
        <w:t xml:space="preserve">    GO</w:t>
      </w:r>
    </w:p>
    <w:p>
      <w:pPr>
        <w:pStyle w:val="Heading1"/>
      </w:pPr>
      <w:r>
        <w:t>10. Troubleshooting &amp; Error Diagnostics Matrix</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120" w:type="dxa"/>
              <w:bottom w:w="120" w:type="dxa"/>
              <w:left w:w="150" w:type="dxa"/>
              <w:right w:w="150" w:type="dxa"/>
            </w:tcMar>
          </w:tcPr>
          <w:p>
            <w:pPr>
              <w:jc w:val="left"/>
            </w:pPr>
            <w:r>
              <w:rPr>
                <w:rFonts w:ascii="Calibri" w:hAnsi="Calibri"/>
                <w:b/>
                <w:color w:val="FFFFFF"/>
                <w:sz w:val="19"/>
              </w:rPr>
              <w:t>Error Condition / Symptom</w:t>
            </w:r>
          </w:p>
        </w:tc>
        <w:tc>
          <w:tcPr>
            <w:tcW w:type="dxa" w:w="3120"/>
            <w:shd w:fill="1E293B"/>
            <w:tcMar>
              <w:top w:w="120" w:type="dxa"/>
              <w:bottom w:w="120" w:type="dxa"/>
              <w:left w:w="150" w:type="dxa"/>
              <w:right w:w="150" w:type="dxa"/>
            </w:tcMar>
          </w:tcPr>
          <w:p>
            <w:pPr>
              <w:jc w:val="left"/>
            </w:pPr>
            <w:r>
              <w:rPr>
                <w:rFonts w:ascii="Calibri" w:hAnsi="Calibri"/>
                <w:b/>
                <w:color w:val="FFFFFF"/>
                <w:sz w:val="19"/>
              </w:rPr>
              <w:t>Underlying Root Cause</w:t>
            </w:r>
          </w:p>
        </w:tc>
        <w:tc>
          <w:tcPr>
            <w:tcW w:type="dxa" w:w="3120"/>
            <w:shd w:fill="1E293B"/>
            <w:tcMar>
              <w:top w:w="120" w:type="dxa"/>
              <w:bottom w:w="120" w:type="dxa"/>
              <w:left w:w="150" w:type="dxa"/>
              <w:right w:w="150" w:type="dxa"/>
            </w:tcMar>
          </w:tcPr>
          <w:p>
            <w:pPr>
              <w:jc w:val="left"/>
            </w:pPr>
            <w:r>
              <w:rPr>
                <w:rFonts w:ascii="Calibri" w:hAnsi="Calibri"/>
                <w:b/>
                <w:color w:val="FFFFFF"/>
                <w:sz w:val="19"/>
              </w:rPr>
              <w:t>Autonomous Engine Resolution</w:t>
            </w:r>
          </w:p>
        </w:tc>
      </w:tr>
      <w:tr>
        <w:tc>
          <w:tcPr>
            <w:tcW w:type="dxa" w:w="3120"/>
            <w:shd w:fill="F8FAFC"/>
            <w:tcMar>
              <w:top w:w="100" w:type="dxa"/>
              <w:bottom w:w="100" w:type="dxa"/>
              <w:left w:w="150" w:type="dxa"/>
              <w:right w:w="150" w:type="dxa"/>
            </w:tcMar>
          </w:tcPr>
          <w:p>
            <w:r>
              <w:rPr>
                <w:rFonts w:ascii="Calibri" w:hAnsi="Calibri"/>
                <w:color w:val="1E293B"/>
                <w:sz w:val="18"/>
              </w:rPr>
              <w:t>SQL Error 5 / Msg 3201 (Access Denied)</w:t>
            </w:r>
          </w:p>
        </w:tc>
        <w:tc>
          <w:tcPr>
            <w:tcW w:type="dxa" w:w="3120"/>
            <w:shd w:fill="F8FAFC"/>
            <w:tcMar>
              <w:top w:w="100" w:type="dxa"/>
              <w:bottom w:w="100" w:type="dxa"/>
              <w:left w:w="150" w:type="dxa"/>
              <w:right w:w="150" w:type="dxa"/>
            </w:tcMar>
          </w:tcPr>
          <w:p>
            <w:r>
              <w:rPr>
                <w:rFonts w:ascii="Calibri" w:hAnsi="Calibri"/>
                <w:color w:val="1E293B"/>
                <w:sz w:val="18"/>
              </w:rPr>
              <w:t>SQL Server service account lacks NTFS write permissions</w:t>
            </w:r>
          </w:p>
        </w:tc>
        <w:tc>
          <w:tcPr>
            <w:tcW w:type="dxa" w:w="3120"/>
            <w:shd w:fill="F8FAFC"/>
            <w:tcMar>
              <w:top w:w="100" w:type="dxa"/>
              <w:bottom w:w="100" w:type="dxa"/>
              <w:left w:w="150" w:type="dxa"/>
              <w:right w:w="150" w:type="dxa"/>
            </w:tcMar>
          </w:tcPr>
          <w:p>
            <w:r>
              <w:rPr>
                <w:rFonts w:ascii="Calibri" w:hAnsi="Calibri"/>
                <w:color w:val="1E293B"/>
                <w:sz w:val="18"/>
              </w:rPr>
              <w:t>Engine auto-grants permissions via icacls or writes to InstanceDefaultBackupPath</w:t>
            </w:r>
          </w:p>
        </w:tc>
      </w:tr>
      <w:tr>
        <w:tc>
          <w:tcPr>
            <w:tcW w:type="dxa" w:w="3120"/>
            <w:shd w:fill="FFFFFF"/>
            <w:tcMar>
              <w:top w:w="100" w:type="dxa"/>
              <w:bottom w:w="100" w:type="dxa"/>
              <w:left w:w="150" w:type="dxa"/>
              <w:right w:w="150" w:type="dxa"/>
            </w:tcMar>
          </w:tcPr>
          <w:p>
            <w:r>
              <w:rPr>
                <w:rFonts w:ascii="Calibri" w:hAnsi="Calibri"/>
                <w:color w:val="1E293B"/>
                <w:sz w:val="18"/>
              </w:rPr>
              <w:t>ODBC Driver 18 SSL Provider Error 0</w:t>
            </w:r>
          </w:p>
        </w:tc>
        <w:tc>
          <w:tcPr>
            <w:tcW w:type="dxa" w:w="3120"/>
            <w:shd w:fill="FFFFFF"/>
            <w:tcMar>
              <w:top w:w="100" w:type="dxa"/>
              <w:bottom w:w="100" w:type="dxa"/>
              <w:left w:w="150" w:type="dxa"/>
              <w:right w:w="150" w:type="dxa"/>
            </w:tcMar>
          </w:tcPr>
          <w:p>
            <w:r>
              <w:rPr>
                <w:rFonts w:ascii="Calibri" w:hAnsi="Calibri"/>
                <w:color w:val="1E293B"/>
                <w:sz w:val="18"/>
              </w:rPr>
              <w:t>Self-signed certificate rejects strict encryption</w:t>
            </w:r>
          </w:p>
        </w:tc>
        <w:tc>
          <w:tcPr>
            <w:tcW w:type="dxa" w:w="3120"/>
            <w:shd w:fill="FFFFFF"/>
            <w:tcMar>
              <w:top w:w="100" w:type="dxa"/>
              <w:bottom w:w="100" w:type="dxa"/>
              <w:left w:w="150" w:type="dxa"/>
              <w:right w:w="150" w:type="dxa"/>
            </w:tcMar>
          </w:tcPr>
          <w:p>
            <w:r>
              <w:rPr>
                <w:rFonts w:ascii="Calibri" w:hAnsi="Calibri"/>
                <w:color w:val="1E293B"/>
                <w:sz w:val="18"/>
              </w:rPr>
              <w:t>Engine automatically detects modern driver and injects -C flag</w:t>
            </w:r>
          </w:p>
        </w:tc>
      </w:tr>
      <w:tr>
        <w:tc>
          <w:tcPr>
            <w:tcW w:type="dxa" w:w="3120"/>
            <w:shd w:fill="F8FAFC"/>
            <w:tcMar>
              <w:top w:w="100" w:type="dxa"/>
              <w:bottom w:w="100" w:type="dxa"/>
              <w:left w:w="150" w:type="dxa"/>
              <w:right w:w="150" w:type="dxa"/>
            </w:tcMar>
          </w:tcPr>
          <w:p>
            <w:r>
              <w:rPr>
                <w:rFonts w:ascii="Calibri" w:hAnsi="Calibri"/>
                <w:color w:val="1E293B"/>
                <w:sz w:val="18"/>
              </w:rPr>
              <w:t>WinError 10060 (Connection Timeout)</w:t>
            </w:r>
          </w:p>
        </w:tc>
        <w:tc>
          <w:tcPr>
            <w:tcW w:type="dxa" w:w="3120"/>
            <w:shd w:fill="F8FAFC"/>
            <w:tcMar>
              <w:top w:w="100" w:type="dxa"/>
              <w:bottom w:w="100" w:type="dxa"/>
              <w:left w:w="150" w:type="dxa"/>
              <w:right w:w="150" w:type="dxa"/>
            </w:tcMar>
          </w:tcPr>
          <w:p>
            <w:r>
              <w:rPr>
                <w:rFonts w:ascii="Calibri" w:hAnsi="Calibri"/>
                <w:color w:val="1E293B"/>
                <w:sz w:val="18"/>
              </w:rPr>
              <w:t>Fluctuating broadband connection dropped TCP socket</w:t>
            </w:r>
          </w:p>
        </w:tc>
        <w:tc>
          <w:tcPr>
            <w:tcW w:type="dxa" w:w="3120"/>
            <w:shd w:fill="F8FAFC"/>
            <w:tcMar>
              <w:top w:w="100" w:type="dxa"/>
              <w:bottom w:w="100" w:type="dxa"/>
              <w:left w:w="150" w:type="dxa"/>
              <w:right w:w="150" w:type="dxa"/>
            </w:tcMar>
          </w:tcPr>
          <w:p>
            <w:r>
              <w:rPr>
                <w:rFonts w:ascii="Calibri" w:hAnsi="Calibri"/>
                <w:color w:val="1E293B"/>
                <w:sz w:val="18"/>
              </w:rPr>
              <w:t>In-chunk resumable upload queries resumable_uri and resumes from exact byte offset</w:t>
            </w:r>
          </w:p>
        </w:tc>
      </w:tr>
      <w:tr>
        <w:tc>
          <w:tcPr>
            <w:tcW w:type="dxa" w:w="3120"/>
            <w:shd w:fill="FFFFFF"/>
            <w:tcMar>
              <w:top w:w="100" w:type="dxa"/>
              <w:bottom w:w="100" w:type="dxa"/>
              <w:left w:w="150" w:type="dxa"/>
              <w:right w:w="150" w:type="dxa"/>
            </w:tcMar>
          </w:tcPr>
          <w:p>
            <w:r>
              <w:rPr>
                <w:rFonts w:ascii="Calibri" w:hAnsi="Calibri"/>
                <w:color w:val="1E293B"/>
                <w:sz w:val="18"/>
              </w:rPr>
              <w:t>OAuth Token Expired / Invalid Grant</w:t>
            </w:r>
          </w:p>
        </w:tc>
        <w:tc>
          <w:tcPr>
            <w:tcW w:type="dxa" w:w="3120"/>
            <w:shd w:fill="FFFFFF"/>
            <w:tcMar>
              <w:top w:w="100" w:type="dxa"/>
              <w:bottom w:w="100" w:type="dxa"/>
              <w:left w:w="150" w:type="dxa"/>
              <w:right w:w="150" w:type="dxa"/>
            </w:tcMar>
          </w:tcPr>
          <w:p>
            <w:r>
              <w:rPr>
                <w:rFonts w:ascii="Calibri" w:hAnsi="Calibri"/>
                <w:color w:val="1E293B"/>
                <w:sz w:val="18"/>
              </w:rPr>
              <w:t>Short-lived 60-minute access token expired</w:t>
            </w:r>
          </w:p>
        </w:tc>
        <w:tc>
          <w:tcPr>
            <w:tcW w:type="dxa" w:w="3120"/>
            <w:shd w:fill="FFFFFF"/>
            <w:tcMar>
              <w:top w:w="100" w:type="dxa"/>
              <w:bottom w:w="100" w:type="dxa"/>
              <w:left w:w="150" w:type="dxa"/>
              <w:right w:w="150" w:type="dxa"/>
            </w:tcMar>
          </w:tcPr>
          <w:p>
            <w:r>
              <w:rPr>
                <w:rFonts w:ascii="Calibri" w:hAnsi="Calibri"/>
                <w:color w:val="1E293B"/>
                <w:sz w:val="18"/>
              </w:rPr>
              <w:t>Engine uses offline refresh token in token.json to silently renew tokens</w:t>
            </w:r>
          </w:p>
        </w:tc>
      </w:tr>
      <w:tr>
        <w:tc>
          <w:tcPr>
            <w:tcW w:type="dxa" w:w="3120"/>
            <w:shd w:fill="F8FAFC"/>
            <w:tcMar>
              <w:top w:w="100" w:type="dxa"/>
              <w:bottom w:w="100" w:type="dxa"/>
              <w:left w:w="150" w:type="dxa"/>
              <w:right w:w="150" w:type="dxa"/>
            </w:tcMar>
          </w:tcPr>
          <w:p>
            <w:r>
              <w:rPr>
                <w:rFonts w:ascii="Calibri" w:hAnsi="Calibri"/>
                <w:color w:val="1E293B"/>
                <w:sz w:val="18"/>
              </w:rPr>
              <w:t>Task Scheduler Error 2147942401</w:t>
            </w:r>
          </w:p>
        </w:tc>
        <w:tc>
          <w:tcPr>
            <w:tcW w:type="dxa" w:w="3120"/>
            <w:shd w:fill="F8FAFC"/>
            <w:tcMar>
              <w:top w:w="100" w:type="dxa"/>
              <w:bottom w:w="100" w:type="dxa"/>
              <w:left w:w="150" w:type="dxa"/>
              <w:right w:w="150" w:type="dxa"/>
            </w:tcMar>
          </w:tcPr>
          <w:p>
            <w:r>
              <w:rPr>
                <w:rFonts w:ascii="Calibri" w:hAnsi="Calibri"/>
                <w:color w:val="1E293B"/>
                <w:sz w:val="18"/>
              </w:rPr>
              <w:t>Missing working directory in task configuration</w:t>
            </w:r>
          </w:p>
        </w:tc>
        <w:tc>
          <w:tcPr>
            <w:tcW w:type="dxa" w:w="3120"/>
            <w:shd w:fill="F8FAFC"/>
            <w:tcMar>
              <w:top w:w="100" w:type="dxa"/>
              <w:bottom w:w="100" w:type="dxa"/>
              <w:left w:w="150" w:type="dxa"/>
              <w:right w:w="150" w:type="dxa"/>
            </w:tcMar>
          </w:tcPr>
          <w:p>
            <w:r>
              <w:rPr>
                <w:rFonts w:ascii="Calibri" w:hAnsi="Calibri"/>
                <w:color w:val="1E293B"/>
                <w:sz w:val="18"/>
              </w:rPr>
              <w:t>Setup wizard explicitly registers absolute &lt;WorkingDirectory&gt; XML tag</w:t>
            </w:r>
          </w:p>
        </w:tc>
      </w:tr>
    </w:tbl>
    <w:p>
      <w:pPr>
        <w:spacing w:after="160"/>
      </w:pPr>
    </w:p>
    <w:p>
      <w:pPr>
        <w:pStyle w:val="Heading1"/>
      </w:pPr>
      <w:r>
        <w:t>11. Next-Gen Companion Module: Automated Performance Query System</w:t>
      </w:r>
    </w:p>
    <w:p>
      <w:r>
        <w:t>Currently in active engineering: The Automated Performance Query Companion Module integrates non-intrusive database health and workload telemetry directly into the backup lifecycle.</w:t>
        <w:br/>
        <w:br/>
        <w:t>Captured Diagnostic Metrics:</w:t>
        <w:br/>
        <w:t>1. Top Slowest Queries: Extracts queries consuming the highest CPU worker time and elapsed duration via sys.dm_exec_query_stats.</w:t>
        <w:br/>
        <w:t>2. Missing Index Impact Score: Identifies tables with the highest user cost improvement score via sys.dm_db_missing_index_details.</w:t>
        <w:br/>
        <w:t>3. Index Fragmentation: Analyzes fragmentation percentage via sys.dm_db_index_physical_stats to identify tables requiring reindexing.</w:t>
        <w:br/>
        <w:t>4. Memory &amp; Buffer Pool Pressure: Measures Page Life Expectancy (PLE) and buffer cache hit ratio to diagnose RAM starvation.</w:t>
        <w:br/>
        <w:t>5. Database I/O Stall Latency: Tracks physical read and write latency across .mdf and .ldf storage volumes via sys.dm_io_virtual_file_stats.</w:t>
        <w:br/>
        <w:br/>
        <w:t>Integration &amp; Reporting:</w:t>
        <w:br/>
        <w:t>The module runs a non-blocking 2-second pre-backup health check and appends formatted performance summaries into a dedicated 'Performance Telemetry' tab in the central Google Sheet.</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left w:val="single" w:sz="24" w:space="0" w:color="6366F1"/>
              <w:top w:val="none"/>
              <w:right w:val="none"/>
              <w:bottom w:val="none"/>
            </w:tcBorders>
          </w:tcPr>
          <w:p>
            <w:pPr>
              <w:spacing w:before="40" w:after="40"/>
            </w:pPr>
            <w:r>
              <w:rPr>
                <w:rFonts w:ascii="Calibri" w:hAnsi="Calibri"/>
                <w:b/>
                <w:color w:val="6366F1"/>
                <w:sz w:val="20"/>
              </w:rPr>
              <w:t xml:space="preserve">[ENGINEERING HIGHLIGHT] </w:t>
            </w:r>
            <w:r>
              <w:rPr>
                <w:rFonts w:ascii="Calibri" w:hAnsi="Calibri"/>
                <w:color w:val="1E293B"/>
                <w:sz w:val="20"/>
              </w:rPr>
              <w:t>The Automated Performance Query module runs entirely in memory without writing heavy trace files to disk, ensuring zero overhead on high-transaction enterprise databases.</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Author: Dulnindu Saranga | Version 3.5.0 Gold Production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Enterprise Database Cloud Backup Automation Suite | Technical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i/>
      <w:color w:val="64748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94A3B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