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E3A8A"/>
          <w:sz w:val="48"/>
        </w:rPr>
        <w:t>Enterprise Database Cloud Backup Automation</w:t>
      </w:r>
    </w:p>
    <w:p>
      <w:pPr>
        <w:spacing w:after="320"/>
      </w:pPr>
      <w:r>
        <w:rPr>
          <w:b/>
          <w:color w:val="0D9488"/>
          <w:sz w:val="28"/>
        </w:rPr>
        <w:t>Google Sheets Architecture &amp; Multi-Tenant Telemetry Schema Guide</w:t>
      </w:r>
    </w:p>
    <w:p>
      <w:pPr>
        <w:spacing w:after="360"/>
      </w:pPr>
      <w:r>
        <w:rPr>
          <w:b/>
          <w:color w:val="64748B"/>
          <w:sz w:val="18"/>
        </w:rPr>
        <w:t xml:space="preserve">System Version: </w:t>
      </w:r>
      <w:r>
        <w:rPr>
          <w:color w:val="64748B"/>
          <w:sz w:val="18"/>
        </w:rPr>
        <w:t xml:space="preserve">4.3.0 (Zero-Trust Upload Broker)  |  </w:t>
      </w:r>
      <w:r>
        <w:rPr>
          <w:b/>
          <w:color w:val="64748B"/>
          <w:sz w:val="18"/>
        </w:rPr>
        <w:t xml:space="preserve">Classification: </w:t>
      </w:r>
      <w:r>
        <w:rPr>
          <w:color w:val="64748B"/>
          <w:sz w:val="18"/>
        </w:rPr>
        <w:t>Technical Architecture &amp; Operational Specification</w:t>
        <w:br/>
      </w:r>
      <w:r>
        <w:rPr>
          <w:b/>
          <w:color w:val="64748B"/>
          <w:sz w:val="18"/>
        </w:rPr>
        <w:t xml:space="preserve">Author: </w:t>
      </w:r>
      <w:r>
        <w:rPr>
          <w:color w:val="64748B"/>
          <w:sz w:val="18"/>
        </w:rPr>
        <w:t xml:space="preserve">Cloud DR &amp; Automation Engineering  |  </w:t>
      </w:r>
      <w:r>
        <w:rPr>
          <w:b/>
          <w:color w:val="64748B"/>
          <w:sz w:val="18"/>
        </w:rPr>
        <w:t xml:space="preserve">Date: </w:t>
      </w:r>
      <w:r>
        <w:rPr>
          <w:color w:val="64748B"/>
          <w:sz w:val="18"/>
        </w:rPr>
        <w:t>October 2026</w:t>
      </w:r>
    </w:p>
    <w:p>
      <w:pPr>
        <w:pStyle w:val="Heading1"/>
        <w:spacing w:before="240" w:after="120"/>
      </w:pPr>
      <w:r>
        <w:rPr>
          <w:color w:val="1E3A8A"/>
        </w:rPr>
        <w:t>1. Executive Answer: How Many Links Are Needed Per Customer?</w:t>
      </w:r>
    </w:p>
    <w:p>
      <w:r>
        <w:t>In the Enterprise Database Cloud Backup architecture, Google Sheets links operate across two clear operational tiers: one customer-facing tier and one global multi-tenant tier.</w:t>
      </w: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36" w:space="0" w:color="0D9488"/>
              <w:top w:val="none"/>
              <w:right w:val="none"/>
              <w:bottom w:val="none"/>
            </w:tcBorders>
          </w:tcPr>
          <w:p>
            <w:pPr>
              <w:spacing w:before="40" w:after="40"/>
            </w:pPr>
            <w:r>
              <w:rPr>
                <w:b/>
                <w:color w:val="0D9488"/>
                <w:sz w:val="20"/>
              </w:rPr>
              <w:t xml:space="preserve">📌 DIRECT ANSWER: </w:t>
            </w:r>
            <w:r>
              <w:rPr>
                <w:color w:val="1E293B"/>
                <w:sz w:val="19"/>
              </w:rPr>
              <w:t>For any individual customer, you need EXACTLY ONE (1) Google Sheet Link. The customer does not need multiple spreadsheets. Inside that single customer spreadsheet, there are three dedicated tabs: [DB Backups], [Server Cleanup], and [Performance Query].</w:t>
              <w:br/>
              <w:br/>
              <w:t>At the service provider level (Spillabs / MSP), you maintain EXACTLY ONE (1) Master Central Spreadsheet containing system tokens, security audits, and a Master Application Report with dedicated tabs for all 70+ customers.</w:t>
            </w:r>
          </w:p>
        </w:tc>
      </w:tr>
    </w:tbl>
    <w:p>
      <w:pPr>
        <w:spacing w:after="80"/>
      </w:pPr>
    </w:p>
    <w:p>
      <w:r>
        <w:t>Summary of Spreadsheet Links Across the Entire Architecture:</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E3A8A"/>
            <w:tcMar>
              <w:top w:w="140" w:type="dxa"/>
              <w:bottom w:w="140" w:type="dxa"/>
              <w:left w:w="160" w:type="dxa"/>
              <w:right w:w="160" w:type="dxa"/>
            </w:tcMar>
          </w:tcPr>
          <w:p>
            <w:pPr>
              <w:jc w:val="left"/>
            </w:pPr>
            <w:r>
              <w:rPr>
                <w:b/>
                <w:color w:val="FFFFFF"/>
                <w:sz w:val="19"/>
              </w:rPr>
              <w:t>Tier / Level</w:t>
            </w:r>
          </w:p>
        </w:tc>
        <w:tc>
          <w:tcPr>
            <w:tcW w:type="dxa" w:w="2340"/>
            <w:shd w:fill="1E3A8A"/>
            <w:tcMar>
              <w:top w:w="140" w:type="dxa"/>
              <w:bottom w:w="140" w:type="dxa"/>
              <w:left w:w="160" w:type="dxa"/>
              <w:right w:w="160" w:type="dxa"/>
            </w:tcMar>
          </w:tcPr>
          <w:p>
            <w:pPr>
              <w:jc w:val="left"/>
            </w:pPr>
            <w:r>
              <w:rPr>
                <w:b/>
                <w:color w:val="FFFFFF"/>
                <w:sz w:val="19"/>
              </w:rPr>
              <w:t>Spreadsheet Name</w:t>
            </w:r>
          </w:p>
        </w:tc>
        <w:tc>
          <w:tcPr>
            <w:tcW w:type="dxa" w:w="2340"/>
            <w:shd w:fill="1E3A8A"/>
            <w:tcMar>
              <w:top w:w="140" w:type="dxa"/>
              <w:bottom w:w="140" w:type="dxa"/>
              <w:left w:w="160" w:type="dxa"/>
              <w:right w:w="160" w:type="dxa"/>
            </w:tcMar>
          </w:tcPr>
          <w:p>
            <w:pPr>
              <w:jc w:val="left"/>
            </w:pPr>
            <w:r>
              <w:rPr>
                <w:b/>
                <w:color w:val="FFFFFF"/>
                <w:sz w:val="19"/>
              </w:rPr>
              <w:t>Links Required</w:t>
            </w:r>
          </w:p>
        </w:tc>
        <w:tc>
          <w:tcPr>
            <w:tcW w:type="dxa" w:w="2340"/>
            <w:shd w:fill="1E3A8A"/>
            <w:tcMar>
              <w:top w:w="140" w:type="dxa"/>
              <w:bottom w:w="140" w:type="dxa"/>
              <w:left w:w="160" w:type="dxa"/>
              <w:right w:w="160" w:type="dxa"/>
            </w:tcMar>
          </w:tcPr>
          <w:p>
            <w:pPr>
              <w:jc w:val="left"/>
            </w:pPr>
            <w:r>
              <w:rPr>
                <w:b/>
                <w:color w:val="FFFFFF"/>
                <w:sz w:val="19"/>
              </w:rPr>
              <w:t>Target Audience &amp; Access</w:t>
            </w:r>
          </w:p>
        </w:tc>
      </w:tr>
      <w:tr>
        <w:trPr>
          <w:cantSplit/>
        </w:trPr>
        <w:tc>
          <w:tcPr>
            <w:tcW w:type="dxa" w:w="2340"/>
            <w:shd w:fill="F8FAFC"/>
            <w:tcMar>
              <w:top w:w="100" w:type="dxa"/>
              <w:bottom w:w="100" w:type="dxa"/>
              <w:left w:w="150" w:type="dxa"/>
              <w:right w:w="150" w:type="dxa"/>
            </w:tcMar>
          </w:tcPr>
          <w:p>
            <w:r>
              <w:rPr>
                <w:color w:val="1E293B"/>
                <w:sz w:val="18"/>
              </w:rPr>
              <w:t>Customer Tier</w:t>
              <w:br/>
              <w:t>(Operational)</w:t>
            </w:r>
          </w:p>
        </w:tc>
        <w:tc>
          <w:tcPr>
            <w:tcW w:type="dxa" w:w="2340"/>
            <w:shd w:fill="F8FAFC"/>
            <w:tcMar>
              <w:top w:w="100" w:type="dxa"/>
              <w:bottom w:w="100" w:type="dxa"/>
              <w:left w:w="150" w:type="dxa"/>
              <w:right w:w="150" w:type="dxa"/>
            </w:tcMar>
          </w:tcPr>
          <w:p>
            <w:r>
              <w:rPr>
                <w:color w:val="1E293B"/>
                <w:sz w:val="18"/>
              </w:rPr>
              <w:t>[Customer Name] Backup Sheet</w:t>
              <w:br/>
              <w:t>(e.g., 'BartonGlass - FMI Backup Sheet')</w:t>
            </w:r>
          </w:p>
        </w:tc>
        <w:tc>
          <w:tcPr>
            <w:tcW w:type="dxa" w:w="2340"/>
            <w:shd w:fill="F8FAFC"/>
            <w:tcMar>
              <w:top w:w="100" w:type="dxa"/>
              <w:bottom w:w="100" w:type="dxa"/>
              <w:left w:w="150" w:type="dxa"/>
              <w:right w:w="150" w:type="dxa"/>
            </w:tcMar>
          </w:tcPr>
          <w:p>
            <w:r>
              <w:rPr>
                <w:color w:val="1E293B"/>
                <w:sz w:val="18"/>
              </w:rPr>
              <w:t>1 Link Per Customer</w:t>
              <w:br/>
              <w:t>(Shared with customer IT)</w:t>
            </w:r>
          </w:p>
        </w:tc>
        <w:tc>
          <w:tcPr>
            <w:tcW w:type="dxa" w:w="2340"/>
            <w:shd w:fill="F8FAFC"/>
            <w:tcMar>
              <w:top w:w="100" w:type="dxa"/>
              <w:bottom w:w="100" w:type="dxa"/>
              <w:left w:w="150" w:type="dxa"/>
              <w:right w:w="150" w:type="dxa"/>
            </w:tcMar>
          </w:tcPr>
          <w:p>
            <w:r>
              <w:rPr>
                <w:color w:val="1E293B"/>
                <w:sz w:val="18"/>
              </w:rPr>
              <w:t>Customer IT Manager / Local Admins.</w:t>
              <w:br/>
              <w:t>View/Edit operational telemetry, backups, and drive alerts.</w:t>
            </w:r>
          </w:p>
        </w:tc>
      </w:tr>
      <w:tr>
        <w:trPr>
          <w:cantSplit/>
        </w:trPr>
        <w:tc>
          <w:tcPr>
            <w:tcW w:type="dxa" w:w="2340"/>
            <w:shd w:fill="FFFFFF"/>
            <w:tcMar>
              <w:top w:w="100" w:type="dxa"/>
              <w:bottom w:w="100" w:type="dxa"/>
              <w:left w:w="150" w:type="dxa"/>
              <w:right w:w="150" w:type="dxa"/>
            </w:tcMar>
          </w:tcPr>
          <w:p>
            <w:r>
              <w:rPr>
                <w:color w:val="1E293B"/>
                <w:sz w:val="18"/>
              </w:rPr>
              <w:t>Service Provider Tier</w:t>
              <w:br/>
              <w:t>(Master Fleet)</w:t>
            </w:r>
          </w:p>
        </w:tc>
        <w:tc>
          <w:tcPr>
            <w:tcW w:type="dxa" w:w="2340"/>
            <w:shd w:fill="FFFFFF"/>
            <w:tcMar>
              <w:top w:w="100" w:type="dxa"/>
              <w:bottom w:w="100" w:type="dxa"/>
              <w:left w:w="150" w:type="dxa"/>
              <w:right w:w="150" w:type="dxa"/>
            </w:tcMar>
          </w:tcPr>
          <w:p>
            <w:r>
              <w:rPr>
                <w:color w:val="1E293B"/>
                <w:sz w:val="18"/>
              </w:rPr>
              <w:t>Master Upload Broker &amp;</w:t>
              <w:br/>
              <w:t>Application Report Spreadsheet</w:t>
            </w:r>
          </w:p>
        </w:tc>
        <w:tc>
          <w:tcPr>
            <w:tcW w:type="dxa" w:w="2340"/>
            <w:shd w:fill="FFFFFF"/>
            <w:tcMar>
              <w:top w:w="100" w:type="dxa"/>
              <w:bottom w:w="100" w:type="dxa"/>
              <w:left w:w="150" w:type="dxa"/>
              <w:right w:w="150" w:type="dxa"/>
            </w:tcMar>
          </w:tcPr>
          <w:p>
            <w:r>
              <w:rPr>
                <w:color w:val="1E293B"/>
                <w:sz w:val="18"/>
              </w:rPr>
              <w:t>1 Link Globally</w:t>
              <w:br/>
              <w:t>(Internal / Service Provider)</w:t>
            </w:r>
          </w:p>
        </w:tc>
        <w:tc>
          <w:tcPr>
            <w:tcW w:type="dxa" w:w="2340"/>
            <w:shd w:fill="FFFFFF"/>
            <w:tcMar>
              <w:top w:w="100" w:type="dxa"/>
              <w:bottom w:w="100" w:type="dxa"/>
              <w:left w:w="150" w:type="dxa"/>
              <w:right w:w="150" w:type="dxa"/>
            </w:tcMar>
          </w:tcPr>
          <w:p>
            <w:r>
              <w:rPr>
                <w:color w:val="1E293B"/>
                <w:sz w:val="18"/>
              </w:rPr>
              <w:t>Spillabs NOC / Cloud DR Engineers.</w:t>
              <w:br/>
              <w:t>Zero-trust token database, audit trail, and all 70+ customer report tabs.</w:t>
            </w:r>
          </w:p>
        </w:tc>
      </w:tr>
    </w:tbl>
    <w:p>
      <w:pPr>
        <w:spacing w:after="160"/>
      </w:pPr>
    </w:p>
    <w:p>
      <w:pPr>
        <w:pStyle w:val="Heading1"/>
        <w:spacing w:before="280" w:after="120"/>
      </w:pPr>
      <w:r>
        <w:rPr>
          <w:color w:val="1E3A8A"/>
        </w:rPr>
        <w:t>2. Multi-Tier Telemetry &amp; Upload Architecture</w:t>
      </w:r>
    </w:p>
    <w:p>
      <w:r>
        <w:t>The architecture is designed strictly around Zero-Trust principles. Customers never hold Google Cloud service account keys or direct OAuth credentials. All backup metadata, disk scans, and SQL maintenance results stream through the Apps Script Upload Broker (Code.gs), which atomically updates both spreadsheets simultaneously:</w:t>
      </w:r>
    </w:p>
    <w:p>
      <w:pPr>
        <w:ind w:left="360"/>
      </w:pPr>
      <w:r>
        <w:rPr>
          <w:b/>
        </w:rPr>
        <w:t xml:space="preserve">1. Client Host (DatabaseBackupApp.exe) </w:t>
      </w:r>
      <w:r>
        <w:t>executes backup, disk cleanup scan, or SQL maintenance.</w:t>
        <w:br/>
      </w:r>
      <w:r>
        <w:rPr>
          <w:b/>
        </w:rPr>
        <w:t xml:space="preserve">2. Encrypted Token Request: </w:t>
      </w:r>
      <w:r>
        <w:t>Client sends zero-trust machine token and report payload to the Upload Broker via HTTPS.</w:t>
        <w:br/>
      </w:r>
      <w:r>
        <w:rPr>
          <w:b/>
        </w:rPr>
        <w:t xml:space="preserve">3. Broker Authentication &amp; Routing: </w:t>
      </w:r>
      <w:r>
        <w:t>The broker verifies the token against its internal database, maps the customer slug (e.g., 'fmi' -&gt; 'BartonGlass - FMI'), and routes telemetry to two destinations:</w:t>
        <w:br/>
      </w:r>
      <w:r>
        <w:rPr>
          <w:b/>
        </w:rPr>
        <w:t xml:space="preserve">    • Destination A (Customer Sheet): </w:t>
      </w:r>
      <w:r>
        <w:t>Appends row to the customer's dedicated operational sheet in their Google Drive folder.</w:t>
        <w:br/>
      </w:r>
      <w:r>
        <w:rPr>
          <w:b/>
        </w:rPr>
        <w:t xml:space="preserve">    • Destination B (Master Application Report): </w:t>
      </w:r>
      <w:r>
        <w:t>Appends row to the Master Spreadsheet under the customer's dedicated tab.</w:t>
        <w:br/>
      </w:r>
      <w:r>
        <w:rPr>
          <w:b/>
        </w:rPr>
        <w:t xml:space="preserve">4. Automated Auto-Provisioning: </w:t>
      </w:r>
      <w:r>
        <w:t>If the customer sheet does not exist in their Drive folder, the broker automatically creates it and creates all 3 standard tabs with styled headers.</w:t>
      </w:r>
    </w:p>
    <w:p>
      <w:pPr>
        <w:pStyle w:val="Heading1"/>
        <w:spacing w:before="280" w:after="120"/>
      </w:pPr>
      <w:r>
        <w:rPr>
          <w:color w:val="1E3A8A"/>
        </w:rPr>
        <w:t>3. Customer Operational Sheet Structure (The 1 Customer Link)</w:t>
      </w:r>
    </w:p>
    <w:p>
      <w:r>
        <w:t>This is the spreadsheet link provided to the customer. It resides directly inside the customer's dedicated Google Drive folder (e.g., Google Drive &gt; BartonGlass - FMI). It contains exactly three (3) standardized tabs:</w:t>
      </w:r>
    </w:p>
    <w:p>
      <w:pPr>
        <w:pStyle w:val="Heading2"/>
        <w:spacing w:before="200" w:after="80"/>
      </w:pPr>
      <w:r>
        <w:rPr>
          <w:color w:val="0D9488"/>
        </w:rPr>
        <w:t>Tab 1: [DB Backups]</w:t>
      </w:r>
    </w:p>
    <w:p>
      <w:r>
        <w:t>Purpose: Records every manual and scheduled database backup cycle, compressed file size, Google Drive download link, and verification status.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E3A8A"/>
            <w:tcMar>
              <w:top w:w="140" w:type="dxa"/>
              <w:bottom w:w="140" w:type="dxa"/>
              <w:left w:w="160" w:type="dxa"/>
              <w:right w:w="160" w:type="dxa"/>
            </w:tcMar>
          </w:tcPr>
          <w:p>
            <w:pPr>
              <w:jc w:val="left"/>
            </w:pPr>
            <w:r>
              <w:rPr>
                <w:b/>
                <w:color w:val="FFFFFF"/>
                <w:sz w:val="19"/>
              </w:rPr>
              <w:t>Column #</w:t>
            </w:r>
          </w:p>
        </w:tc>
        <w:tc>
          <w:tcPr>
            <w:tcW w:type="dxa" w:w="2340"/>
            <w:shd w:fill="1E3A8A"/>
            <w:tcMar>
              <w:top w:w="140" w:type="dxa"/>
              <w:bottom w:w="140" w:type="dxa"/>
              <w:left w:w="160" w:type="dxa"/>
              <w:right w:w="160" w:type="dxa"/>
            </w:tcMar>
          </w:tcPr>
          <w:p>
            <w:pPr>
              <w:jc w:val="left"/>
            </w:pPr>
            <w:r>
              <w:rPr>
                <w:b/>
                <w:color w:val="FFFFFF"/>
                <w:sz w:val="19"/>
              </w:rPr>
              <w:t>Column Header</w:t>
            </w:r>
          </w:p>
        </w:tc>
        <w:tc>
          <w:tcPr>
            <w:tcW w:type="dxa" w:w="2340"/>
            <w:shd w:fill="1E3A8A"/>
            <w:tcMar>
              <w:top w:w="140" w:type="dxa"/>
              <w:bottom w:w="140" w:type="dxa"/>
              <w:left w:w="160" w:type="dxa"/>
              <w:right w:w="160" w:type="dxa"/>
            </w:tcMar>
          </w:tcPr>
          <w:p>
            <w:pPr>
              <w:jc w:val="left"/>
            </w:pPr>
            <w:r>
              <w:rPr>
                <w:b/>
                <w:color w:val="FFFFFF"/>
                <w:sz w:val="19"/>
              </w:rPr>
              <w:t>Data Type</w:t>
            </w:r>
          </w:p>
        </w:tc>
        <w:tc>
          <w:tcPr>
            <w:tcW w:type="dxa" w:w="2340"/>
            <w:shd w:fill="1E3A8A"/>
            <w:tcMar>
              <w:top w:w="140" w:type="dxa"/>
              <w:bottom w:w="140" w:type="dxa"/>
              <w:left w:w="160" w:type="dxa"/>
              <w:right w:w="160" w:type="dxa"/>
            </w:tcMar>
          </w:tcPr>
          <w:p>
            <w:pPr>
              <w:jc w:val="left"/>
            </w:pPr>
            <w:r>
              <w:rPr>
                <w:b/>
                <w:color w:val="FFFFFF"/>
                <w:sz w:val="19"/>
              </w:rPr>
              <w:t>Description &amp; Example Value</w:t>
            </w:r>
          </w:p>
        </w:tc>
      </w:tr>
      <w:tr>
        <w:trPr>
          <w:cantSplit/>
        </w:trPr>
        <w:tc>
          <w:tcPr>
            <w:tcW w:type="dxa" w:w="2340"/>
            <w:shd w:fill="F8FAFC"/>
            <w:tcMar>
              <w:top w:w="100" w:type="dxa"/>
              <w:bottom w:w="100" w:type="dxa"/>
              <w:left w:w="150" w:type="dxa"/>
              <w:right w:w="150" w:type="dxa"/>
            </w:tcMar>
          </w:tcPr>
          <w:p>
            <w:r>
              <w:rPr>
                <w:color w:val="1E293B"/>
                <w:sz w:val="18"/>
              </w:rPr>
              <w:t>1</w:t>
            </w:r>
          </w:p>
        </w:tc>
        <w:tc>
          <w:tcPr>
            <w:tcW w:type="dxa" w:w="2340"/>
            <w:shd w:fill="F8FAFC"/>
            <w:tcMar>
              <w:top w:w="100" w:type="dxa"/>
              <w:bottom w:w="100" w:type="dxa"/>
              <w:left w:w="150" w:type="dxa"/>
              <w:right w:w="150" w:type="dxa"/>
            </w:tcMar>
          </w:tcPr>
          <w:p>
            <w:r>
              <w:rPr>
                <w:color w:val="1E293B"/>
                <w:sz w:val="18"/>
              </w:rPr>
              <w:t>Date &amp; Time</w:t>
            </w:r>
          </w:p>
        </w:tc>
        <w:tc>
          <w:tcPr>
            <w:tcW w:type="dxa" w:w="2340"/>
            <w:shd w:fill="F8FAFC"/>
            <w:tcMar>
              <w:top w:w="100" w:type="dxa"/>
              <w:bottom w:w="100" w:type="dxa"/>
              <w:left w:w="150" w:type="dxa"/>
              <w:right w:w="150" w:type="dxa"/>
            </w:tcMar>
          </w:tcPr>
          <w:p>
            <w:r>
              <w:rPr>
                <w:color w:val="1E293B"/>
                <w:sz w:val="18"/>
              </w:rPr>
              <w:t>ISO Timestamp</w:t>
            </w:r>
          </w:p>
        </w:tc>
        <w:tc>
          <w:tcPr>
            <w:tcW w:type="dxa" w:w="2340"/>
            <w:shd w:fill="F8FAFC"/>
            <w:tcMar>
              <w:top w:w="100" w:type="dxa"/>
              <w:bottom w:w="100" w:type="dxa"/>
              <w:left w:w="150" w:type="dxa"/>
              <w:right w:w="150" w:type="dxa"/>
            </w:tcMar>
          </w:tcPr>
          <w:p>
            <w:r>
              <w:rPr>
                <w:color w:val="1E293B"/>
                <w:sz w:val="18"/>
              </w:rPr>
              <w:t>Execution date and time in ISO format (e.g. 2026-10-09T10:30:15.000Z).</w:t>
            </w:r>
          </w:p>
        </w:tc>
      </w:tr>
      <w:tr>
        <w:trPr>
          <w:cantSplit/>
        </w:trPr>
        <w:tc>
          <w:tcPr>
            <w:tcW w:type="dxa" w:w="2340"/>
            <w:shd w:fill="FFFFFF"/>
            <w:tcMar>
              <w:top w:w="100" w:type="dxa"/>
              <w:bottom w:w="100" w:type="dxa"/>
              <w:left w:w="150" w:type="dxa"/>
              <w:right w:w="150" w:type="dxa"/>
            </w:tcMar>
          </w:tcPr>
          <w:p>
            <w:r>
              <w:rPr>
                <w:color w:val="1E293B"/>
                <w:sz w:val="18"/>
              </w:rPr>
              <w:t>2</w:t>
            </w:r>
          </w:p>
        </w:tc>
        <w:tc>
          <w:tcPr>
            <w:tcW w:type="dxa" w:w="2340"/>
            <w:shd w:fill="FFFFFF"/>
            <w:tcMar>
              <w:top w:w="100" w:type="dxa"/>
              <w:bottom w:w="100" w:type="dxa"/>
              <w:left w:w="150" w:type="dxa"/>
              <w:right w:w="150" w:type="dxa"/>
            </w:tcMar>
          </w:tcPr>
          <w:p>
            <w:r>
              <w:rPr>
                <w:color w:val="1E293B"/>
                <w:sz w:val="18"/>
              </w:rPr>
              <w:t>Backup File Name</w:t>
            </w:r>
          </w:p>
        </w:tc>
        <w:tc>
          <w:tcPr>
            <w:tcW w:type="dxa" w:w="2340"/>
            <w:shd w:fill="FFFFFF"/>
            <w:tcMar>
              <w:top w:w="100" w:type="dxa"/>
              <w:bottom w:w="100" w:type="dxa"/>
              <w:left w:w="150" w:type="dxa"/>
              <w:right w:w="150" w:type="dxa"/>
            </w:tcMar>
          </w:tcPr>
          <w:p>
            <w:r>
              <w:rPr>
                <w:color w:val="1E293B"/>
                <w:sz w:val="18"/>
              </w:rPr>
              <w:t>String</w:t>
            </w:r>
          </w:p>
        </w:tc>
        <w:tc>
          <w:tcPr>
            <w:tcW w:type="dxa" w:w="2340"/>
            <w:shd w:fill="FFFFFF"/>
            <w:tcMar>
              <w:top w:w="100" w:type="dxa"/>
              <w:bottom w:w="100" w:type="dxa"/>
              <w:left w:w="150" w:type="dxa"/>
              <w:right w:w="150" w:type="dxa"/>
            </w:tcMar>
          </w:tcPr>
          <w:p>
            <w:r>
              <w:rPr>
                <w:color w:val="1E293B"/>
                <w:sz w:val="18"/>
              </w:rPr>
              <w:t>Canonical encrypted archive name: {PC_ID}_{DB_NAME}_{YYYY-MM-DD}_{SEQ}.dbk2 (e.g. DULLA_BARTONGLASS_TEST_NEW_2026-10-09_1.dbk2).</w:t>
            </w:r>
          </w:p>
        </w:tc>
      </w:tr>
      <w:tr>
        <w:trPr>
          <w:cantSplit/>
        </w:trPr>
        <w:tc>
          <w:tcPr>
            <w:tcW w:type="dxa" w:w="2340"/>
            <w:shd w:fill="F8FAFC"/>
            <w:tcMar>
              <w:top w:w="100" w:type="dxa"/>
              <w:bottom w:w="100" w:type="dxa"/>
              <w:left w:w="150" w:type="dxa"/>
              <w:right w:w="150" w:type="dxa"/>
            </w:tcMar>
          </w:tcPr>
          <w:p>
            <w:r>
              <w:rPr>
                <w:color w:val="1E293B"/>
                <w:sz w:val="18"/>
              </w:rPr>
              <w:t>3</w:t>
            </w:r>
          </w:p>
        </w:tc>
        <w:tc>
          <w:tcPr>
            <w:tcW w:type="dxa" w:w="2340"/>
            <w:shd w:fill="F8FAFC"/>
            <w:tcMar>
              <w:top w:w="100" w:type="dxa"/>
              <w:bottom w:w="100" w:type="dxa"/>
              <w:left w:w="150" w:type="dxa"/>
              <w:right w:w="150" w:type="dxa"/>
            </w:tcMar>
          </w:tcPr>
          <w:p>
            <w:r>
              <w:rPr>
                <w:color w:val="1E293B"/>
                <w:sz w:val="18"/>
              </w:rPr>
              <w:t>Backup File Size</w:t>
            </w:r>
          </w:p>
        </w:tc>
        <w:tc>
          <w:tcPr>
            <w:tcW w:type="dxa" w:w="2340"/>
            <w:shd w:fill="F8FAFC"/>
            <w:tcMar>
              <w:top w:w="100" w:type="dxa"/>
              <w:bottom w:w="100" w:type="dxa"/>
              <w:left w:w="150" w:type="dxa"/>
              <w:right w:w="150" w:type="dxa"/>
            </w:tcMar>
          </w:tcPr>
          <w:p>
            <w:r>
              <w:rPr>
                <w:color w:val="1E293B"/>
                <w:sz w:val="18"/>
              </w:rPr>
              <w:t>String (Formatted)</w:t>
            </w:r>
          </w:p>
        </w:tc>
        <w:tc>
          <w:tcPr>
            <w:tcW w:type="dxa" w:w="2340"/>
            <w:shd w:fill="F8FAFC"/>
            <w:tcMar>
              <w:top w:w="100" w:type="dxa"/>
              <w:bottom w:w="100" w:type="dxa"/>
              <w:left w:w="150" w:type="dxa"/>
              <w:right w:w="150" w:type="dxa"/>
            </w:tcMar>
          </w:tcPr>
          <w:p>
            <w:r>
              <w:rPr>
                <w:color w:val="1E293B"/>
                <w:sz w:val="18"/>
              </w:rPr>
              <w:t>Human-readable level-9 compressed size (e.g. 45.20 MB, 1.48 GB).</w:t>
            </w:r>
          </w:p>
        </w:tc>
      </w:tr>
      <w:tr>
        <w:trPr>
          <w:cantSplit/>
        </w:trPr>
        <w:tc>
          <w:tcPr>
            <w:tcW w:type="dxa" w:w="2340"/>
            <w:shd w:fill="FFFFFF"/>
            <w:tcMar>
              <w:top w:w="100" w:type="dxa"/>
              <w:bottom w:w="100" w:type="dxa"/>
              <w:left w:w="150" w:type="dxa"/>
              <w:right w:w="150" w:type="dxa"/>
            </w:tcMar>
          </w:tcPr>
          <w:p>
            <w:r>
              <w:rPr>
                <w:color w:val="1E293B"/>
                <w:sz w:val="18"/>
              </w:rPr>
              <w:t>4</w:t>
            </w:r>
          </w:p>
        </w:tc>
        <w:tc>
          <w:tcPr>
            <w:tcW w:type="dxa" w:w="2340"/>
            <w:shd w:fill="FFFFFF"/>
            <w:tcMar>
              <w:top w:w="100" w:type="dxa"/>
              <w:bottom w:w="100" w:type="dxa"/>
              <w:left w:w="150" w:type="dxa"/>
              <w:right w:w="150" w:type="dxa"/>
            </w:tcMar>
          </w:tcPr>
          <w:p>
            <w:r>
              <w:rPr>
                <w:color w:val="1E293B"/>
                <w:sz w:val="18"/>
              </w:rPr>
              <w:t>Google Drive Download Link</w:t>
            </w:r>
          </w:p>
        </w:tc>
        <w:tc>
          <w:tcPr>
            <w:tcW w:type="dxa" w:w="2340"/>
            <w:shd w:fill="FFFFFF"/>
            <w:tcMar>
              <w:top w:w="100" w:type="dxa"/>
              <w:bottom w:w="100" w:type="dxa"/>
              <w:left w:w="150" w:type="dxa"/>
              <w:right w:w="150" w:type="dxa"/>
            </w:tcMar>
          </w:tcPr>
          <w:p>
            <w:r>
              <w:rPr>
                <w:color w:val="1E293B"/>
                <w:sz w:val="18"/>
              </w:rPr>
              <w:t>URL Hyperlink</w:t>
            </w:r>
          </w:p>
        </w:tc>
        <w:tc>
          <w:tcPr>
            <w:tcW w:type="dxa" w:w="2340"/>
            <w:shd w:fill="FFFFFF"/>
            <w:tcMar>
              <w:top w:w="100" w:type="dxa"/>
              <w:bottom w:w="100" w:type="dxa"/>
              <w:left w:w="150" w:type="dxa"/>
              <w:right w:w="150" w:type="dxa"/>
            </w:tcMar>
          </w:tcPr>
          <w:p>
            <w:r>
              <w:rPr>
                <w:color w:val="1E293B"/>
                <w:sz w:val="18"/>
              </w:rPr>
              <w:t>Direct view/download link to the file inside customer's secure Google Drive folder (e.g. https://drive.google.com/file/d/1aB2c.../view).</w:t>
            </w:r>
          </w:p>
        </w:tc>
      </w:tr>
      <w:tr>
        <w:trPr>
          <w:cantSplit/>
        </w:trPr>
        <w:tc>
          <w:tcPr>
            <w:tcW w:type="dxa" w:w="2340"/>
            <w:shd w:fill="F8FAFC"/>
            <w:tcMar>
              <w:top w:w="100" w:type="dxa"/>
              <w:bottom w:w="100" w:type="dxa"/>
              <w:left w:w="150" w:type="dxa"/>
              <w:right w:w="150" w:type="dxa"/>
            </w:tcMar>
          </w:tcPr>
          <w:p>
            <w:r>
              <w:rPr>
                <w:color w:val="1E293B"/>
                <w:sz w:val="18"/>
              </w:rPr>
              <w:t>5</w:t>
            </w:r>
          </w:p>
        </w:tc>
        <w:tc>
          <w:tcPr>
            <w:tcW w:type="dxa" w:w="2340"/>
            <w:shd w:fill="F8FAFC"/>
            <w:tcMar>
              <w:top w:w="100" w:type="dxa"/>
              <w:bottom w:w="100" w:type="dxa"/>
              <w:left w:w="150" w:type="dxa"/>
              <w:right w:w="150" w:type="dxa"/>
            </w:tcMar>
          </w:tcPr>
          <w:p>
            <w:r>
              <w:rPr>
                <w:color w:val="1E293B"/>
                <w:sz w:val="18"/>
              </w:rPr>
              <w:t>Status</w:t>
            </w:r>
          </w:p>
        </w:tc>
        <w:tc>
          <w:tcPr>
            <w:tcW w:type="dxa" w:w="2340"/>
            <w:shd w:fill="F8FAFC"/>
            <w:tcMar>
              <w:top w:w="100" w:type="dxa"/>
              <w:bottom w:w="100" w:type="dxa"/>
              <w:left w:w="150" w:type="dxa"/>
              <w:right w:w="150" w:type="dxa"/>
            </w:tcMar>
          </w:tcPr>
          <w:p>
            <w:r>
              <w:rPr>
                <w:color w:val="1E293B"/>
                <w:sz w:val="18"/>
              </w:rPr>
              <w:t>String (Status)</w:t>
            </w:r>
          </w:p>
        </w:tc>
        <w:tc>
          <w:tcPr>
            <w:tcW w:type="dxa" w:w="2340"/>
            <w:shd w:fill="F8FAFC"/>
            <w:tcMar>
              <w:top w:w="100" w:type="dxa"/>
              <w:bottom w:w="100" w:type="dxa"/>
              <w:left w:w="150" w:type="dxa"/>
              <w:right w:w="150" w:type="dxa"/>
            </w:tcMar>
          </w:tcPr>
          <w:p>
            <w:r>
              <w:rPr>
                <w:color w:val="1E293B"/>
                <w:sz w:val="18"/>
              </w:rPr>
              <w:t>Execution outcome: SUCCESS, WARNING, or FAILED.</w:t>
            </w:r>
          </w:p>
        </w:tc>
      </w:tr>
    </w:tbl>
    <w:p>
      <w:pPr>
        <w:spacing w:after="120"/>
      </w:pPr>
    </w:p>
    <w:p>
      <w:pPr>
        <w:pStyle w:val="Heading2"/>
        <w:spacing w:before="200" w:after="80"/>
      </w:pPr>
      <w:r>
        <w:rPr>
          <w:color w:val="0D9488"/>
        </w:rPr>
        <w:t>Tab 2: [Server Cleanup]</w:t>
      </w:r>
    </w:p>
    <w:p>
      <w:r>
        <w:t>Purpose: Monitors server storage health across all physical drives (C:, E:, F:, etc.). Appends a health row for every scanned drive during manual or scheduled cleanup sweeps.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E3A8A"/>
            <w:tcMar>
              <w:top w:w="140" w:type="dxa"/>
              <w:bottom w:w="140" w:type="dxa"/>
              <w:left w:w="160" w:type="dxa"/>
              <w:right w:w="160" w:type="dxa"/>
            </w:tcMar>
          </w:tcPr>
          <w:p>
            <w:pPr>
              <w:jc w:val="left"/>
            </w:pPr>
            <w:r>
              <w:rPr>
                <w:b/>
                <w:color w:val="FFFFFF"/>
                <w:sz w:val="19"/>
              </w:rPr>
              <w:t>Column #</w:t>
            </w:r>
          </w:p>
        </w:tc>
        <w:tc>
          <w:tcPr>
            <w:tcW w:type="dxa" w:w="2340"/>
            <w:shd w:fill="1E3A8A"/>
            <w:tcMar>
              <w:top w:w="140" w:type="dxa"/>
              <w:bottom w:w="140" w:type="dxa"/>
              <w:left w:w="160" w:type="dxa"/>
              <w:right w:w="160" w:type="dxa"/>
            </w:tcMar>
          </w:tcPr>
          <w:p>
            <w:pPr>
              <w:jc w:val="left"/>
            </w:pPr>
            <w:r>
              <w:rPr>
                <w:b/>
                <w:color w:val="FFFFFF"/>
                <w:sz w:val="19"/>
              </w:rPr>
              <w:t>Column Header</w:t>
            </w:r>
          </w:p>
        </w:tc>
        <w:tc>
          <w:tcPr>
            <w:tcW w:type="dxa" w:w="2340"/>
            <w:shd w:fill="1E3A8A"/>
            <w:tcMar>
              <w:top w:w="140" w:type="dxa"/>
              <w:bottom w:w="140" w:type="dxa"/>
              <w:left w:w="160" w:type="dxa"/>
              <w:right w:w="160" w:type="dxa"/>
            </w:tcMar>
          </w:tcPr>
          <w:p>
            <w:pPr>
              <w:jc w:val="left"/>
            </w:pPr>
            <w:r>
              <w:rPr>
                <w:b/>
                <w:color w:val="FFFFFF"/>
                <w:sz w:val="19"/>
              </w:rPr>
              <w:t>Data Type</w:t>
            </w:r>
          </w:p>
        </w:tc>
        <w:tc>
          <w:tcPr>
            <w:tcW w:type="dxa" w:w="2340"/>
            <w:shd w:fill="1E3A8A"/>
            <w:tcMar>
              <w:top w:w="140" w:type="dxa"/>
              <w:bottom w:w="140" w:type="dxa"/>
              <w:left w:w="160" w:type="dxa"/>
              <w:right w:w="160" w:type="dxa"/>
            </w:tcMar>
          </w:tcPr>
          <w:p>
            <w:pPr>
              <w:jc w:val="left"/>
            </w:pPr>
            <w:r>
              <w:rPr>
                <w:b/>
                <w:color w:val="FFFFFF"/>
                <w:sz w:val="19"/>
              </w:rPr>
              <w:t>Description &amp; Example Value</w:t>
            </w:r>
          </w:p>
        </w:tc>
      </w:tr>
      <w:tr>
        <w:trPr>
          <w:cantSplit/>
        </w:trPr>
        <w:tc>
          <w:tcPr>
            <w:tcW w:type="dxa" w:w="2340"/>
            <w:shd w:fill="F8FAFC"/>
            <w:tcMar>
              <w:top w:w="100" w:type="dxa"/>
              <w:bottom w:w="100" w:type="dxa"/>
              <w:left w:w="150" w:type="dxa"/>
              <w:right w:w="150" w:type="dxa"/>
            </w:tcMar>
          </w:tcPr>
          <w:p>
            <w:r>
              <w:rPr>
                <w:color w:val="1E293B"/>
                <w:sz w:val="18"/>
              </w:rPr>
              <w:t>1</w:t>
            </w:r>
          </w:p>
        </w:tc>
        <w:tc>
          <w:tcPr>
            <w:tcW w:type="dxa" w:w="2340"/>
            <w:shd w:fill="F8FAFC"/>
            <w:tcMar>
              <w:top w:w="100" w:type="dxa"/>
              <w:bottom w:w="100" w:type="dxa"/>
              <w:left w:w="150" w:type="dxa"/>
              <w:right w:w="150" w:type="dxa"/>
            </w:tcMar>
          </w:tcPr>
          <w:p>
            <w:r>
              <w:rPr>
                <w:color w:val="1E293B"/>
                <w:sz w:val="18"/>
              </w:rPr>
              <w:t>Date &amp; Time</w:t>
            </w:r>
          </w:p>
        </w:tc>
        <w:tc>
          <w:tcPr>
            <w:tcW w:type="dxa" w:w="2340"/>
            <w:shd w:fill="F8FAFC"/>
            <w:tcMar>
              <w:top w:w="100" w:type="dxa"/>
              <w:bottom w:w="100" w:type="dxa"/>
              <w:left w:w="150" w:type="dxa"/>
              <w:right w:w="150" w:type="dxa"/>
            </w:tcMar>
          </w:tcPr>
          <w:p>
            <w:r>
              <w:rPr>
                <w:color w:val="1E293B"/>
                <w:sz w:val="18"/>
              </w:rPr>
              <w:t>ISO Timestamp</w:t>
            </w:r>
          </w:p>
        </w:tc>
        <w:tc>
          <w:tcPr>
            <w:tcW w:type="dxa" w:w="2340"/>
            <w:shd w:fill="F8FAFC"/>
            <w:tcMar>
              <w:top w:w="100" w:type="dxa"/>
              <w:bottom w:w="100" w:type="dxa"/>
              <w:left w:w="150" w:type="dxa"/>
              <w:right w:w="150" w:type="dxa"/>
            </w:tcMar>
          </w:tcPr>
          <w:p>
            <w:r>
              <w:rPr>
                <w:color w:val="1E293B"/>
                <w:sz w:val="18"/>
              </w:rPr>
              <w:t>Timestamp of storage evaluation (e.g. 2026-10-09T10:32:16.000Z).</w:t>
            </w:r>
          </w:p>
        </w:tc>
      </w:tr>
      <w:tr>
        <w:trPr>
          <w:cantSplit/>
        </w:trPr>
        <w:tc>
          <w:tcPr>
            <w:tcW w:type="dxa" w:w="2340"/>
            <w:shd w:fill="FFFFFF"/>
            <w:tcMar>
              <w:top w:w="100" w:type="dxa"/>
              <w:bottom w:w="100" w:type="dxa"/>
              <w:left w:w="150" w:type="dxa"/>
              <w:right w:w="150" w:type="dxa"/>
            </w:tcMar>
          </w:tcPr>
          <w:p>
            <w:r>
              <w:rPr>
                <w:color w:val="1E293B"/>
                <w:sz w:val="18"/>
              </w:rPr>
              <w:t>2</w:t>
            </w:r>
          </w:p>
        </w:tc>
        <w:tc>
          <w:tcPr>
            <w:tcW w:type="dxa" w:w="2340"/>
            <w:shd w:fill="FFFFFF"/>
            <w:tcMar>
              <w:top w:w="100" w:type="dxa"/>
              <w:bottom w:w="100" w:type="dxa"/>
              <w:left w:w="150" w:type="dxa"/>
              <w:right w:w="150" w:type="dxa"/>
            </w:tcMar>
          </w:tcPr>
          <w:p>
            <w:r>
              <w:rPr>
                <w:color w:val="1E293B"/>
                <w:sz w:val="18"/>
              </w:rPr>
              <w:t>Machine / PC ID</w:t>
            </w:r>
          </w:p>
        </w:tc>
        <w:tc>
          <w:tcPr>
            <w:tcW w:type="dxa" w:w="2340"/>
            <w:shd w:fill="FFFFFF"/>
            <w:tcMar>
              <w:top w:w="100" w:type="dxa"/>
              <w:bottom w:w="100" w:type="dxa"/>
              <w:left w:w="150" w:type="dxa"/>
              <w:right w:w="150" w:type="dxa"/>
            </w:tcMar>
          </w:tcPr>
          <w:p>
            <w:r>
              <w:rPr>
                <w:color w:val="1E293B"/>
                <w:sz w:val="18"/>
              </w:rPr>
              <w:t>String</w:t>
            </w:r>
          </w:p>
        </w:tc>
        <w:tc>
          <w:tcPr>
            <w:tcW w:type="dxa" w:w="2340"/>
            <w:shd w:fill="FFFFFF"/>
            <w:tcMar>
              <w:top w:w="100" w:type="dxa"/>
              <w:bottom w:w="100" w:type="dxa"/>
              <w:left w:w="150" w:type="dxa"/>
              <w:right w:w="150" w:type="dxa"/>
            </w:tcMar>
          </w:tcPr>
          <w:p>
            <w:r>
              <w:rPr>
                <w:color w:val="1E293B"/>
                <w:sz w:val="18"/>
              </w:rPr>
              <w:t>Hostname of the server monitored (e.g. DULLA, SRV-SQL01).</w:t>
            </w:r>
          </w:p>
        </w:tc>
      </w:tr>
      <w:tr>
        <w:trPr>
          <w:cantSplit/>
        </w:trPr>
        <w:tc>
          <w:tcPr>
            <w:tcW w:type="dxa" w:w="2340"/>
            <w:shd w:fill="F8FAFC"/>
            <w:tcMar>
              <w:top w:w="100" w:type="dxa"/>
              <w:bottom w:w="100" w:type="dxa"/>
              <w:left w:w="150" w:type="dxa"/>
              <w:right w:w="150" w:type="dxa"/>
            </w:tcMar>
          </w:tcPr>
          <w:p>
            <w:r>
              <w:rPr>
                <w:color w:val="1E293B"/>
                <w:sz w:val="18"/>
              </w:rPr>
              <w:t>3</w:t>
            </w:r>
          </w:p>
        </w:tc>
        <w:tc>
          <w:tcPr>
            <w:tcW w:type="dxa" w:w="2340"/>
            <w:shd w:fill="F8FAFC"/>
            <w:tcMar>
              <w:top w:w="100" w:type="dxa"/>
              <w:bottom w:w="100" w:type="dxa"/>
              <w:left w:w="150" w:type="dxa"/>
              <w:right w:w="150" w:type="dxa"/>
            </w:tcMar>
          </w:tcPr>
          <w:p>
            <w:r>
              <w:rPr>
                <w:color w:val="1E293B"/>
                <w:sz w:val="18"/>
              </w:rPr>
              <w:t>Drive</w:t>
            </w:r>
          </w:p>
        </w:tc>
        <w:tc>
          <w:tcPr>
            <w:tcW w:type="dxa" w:w="2340"/>
            <w:shd w:fill="F8FAFC"/>
            <w:tcMar>
              <w:top w:w="100" w:type="dxa"/>
              <w:bottom w:w="100" w:type="dxa"/>
              <w:left w:w="150" w:type="dxa"/>
              <w:right w:w="150" w:type="dxa"/>
            </w:tcMar>
          </w:tcPr>
          <w:p>
            <w:r>
              <w:rPr>
                <w:color w:val="1E293B"/>
                <w:sz w:val="18"/>
              </w:rPr>
              <w:t>String</w:t>
            </w:r>
          </w:p>
        </w:tc>
        <w:tc>
          <w:tcPr>
            <w:tcW w:type="dxa" w:w="2340"/>
            <w:shd w:fill="F8FAFC"/>
            <w:tcMar>
              <w:top w:w="100" w:type="dxa"/>
              <w:bottom w:w="100" w:type="dxa"/>
              <w:left w:w="150" w:type="dxa"/>
              <w:right w:w="150" w:type="dxa"/>
            </w:tcMar>
          </w:tcPr>
          <w:p>
            <w:r>
              <w:rPr>
                <w:color w:val="1E293B"/>
                <w:sz w:val="18"/>
              </w:rPr>
              <w:t>Logical drive letter (e.g. C:, E:, F:).</w:t>
            </w:r>
          </w:p>
        </w:tc>
      </w:tr>
      <w:tr>
        <w:trPr>
          <w:cantSplit/>
        </w:trPr>
        <w:tc>
          <w:tcPr>
            <w:tcW w:type="dxa" w:w="2340"/>
            <w:shd w:fill="FFFFFF"/>
            <w:tcMar>
              <w:top w:w="100" w:type="dxa"/>
              <w:bottom w:w="100" w:type="dxa"/>
              <w:left w:w="150" w:type="dxa"/>
              <w:right w:w="150" w:type="dxa"/>
            </w:tcMar>
          </w:tcPr>
          <w:p>
            <w:r>
              <w:rPr>
                <w:color w:val="1E293B"/>
                <w:sz w:val="18"/>
              </w:rPr>
              <w:t>4</w:t>
            </w:r>
          </w:p>
        </w:tc>
        <w:tc>
          <w:tcPr>
            <w:tcW w:type="dxa" w:w="2340"/>
            <w:shd w:fill="FFFFFF"/>
            <w:tcMar>
              <w:top w:w="100" w:type="dxa"/>
              <w:bottom w:w="100" w:type="dxa"/>
              <w:left w:w="150" w:type="dxa"/>
              <w:right w:w="150" w:type="dxa"/>
            </w:tcMar>
          </w:tcPr>
          <w:p>
            <w:r>
              <w:rPr>
                <w:color w:val="1E293B"/>
                <w:sz w:val="18"/>
              </w:rPr>
              <w:t>Total GB</w:t>
            </w:r>
          </w:p>
        </w:tc>
        <w:tc>
          <w:tcPr>
            <w:tcW w:type="dxa" w:w="2340"/>
            <w:shd w:fill="FFFFFF"/>
            <w:tcMar>
              <w:top w:w="100" w:type="dxa"/>
              <w:bottom w:w="100" w:type="dxa"/>
              <w:left w:w="150" w:type="dxa"/>
              <w:right w:w="150" w:type="dxa"/>
            </w:tcMar>
          </w:tcPr>
          <w:p>
            <w:r>
              <w:rPr>
                <w:color w:val="1E293B"/>
                <w:sz w:val="18"/>
              </w:rPr>
              <w:t>Decimal</w:t>
            </w:r>
          </w:p>
        </w:tc>
        <w:tc>
          <w:tcPr>
            <w:tcW w:type="dxa" w:w="2340"/>
            <w:shd w:fill="FFFFFF"/>
            <w:tcMar>
              <w:top w:w="100" w:type="dxa"/>
              <w:bottom w:w="100" w:type="dxa"/>
              <w:left w:w="150" w:type="dxa"/>
              <w:right w:w="150" w:type="dxa"/>
            </w:tcMar>
          </w:tcPr>
          <w:p>
            <w:r>
              <w:rPr>
                <w:color w:val="1E293B"/>
                <w:sz w:val="18"/>
              </w:rPr>
              <w:t>Total formatted storage capacity in gigabytes (e.g. 232.08, 1862.79).</w:t>
            </w:r>
          </w:p>
        </w:tc>
      </w:tr>
      <w:tr>
        <w:trPr>
          <w:cantSplit/>
        </w:trPr>
        <w:tc>
          <w:tcPr>
            <w:tcW w:type="dxa" w:w="2340"/>
            <w:shd w:fill="F8FAFC"/>
            <w:tcMar>
              <w:top w:w="100" w:type="dxa"/>
              <w:bottom w:w="100" w:type="dxa"/>
              <w:left w:w="150" w:type="dxa"/>
              <w:right w:w="150" w:type="dxa"/>
            </w:tcMar>
          </w:tcPr>
          <w:p>
            <w:r>
              <w:rPr>
                <w:color w:val="1E293B"/>
                <w:sz w:val="18"/>
              </w:rPr>
              <w:t>5</w:t>
            </w:r>
          </w:p>
        </w:tc>
        <w:tc>
          <w:tcPr>
            <w:tcW w:type="dxa" w:w="2340"/>
            <w:shd w:fill="F8FAFC"/>
            <w:tcMar>
              <w:top w:w="100" w:type="dxa"/>
              <w:bottom w:w="100" w:type="dxa"/>
              <w:left w:w="150" w:type="dxa"/>
              <w:right w:w="150" w:type="dxa"/>
            </w:tcMar>
          </w:tcPr>
          <w:p>
            <w:r>
              <w:rPr>
                <w:color w:val="1E293B"/>
                <w:sz w:val="18"/>
              </w:rPr>
              <w:t>Free GB</w:t>
            </w:r>
          </w:p>
        </w:tc>
        <w:tc>
          <w:tcPr>
            <w:tcW w:type="dxa" w:w="2340"/>
            <w:shd w:fill="F8FAFC"/>
            <w:tcMar>
              <w:top w:w="100" w:type="dxa"/>
              <w:bottom w:w="100" w:type="dxa"/>
              <w:left w:w="150" w:type="dxa"/>
              <w:right w:w="150" w:type="dxa"/>
            </w:tcMar>
          </w:tcPr>
          <w:p>
            <w:r>
              <w:rPr>
                <w:color w:val="1E293B"/>
                <w:sz w:val="18"/>
              </w:rPr>
              <w:t>Decimal</w:t>
            </w:r>
          </w:p>
        </w:tc>
        <w:tc>
          <w:tcPr>
            <w:tcW w:type="dxa" w:w="2340"/>
            <w:shd w:fill="F8FAFC"/>
            <w:tcMar>
              <w:top w:w="100" w:type="dxa"/>
              <w:bottom w:w="100" w:type="dxa"/>
              <w:left w:w="150" w:type="dxa"/>
              <w:right w:w="150" w:type="dxa"/>
            </w:tcMar>
          </w:tcPr>
          <w:p>
            <w:r>
              <w:rPr>
                <w:color w:val="1E293B"/>
                <w:sz w:val="18"/>
              </w:rPr>
              <w:t>Available unallocated space in gigabytes (e.g. 69.90, 31.40).</w:t>
            </w:r>
          </w:p>
        </w:tc>
      </w:tr>
      <w:tr>
        <w:trPr>
          <w:cantSplit/>
        </w:trPr>
        <w:tc>
          <w:tcPr>
            <w:tcW w:type="dxa" w:w="2340"/>
            <w:shd w:fill="FFFFFF"/>
            <w:tcMar>
              <w:top w:w="100" w:type="dxa"/>
              <w:bottom w:w="100" w:type="dxa"/>
              <w:left w:w="150" w:type="dxa"/>
              <w:right w:w="150" w:type="dxa"/>
            </w:tcMar>
          </w:tcPr>
          <w:p>
            <w:r>
              <w:rPr>
                <w:color w:val="1E293B"/>
                <w:sz w:val="18"/>
              </w:rPr>
              <w:t>6</w:t>
            </w:r>
          </w:p>
        </w:tc>
        <w:tc>
          <w:tcPr>
            <w:tcW w:type="dxa" w:w="2340"/>
            <w:shd w:fill="FFFFFF"/>
            <w:tcMar>
              <w:top w:w="100" w:type="dxa"/>
              <w:bottom w:w="100" w:type="dxa"/>
              <w:left w:w="150" w:type="dxa"/>
              <w:right w:w="150" w:type="dxa"/>
            </w:tcMar>
          </w:tcPr>
          <w:p>
            <w:r>
              <w:rPr>
                <w:color w:val="1E293B"/>
                <w:sz w:val="18"/>
              </w:rPr>
              <w:t>Used %</w:t>
            </w:r>
          </w:p>
        </w:tc>
        <w:tc>
          <w:tcPr>
            <w:tcW w:type="dxa" w:w="2340"/>
            <w:shd w:fill="FFFFFF"/>
            <w:tcMar>
              <w:top w:w="100" w:type="dxa"/>
              <w:bottom w:w="100" w:type="dxa"/>
              <w:left w:w="150" w:type="dxa"/>
              <w:right w:w="150" w:type="dxa"/>
            </w:tcMar>
          </w:tcPr>
          <w:p>
            <w:r>
              <w:rPr>
                <w:color w:val="1E293B"/>
                <w:sz w:val="18"/>
              </w:rPr>
              <w:t>Percentage</w:t>
            </w:r>
          </w:p>
        </w:tc>
        <w:tc>
          <w:tcPr>
            <w:tcW w:type="dxa" w:w="2340"/>
            <w:shd w:fill="FFFFFF"/>
            <w:tcMar>
              <w:top w:w="100" w:type="dxa"/>
              <w:bottom w:w="100" w:type="dxa"/>
              <w:left w:w="150" w:type="dxa"/>
              <w:right w:w="150" w:type="dxa"/>
            </w:tcMar>
          </w:tcPr>
          <w:p>
            <w:r>
              <w:rPr>
                <w:color w:val="1E293B"/>
                <w:sz w:val="18"/>
              </w:rPr>
              <w:t>Storage utilization percentage (e.g. 69.9%, 98.3%).</w:t>
            </w:r>
          </w:p>
        </w:tc>
      </w:tr>
      <w:tr>
        <w:trPr>
          <w:cantSplit/>
        </w:trPr>
        <w:tc>
          <w:tcPr>
            <w:tcW w:type="dxa" w:w="2340"/>
            <w:shd w:fill="F8FAFC"/>
            <w:tcMar>
              <w:top w:w="100" w:type="dxa"/>
              <w:bottom w:w="100" w:type="dxa"/>
              <w:left w:w="150" w:type="dxa"/>
              <w:right w:w="150" w:type="dxa"/>
            </w:tcMar>
          </w:tcPr>
          <w:p>
            <w:r>
              <w:rPr>
                <w:color w:val="1E293B"/>
                <w:sz w:val="18"/>
              </w:rPr>
              <w:t>7</w:t>
            </w:r>
          </w:p>
        </w:tc>
        <w:tc>
          <w:tcPr>
            <w:tcW w:type="dxa" w:w="2340"/>
            <w:shd w:fill="F8FAFC"/>
            <w:tcMar>
              <w:top w:w="100" w:type="dxa"/>
              <w:bottom w:w="100" w:type="dxa"/>
              <w:left w:w="150" w:type="dxa"/>
              <w:right w:w="150" w:type="dxa"/>
            </w:tcMar>
          </w:tcPr>
          <w:p>
            <w:r>
              <w:rPr>
                <w:color w:val="1E293B"/>
                <w:sz w:val="18"/>
              </w:rPr>
              <w:t>Status / Action Taken</w:t>
            </w:r>
          </w:p>
        </w:tc>
        <w:tc>
          <w:tcPr>
            <w:tcW w:type="dxa" w:w="2340"/>
            <w:shd w:fill="F8FAFC"/>
            <w:tcMar>
              <w:top w:w="100" w:type="dxa"/>
              <w:bottom w:w="100" w:type="dxa"/>
              <w:left w:w="150" w:type="dxa"/>
              <w:right w:w="150" w:type="dxa"/>
            </w:tcMar>
          </w:tcPr>
          <w:p>
            <w:r>
              <w:rPr>
                <w:color w:val="1E293B"/>
                <w:sz w:val="18"/>
              </w:rPr>
              <w:t>String</w:t>
            </w:r>
          </w:p>
        </w:tc>
        <w:tc>
          <w:tcPr>
            <w:tcW w:type="dxa" w:w="2340"/>
            <w:shd w:fill="F8FAFC"/>
            <w:tcMar>
              <w:top w:w="100" w:type="dxa"/>
              <w:bottom w:w="100" w:type="dxa"/>
              <w:left w:w="150" w:type="dxa"/>
              <w:right w:w="150" w:type="dxa"/>
            </w:tcMar>
          </w:tcPr>
          <w:p>
            <w:r>
              <w:rPr>
                <w:color w:val="1E293B"/>
                <w:sz w:val="18"/>
              </w:rPr>
              <w:t>Health classification: 'OK / Healthy' (below 75%), or 'CRITICAL (&gt;75%) - Alert Dispatched'.</w:t>
            </w:r>
          </w:p>
        </w:tc>
      </w:tr>
    </w:tbl>
    <w:p>
      <w:pPr>
        <w:spacing w:after="120"/>
      </w:pPr>
    </w:p>
    <w:p>
      <w:pPr>
        <w:pStyle w:val="Heading2"/>
        <w:spacing w:before="200" w:after="80"/>
      </w:pPr>
      <w:r>
        <w:rPr>
          <w:color w:val="0D9488"/>
        </w:rPr>
        <w:t>Tab 3: [Performance Query]</w:t>
      </w:r>
    </w:p>
    <w:p>
      <w:r>
        <w:t>Purpose: Comprehensive SQL Server health, index fragmentation, integrity verification, and re-indexing report. Populated after automated Weekly or Monthly maintenance cycles.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E3A8A"/>
            <w:tcMar>
              <w:top w:w="140" w:type="dxa"/>
              <w:bottom w:w="140" w:type="dxa"/>
              <w:left w:w="160" w:type="dxa"/>
              <w:right w:w="160" w:type="dxa"/>
            </w:tcMar>
          </w:tcPr>
          <w:p>
            <w:pPr>
              <w:jc w:val="left"/>
            </w:pPr>
            <w:r>
              <w:rPr>
                <w:b/>
                <w:color w:val="FFFFFF"/>
                <w:sz w:val="19"/>
              </w:rPr>
              <w:t>Column #</w:t>
            </w:r>
          </w:p>
        </w:tc>
        <w:tc>
          <w:tcPr>
            <w:tcW w:type="dxa" w:w="2340"/>
            <w:shd w:fill="1E3A8A"/>
            <w:tcMar>
              <w:top w:w="140" w:type="dxa"/>
              <w:bottom w:w="140" w:type="dxa"/>
              <w:left w:w="160" w:type="dxa"/>
              <w:right w:w="160" w:type="dxa"/>
            </w:tcMar>
          </w:tcPr>
          <w:p>
            <w:pPr>
              <w:jc w:val="left"/>
            </w:pPr>
            <w:r>
              <w:rPr>
                <w:b/>
                <w:color w:val="FFFFFF"/>
                <w:sz w:val="19"/>
              </w:rPr>
              <w:t>Column Header</w:t>
            </w:r>
          </w:p>
        </w:tc>
        <w:tc>
          <w:tcPr>
            <w:tcW w:type="dxa" w:w="2340"/>
            <w:shd w:fill="1E3A8A"/>
            <w:tcMar>
              <w:top w:w="140" w:type="dxa"/>
              <w:bottom w:w="140" w:type="dxa"/>
              <w:left w:w="160" w:type="dxa"/>
              <w:right w:w="160" w:type="dxa"/>
            </w:tcMar>
          </w:tcPr>
          <w:p>
            <w:pPr>
              <w:jc w:val="left"/>
            </w:pPr>
            <w:r>
              <w:rPr>
                <w:b/>
                <w:color w:val="FFFFFF"/>
                <w:sz w:val="19"/>
              </w:rPr>
              <w:t>Data Type</w:t>
            </w:r>
          </w:p>
        </w:tc>
        <w:tc>
          <w:tcPr>
            <w:tcW w:type="dxa" w:w="2340"/>
            <w:shd w:fill="1E3A8A"/>
            <w:tcMar>
              <w:top w:w="140" w:type="dxa"/>
              <w:bottom w:w="140" w:type="dxa"/>
              <w:left w:w="160" w:type="dxa"/>
              <w:right w:w="160" w:type="dxa"/>
            </w:tcMar>
          </w:tcPr>
          <w:p>
            <w:pPr>
              <w:jc w:val="left"/>
            </w:pPr>
            <w:r>
              <w:rPr>
                <w:b/>
                <w:color w:val="FFFFFF"/>
                <w:sz w:val="19"/>
              </w:rPr>
              <w:t>Description &amp; Example Value</w:t>
            </w:r>
          </w:p>
        </w:tc>
      </w:tr>
      <w:tr>
        <w:trPr>
          <w:cantSplit/>
        </w:trPr>
        <w:tc>
          <w:tcPr>
            <w:tcW w:type="dxa" w:w="2340"/>
            <w:shd w:fill="F8FAFC"/>
            <w:tcMar>
              <w:top w:w="100" w:type="dxa"/>
              <w:bottom w:w="100" w:type="dxa"/>
              <w:left w:w="150" w:type="dxa"/>
              <w:right w:w="150" w:type="dxa"/>
            </w:tcMar>
          </w:tcPr>
          <w:p>
            <w:r>
              <w:rPr>
                <w:color w:val="1E293B"/>
                <w:sz w:val="18"/>
              </w:rPr>
              <w:t>1</w:t>
            </w:r>
          </w:p>
        </w:tc>
        <w:tc>
          <w:tcPr>
            <w:tcW w:type="dxa" w:w="2340"/>
            <w:shd w:fill="F8FAFC"/>
            <w:tcMar>
              <w:top w:w="100" w:type="dxa"/>
              <w:bottom w:w="100" w:type="dxa"/>
              <w:left w:w="150" w:type="dxa"/>
              <w:right w:w="150" w:type="dxa"/>
            </w:tcMar>
          </w:tcPr>
          <w:p>
            <w:r>
              <w:rPr>
                <w:color w:val="1E293B"/>
                <w:sz w:val="18"/>
              </w:rPr>
              <w:t>Task Start Time (Customer TZ)</w:t>
            </w:r>
          </w:p>
        </w:tc>
        <w:tc>
          <w:tcPr>
            <w:tcW w:type="dxa" w:w="2340"/>
            <w:shd w:fill="F8FAFC"/>
            <w:tcMar>
              <w:top w:w="100" w:type="dxa"/>
              <w:bottom w:w="100" w:type="dxa"/>
              <w:left w:w="150" w:type="dxa"/>
              <w:right w:w="150" w:type="dxa"/>
            </w:tcMar>
          </w:tcPr>
          <w:p>
            <w:r>
              <w:rPr>
                <w:color w:val="1E293B"/>
                <w:sz w:val="18"/>
              </w:rPr>
              <w:t>Timestamp</w:t>
            </w:r>
          </w:p>
        </w:tc>
        <w:tc>
          <w:tcPr>
            <w:tcW w:type="dxa" w:w="2340"/>
            <w:shd w:fill="F8FAFC"/>
            <w:tcMar>
              <w:top w:w="100" w:type="dxa"/>
              <w:bottom w:w="100" w:type="dxa"/>
              <w:left w:w="150" w:type="dxa"/>
              <w:right w:w="150" w:type="dxa"/>
            </w:tcMar>
          </w:tcPr>
          <w:p>
            <w:r>
              <w:rPr>
                <w:color w:val="1E293B"/>
                <w:sz w:val="18"/>
              </w:rPr>
              <w:t>Local system time when the maintenance cycle was initiated (e.g. 2026-10-09 03:00:00).</w:t>
            </w:r>
          </w:p>
        </w:tc>
      </w:tr>
      <w:tr>
        <w:trPr>
          <w:cantSplit/>
        </w:trPr>
        <w:tc>
          <w:tcPr>
            <w:tcW w:type="dxa" w:w="2340"/>
            <w:shd w:fill="FFFFFF"/>
            <w:tcMar>
              <w:top w:w="100" w:type="dxa"/>
              <w:bottom w:w="100" w:type="dxa"/>
              <w:left w:w="150" w:type="dxa"/>
              <w:right w:w="150" w:type="dxa"/>
            </w:tcMar>
          </w:tcPr>
          <w:p>
            <w:r>
              <w:rPr>
                <w:color w:val="1E293B"/>
                <w:sz w:val="18"/>
              </w:rPr>
              <w:t>2</w:t>
            </w:r>
          </w:p>
        </w:tc>
        <w:tc>
          <w:tcPr>
            <w:tcW w:type="dxa" w:w="2340"/>
            <w:shd w:fill="FFFFFF"/>
            <w:tcMar>
              <w:top w:w="100" w:type="dxa"/>
              <w:bottom w:w="100" w:type="dxa"/>
              <w:left w:w="150" w:type="dxa"/>
              <w:right w:w="150" w:type="dxa"/>
            </w:tcMar>
          </w:tcPr>
          <w:p>
            <w:r>
              <w:rPr>
                <w:color w:val="1E293B"/>
                <w:sz w:val="18"/>
              </w:rPr>
              <w:t>Query Execution Time</w:t>
            </w:r>
          </w:p>
        </w:tc>
        <w:tc>
          <w:tcPr>
            <w:tcW w:type="dxa" w:w="2340"/>
            <w:shd w:fill="FFFFFF"/>
            <w:tcMar>
              <w:top w:w="100" w:type="dxa"/>
              <w:bottom w:w="100" w:type="dxa"/>
              <w:left w:w="150" w:type="dxa"/>
              <w:right w:w="150" w:type="dxa"/>
            </w:tcMar>
          </w:tcPr>
          <w:p>
            <w:r>
              <w:rPr>
                <w:color w:val="1E293B"/>
                <w:sz w:val="18"/>
              </w:rPr>
              <w:t>Timestamp</w:t>
            </w:r>
          </w:p>
        </w:tc>
        <w:tc>
          <w:tcPr>
            <w:tcW w:type="dxa" w:w="2340"/>
            <w:shd w:fill="FFFFFF"/>
            <w:tcMar>
              <w:top w:w="100" w:type="dxa"/>
              <w:bottom w:w="100" w:type="dxa"/>
              <w:left w:w="150" w:type="dxa"/>
              <w:right w:w="150" w:type="dxa"/>
            </w:tcMar>
          </w:tcPr>
          <w:p>
            <w:r>
              <w:rPr>
                <w:color w:val="1E293B"/>
                <w:sz w:val="18"/>
              </w:rPr>
              <w:t>Exact time when SQL Server executed index rebuilds and CHECKDB.</w:t>
            </w:r>
          </w:p>
        </w:tc>
      </w:tr>
      <w:tr>
        <w:trPr>
          <w:cantSplit/>
        </w:trPr>
        <w:tc>
          <w:tcPr>
            <w:tcW w:type="dxa" w:w="2340"/>
            <w:shd w:fill="F8FAFC"/>
            <w:tcMar>
              <w:top w:w="100" w:type="dxa"/>
              <w:bottom w:w="100" w:type="dxa"/>
              <w:left w:w="150" w:type="dxa"/>
              <w:right w:w="150" w:type="dxa"/>
            </w:tcMar>
          </w:tcPr>
          <w:p>
            <w:r>
              <w:rPr>
                <w:color w:val="1E293B"/>
                <w:sz w:val="18"/>
              </w:rPr>
              <w:t>3</w:t>
            </w:r>
          </w:p>
        </w:tc>
        <w:tc>
          <w:tcPr>
            <w:tcW w:type="dxa" w:w="2340"/>
            <w:shd w:fill="F8FAFC"/>
            <w:tcMar>
              <w:top w:w="100" w:type="dxa"/>
              <w:bottom w:w="100" w:type="dxa"/>
              <w:left w:w="150" w:type="dxa"/>
              <w:right w:w="150" w:type="dxa"/>
            </w:tcMar>
          </w:tcPr>
          <w:p>
            <w:r>
              <w:rPr>
                <w:color w:val="1E293B"/>
                <w:sz w:val="18"/>
              </w:rPr>
              <w:t>Database</w:t>
            </w:r>
          </w:p>
        </w:tc>
        <w:tc>
          <w:tcPr>
            <w:tcW w:type="dxa" w:w="2340"/>
            <w:shd w:fill="F8FAFC"/>
            <w:tcMar>
              <w:top w:w="100" w:type="dxa"/>
              <w:bottom w:w="100" w:type="dxa"/>
              <w:left w:w="150" w:type="dxa"/>
              <w:right w:w="150" w:type="dxa"/>
            </w:tcMar>
          </w:tcPr>
          <w:p>
            <w:r>
              <w:rPr>
                <w:color w:val="1E293B"/>
                <w:sz w:val="18"/>
              </w:rPr>
              <w:t>String</w:t>
            </w:r>
          </w:p>
        </w:tc>
        <w:tc>
          <w:tcPr>
            <w:tcW w:type="dxa" w:w="2340"/>
            <w:shd w:fill="F8FAFC"/>
            <w:tcMar>
              <w:top w:w="100" w:type="dxa"/>
              <w:bottom w:w="100" w:type="dxa"/>
              <w:left w:w="150" w:type="dxa"/>
              <w:right w:w="150" w:type="dxa"/>
            </w:tcMar>
          </w:tcPr>
          <w:p>
            <w:r>
              <w:rPr>
                <w:color w:val="1E293B"/>
                <w:sz w:val="18"/>
              </w:rPr>
              <w:t>Target database name (e.g. BARTONGLASS_TEST_NEW, TuffCoGlass).</w:t>
            </w:r>
          </w:p>
        </w:tc>
      </w:tr>
      <w:tr>
        <w:trPr>
          <w:cantSplit/>
        </w:trPr>
        <w:tc>
          <w:tcPr>
            <w:tcW w:type="dxa" w:w="2340"/>
            <w:shd w:fill="FFFFFF"/>
            <w:tcMar>
              <w:top w:w="100" w:type="dxa"/>
              <w:bottom w:w="100" w:type="dxa"/>
              <w:left w:w="150" w:type="dxa"/>
              <w:right w:w="150" w:type="dxa"/>
            </w:tcMar>
          </w:tcPr>
          <w:p>
            <w:r>
              <w:rPr>
                <w:color w:val="1E293B"/>
                <w:sz w:val="18"/>
              </w:rPr>
              <w:t>4</w:t>
            </w:r>
          </w:p>
        </w:tc>
        <w:tc>
          <w:tcPr>
            <w:tcW w:type="dxa" w:w="2340"/>
            <w:shd w:fill="FFFFFF"/>
            <w:tcMar>
              <w:top w:w="100" w:type="dxa"/>
              <w:bottom w:w="100" w:type="dxa"/>
              <w:left w:w="150" w:type="dxa"/>
              <w:right w:w="150" w:type="dxa"/>
            </w:tcMar>
          </w:tcPr>
          <w:p>
            <w:r>
              <w:rPr>
                <w:color w:val="1E293B"/>
                <w:sz w:val="18"/>
              </w:rPr>
              <w:t>SQL Server Version</w:t>
            </w:r>
          </w:p>
        </w:tc>
        <w:tc>
          <w:tcPr>
            <w:tcW w:type="dxa" w:w="2340"/>
            <w:shd w:fill="FFFFFF"/>
            <w:tcMar>
              <w:top w:w="100" w:type="dxa"/>
              <w:bottom w:w="100" w:type="dxa"/>
              <w:left w:w="150" w:type="dxa"/>
              <w:right w:w="150" w:type="dxa"/>
            </w:tcMar>
          </w:tcPr>
          <w:p>
            <w:r>
              <w:rPr>
                <w:color w:val="1E293B"/>
                <w:sz w:val="18"/>
              </w:rPr>
              <w:t>String</w:t>
            </w:r>
          </w:p>
        </w:tc>
        <w:tc>
          <w:tcPr>
            <w:tcW w:type="dxa" w:w="2340"/>
            <w:shd w:fill="FFFFFF"/>
            <w:tcMar>
              <w:top w:w="100" w:type="dxa"/>
              <w:bottom w:w="100" w:type="dxa"/>
              <w:left w:w="150" w:type="dxa"/>
              <w:right w:w="150" w:type="dxa"/>
            </w:tcMar>
          </w:tcPr>
          <w:p>
            <w:r>
              <w:rPr>
                <w:color w:val="1E293B"/>
                <w:sz w:val="18"/>
              </w:rPr>
              <w:t>Detected engine version (e.g. Microsoft SQL Server 2025 RTM-GDR KB503...).</w:t>
            </w:r>
          </w:p>
        </w:tc>
      </w:tr>
      <w:tr>
        <w:trPr>
          <w:cantSplit/>
        </w:trPr>
        <w:tc>
          <w:tcPr>
            <w:tcW w:type="dxa" w:w="2340"/>
            <w:shd w:fill="F8FAFC"/>
            <w:tcMar>
              <w:top w:w="100" w:type="dxa"/>
              <w:bottom w:w="100" w:type="dxa"/>
              <w:left w:w="150" w:type="dxa"/>
              <w:right w:w="150" w:type="dxa"/>
            </w:tcMar>
          </w:tcPr>
          <w:p>
            <w:r>
              <w:rPr>
                <w:color w:val="1E293B"/>
                <w:sz w:val="18"/>
              </w:rPr>
              <w:t>5</w:t>
            </w:r>
          </w:p>
        </w:tc>
        <w:tc>
          <w:tcPr>
            <w:tcW w:type="dxa" w:w="2340"/>
            <w:shd w:fill="F8FAFC"/>
            <w:tcMar>
              <w:top w:w="100" w:type="dxa"/>
              <w:bottom w:w="100" w:type="dxa"/>
              <w:left w:w="150" w:type="dxa"/>
              <w:right w:w="150" w:type="dxa"/>
            </w:tcMar>
          </w:tcPr>
          <w:p>
            <w:r>
              <w:rPr>
                <w:color w:val="1E293B"/>
                <w:sz w:val="18"/>
              </w:rPr>
              <w:t>DB Size (MB)</w:t>
            </w:r>
          </w:p>
        </w:tc>
        <w:tc>
          <w:tcPr>
            <w:tcW w:type="dxa" w:w="2340"/>
            <w:shd w:fill="F8FAFC"/>
            <w:tcMar>
              <w:top w:w="100" w:type="dxa"/>
              <w:bottom w:w="100" w:type="dxa"/>
              <w:left w:w="150" w:type="dxa"/>
              <w:right w:w="150" w:type="dxa"/>
            </w:tcMar>
          </w:tcPr>
          <w:p>
            <w:r>
              <w:rPr>
                <w:color w:val="1E293B"/>
                <w:sz w:val="18"/>
              </w:rPr>
              <w:t>Decimal</w:t>
            </w:r>
          </w:p>
        </w:tc>
        <w:tc>
          <w:tcPr>
            <w:tcW w:type="dxa" w:w="2340"/>
            <w:shd w:fill="F8FAFC"/>
            <w:tcMar>
              <w:top w:w="100" w:type="dxa"/>
              <w:bottom w:w="100" w:type="dxa"/>
              <w:left w:w="150" w:type="dxa"/>
              <w:right w:w="150" w:type="dxa"/>
            </w:tcMar>
          </w:tcPr>
          <w:p>
            <w:r>
              <w:rPr>
                <w:color w:val="1E293B"/>
                <w:sz w:val="18"/>
              </w:rPr>
              <w:t>Total data and transaction log file allocation in megabytes (e.g. 1540.50).</w:t>
            </w:r>
          </w:p>
        </w:tc>
      </w:tr>
      <w:tr>
        <w:trPr>
          <w:cantSplit/>
        </w:trPr>
        <w:tc>
          <w:tcPr>
            <w:tcW w:type="dxa" w:w="2340"/>
            <w:shd w:fill="FFFFFF"/>
            <w:tcMar>
              <w:top w:w="100" w:type="dxa"/>
              <w:bottom w:w="100" w:type="dxa"/>
              <w:left w:w="150" w:type="dxa"/>
              <w:right w:w="150" w:type="dxa"/>
            </w:tcMar>
          </w:tcPr>
          <w:p>
            <w:r>
              <w:rPr>
                <w:color w:val="1E293B"/>
                <w:sz w:val="18"/>
              </w:rPr>
              <w:t>6</w:t>
            </w:r>
          </w:p>
        </w:tc>
        <w:tc>
          <w:tcPr>
            <w:tcW w:type="dxa" w:w="2340"/>
            <w:shd w:fill="FFFFFF"/>
            <w:tcMar>
              <w:top w:w="100" w:type="dxa"/>
              <w:bottom w:w="100" w:type="dxa"/>
              <w:left w:w="150" w:type="dxa"/>
              <w:right w:w="150" w:type="dxa"/>
            </w:tcMar>
          </w:tcPr>
          <w:p>
            <w:r>
              <w:rPr>
                <w:color w:val="1E293B"/>
                <w:sz w:val="18"/>
              </w:rPr>
              <w:t>Pre-Maintenance Backup</w:t>
            </w:r>
          </w:p>
        </w:tc>
        <w:tc>
          <w:tcPr>
            <w:tcW w:type="dxa" w:w="2340"/>
            <w:shd w:fill="FFFFFF"/>
            <w:tcMar>
              <w:top w:w="100" w:type="dxa"/>
              <w:bottom w:w="100" w:type="dxa"/>
              <w:left w:w="150" w:type="dxa"/>
              <w:right w:w="150" w:type="dxa"/>
            </w:tcMar>
          </w:tcPr>
          <w:p>
            <w:r>
              <w:rPr>
                <w:color w:val="1E293B"/>
                <w:sz w:val="18"/>
              </w:rPr>
              <w:t>String</w:t>
            </w:r>
          </w:p>
        </w:tc>
        <w:tc>
          <w:tcPr>
            <w:tcW w:type="dxa" w:w="2340"/>
            <w:shd w:fill="FFFFFF"/>
            <w:tcMar>
              <w:top w:w="100" w:type="dxa"/>
              <w:bottom w:w="100" w:type="dxa"/>
              <w:left w:w="150" w:type="dxa"/>
              <w:right w:w="150" w:type="dxa"/>
            </w:tcMar>
          </w:tcPr>
          <w:p>
            <w:r>
              <w:rPr>
                <w:color w:val="1E293B"/>
                <w:sz w:val="18"/>
              </w:rPr>
              <w:t>Safety snapshot status prior to schema re-indexing (e.g. Completed).</w:t>
            </w:r>
          </w:p>
        </w:tc>
      </w:tr>
      <w:tr>
        <w:trPr>
          <w:cantSplit/>
        </w:trPr>
        <w:tc>
          <w:tcPr>
            <w:tcW w:type="dxa" w:w="2340"/>
            <w:shd w:fill="F8FAFC"/>
            <w:tcMar>
              <w:top w:w="100" w:type="dxa"/>
              <w:bottom w:w="100" w:type="dxa"/>
              <w:left w:w="150" w:type="dxa"/>
              <w:right w:w="150" w:type="dxa"/>
            </w:tcMar>
          </w:tcPr>
          <w:p>
            <w:r>
              <w:rPr>
                <w:color w:val="1E293B"/>
                <w:sz w:val="18"/>
              </w:rPr>
              <w:t>7</w:t>
            </w:r>
          </w:p>
        </w:tc>
        <w:tc>
          <w:tcPr>
            <w:tcW w:type="dxa" w:w="2340"/>
            <w:shd w:fill="F8FAFC"/>
            <w:tcMar>
              <w:top w:w="100" w:type="dxa"/>
              <w:bottom w:w="100" w:type="dxa"/>
              <w:left w:w="150" w:type="dxa"/>
              <w:right w:w="150" w:type="dxa"/>
            </w:tcMar>
          </w:tcPr>
          <w:p>
            <w:r>
              <w:rPr>
                <w:color w:val="1E293B"/>
                <w:sz w:val="18"/>
              </w:rPr>
              <w:t>Index Frag Before</w:t>
            </w:r>
          </w:p>
        </w:tc>
        <w:tc>
          <w:tcPr>
            <w:tcW w:type="dxa" w:w="2340"/>
            <w:shd w:fill="F8FAFC"/>
            <w:tcMar>
              <w:top w:w="100" w:type="dxa"/>
              <w:bottom w:w="100" w:type="dxa"/>
              <w:left w:w="150" w:type="dxa"/>
              <w:right w:w="150" w:type="dxa"/>
            </w:tcMar>
          </w:tcPr>
          <w:p>
            <w:r>
              <w:rPr>
                <w:color w:val="1E293B"/>
                <w:sz w:val="18"/>
              </w:rPr>
              <w:t>Percentage</w:t>
            </w:r>
          </w:p>
        </w:tc>
        <w:tc>
          <w:tcPr>
            <w:tcW w:type="dxa" w:w="2340"/>
            <w:shd w:fill="F8FAFC"/>
            <w:tcMar>
              <w:top w:w="100" w:type="dxa"/>
              <w:bottom w:w="100" w:type="dxa"/>
              <w:left w:w="150" w:type="dxa"/>
              <w:right w:w="150" w:type="dxa"/>
            </w:tcMar>
          </w:tcPr>
          <w:p>
            <w:r>
              <w:rPr>
                <w:color w:val="1E293B"/>
                <w:sz w:val="18"/>
              </w:rPr>
              <w:t>Maximum fragmentation rate detected before tuning (e.g. 42.5%).</w:t>
            </w:r>
          </w:p>
        </w:tc>
      </w:tr>
      <w:tr>
        <w:trPr>
          <w:cantSplit/>
        </w:trPr>
        <w:tc>
          <w:tcPr>
            <w:tcW w:type="dxa" w:w="2340"/>
            <w:shd w:fill="FFFFFF"/>
            <w:tcMar>
              <w:top w:w="100" w:type="dxa"/>
              <w:bottom w:w="100" w:type="dxa"/>
              <w:left w:w="150" w:type="dxa"/>
              <w:right w:w="150" w:type="dxa"/>
            </w:tcMar>
          </w:tcPr>
          <w:p>
            <w:r>
              <w:rPr>
                <w:color w:val="1E293B"/>
                <w:sz w:val="18"/>
              </w:rPr>
              <w:t>8</w:t>
            </w:r>
          </w:p>
        </w:tc>
        <w:tc>
          <w:tcPr>
            <w:tcW w:type="dxa" w:w="2340"/>
            <w:shd w:fill="FFFFFF"/>
            <w:tcMar>
              <w:top w:w="100" w:type="dxa"/>
              <w:bottom w:w="100" w:type="dxa"/>
              <w:left w:w="150" w:type="dxa"/>
              <w:right w:w="150" w:type="dxa"/>
            </w:tcMar>
          </w:tcPr>
          <w:p>
            <w:r>
              <w:rPr>
                <w:color w:val="1E293B"/>
                <w:sz w:val="18"/>
              </w:rPr>
              <w:t>Index Frag After</w:t>
            </w:r>
          </w:p>
        </w:tc>
        <w:tc>
          <w:tcPr>
            <w:tcW w:type="dxa" w:w="2340"/>
            <w:shd w:fill="FFFFFF"/>
            <w:tcMar>
              <w:top w:w="100" w:type="dxa"/>
              <w:bottom w:w="100" w:type="dxa"/>
              <w:left w:w="150" w:type="dxa"/>
              <w:right w:w="150" w:type="dxa"/>
            </w:tcMar>
          </w:tcPr>
          <w:p>
            <w:r>
              <w:rPr>
                <w:color w:val="1E293B"/>
                <w:sz w:val="18"/>
              </w:rPr>
              <w:t>Percentage</w:t>
            </w:r>
          </w:p>
        </w:tc>
        <w:tc>
          <w:tcPr>
            <w:tcW w:type="dxa" w:w="2340"/>
            <w:shd w:fill="FFFFFF"/>
            <w:tcMar>
              <w:top w:w="100" w:type="dxa"/>
              <w:bottom w:w="100" w:type="dxa"/>
              <w:left w:w="150" w:type="dxa"/>
              <w:right w:w="150" w:type="dxa"/>
            </w:tcMar>
          </w:tcPr>
          <w:p>
            <w:r>
              <w:rPr>
                <w:color w:val="1E293B"/>
                <w:sz w:val="18"/>
              </w:rPr>
              <w:t>Maximum fragmentation rate achieved post-tuning (e.g. 1.2%).</w:t>
            </w:r>
          </w:p>
        </w:tc>
      </w:tr>
      <w:tr>
        <w:trPr>
          <w:cantSplit/>
        </w:trPr>
        <w:tc>
          <w:tcPr>
            <w:tcW w:type="dxa" w:w="2340"/>
            <w:shd w:fill="F8FAFC"/>
            <w:tcMar>
              <w:top w:w="100" w:type="dxa"/>
              <w:bottom w:w="100" w:type="dxa"/>
              <w:left w:w="150" w:type="dxa"/>
              <w:right w:w="150" w:type="dxa"/>
            </w:tcMar>
          </w:tcPr>
          <w:p>
            <w:r>
              <w:rPr>
                <w:color w:val="1E293B"/>
                <w:sz w:val="18"/>
              </w:rPr>
              <w:t>9</w:t>
            </w:r>
          </w:p>
        </w:tc>
        <w:tc>
          <w:tcPr>
            <w:tcW w:type="dxa" w:w="2340"/>
            <w:shd w:fill="F8FAFC"/>
            <w:tcMar>
              <w:top w:w="100" w:type="dxa"/>
              <w:bottom w:w="100" w:type="dxa"/>
              <w:left w:w="150" w:type="dxa"/>
              <w:right w:w="150" w:type="dxa"/>
            </w:tcMar>
          </w:tcPr>
          <w:p>
            <w:r>
              <w:rPr>
                <w:color w:val="1E293B"/>
                <w:sz w:val="18"/>
              </w:rPr>
              <w:t>CHECKDB Status</w:t>
            </w:r>
          </w:p>
        </w:tc>
        <w:tc>
          <w:tcPr>
            <w:tcW w:type="dxa" w:w="2340"/>
            <w:shd w:fill="F8FAFC"/>
            <w:tcMar>
              <w:top w:w="100" w:type="dxa"/>
              <w:bottom w:w="100" w:type="dxa"/>
              <w:left w:w="150" w:type="dxa"/>
              <w:right w:w="150" w:type="dxa"/>
            </w:tcMar>
          </w:tcPr>
          <w:p>
            <w:r>
              <w:rPr>
                <w:color w:val="1E293B"/>
                <w:sz w:val="18"/>
              </w:rPr>
              <w:t>String</w:t>
            </w:r>
          </w:p>
        </w:tc>
        <w:tc>
          <w:tcPr>
            <w:tcW w:type="dxa" w:w="2340"/>
            <w:shd w:fill="F8FAFC"/>
            <w:tcMar>
              <w:top w:w="100" w:type="dxa"/>
              <w:bottom w:w="100" w:type="dxa"/>
              <w:left w:w="150" w:type="dxa"/>
              <w:right w:w="150" w:type="dxa"/>
            </w:tcMar>
          </w:tcPr>
          <w:p>
            <w:r>
              <w:rPr>
                <w:color w:val="1E293B"/>
                <w:sz w:val="18"/>
              </w:rPr>
              <w:t>Database physical and logical integrity state: 'Clean (0 consistency errors) / 0 allocation errors'.</w:t>
            </w:r>
          </w:p>
        </w:tc>
      </w:tr>
      <w:tr>
        <w:trPr>
          <w:cantSplit/>
        </w:trPr>
        <w:tc>
          <w:tcPr>
            <w:tcW w:type="dxa" w:w="2340"/>
            <w:shd w:fill="FFFFFF"/>
            <w:tcMar>
              <w:top w:w="100" w:type="dxa"/>
              <w:bottom w:w="100" w:type="dxa"/>
              <w:left w:w="150" w:type="dxa"/>
              <w:right w:w="150" w:type="dxa"/>
            </w:tcMar>
          </w:tcPr>
          <w:p>
            <w:r>
              <w:rPr>
                <w:color w:val="1E293B"/>
                <w:sz w:val="18"/>
              </w:rPr>
              <w:t>10</w:t>
            </w:r>
          </w:p>
        </w:tc>
        <w:tc>
          <w:tcPr>
            <w:tcW w:type="dxa" w:w="2340"/>
            <w:shd w:fill="FFFFFF"/>
            <w:tcMar>
              <w:top w:w="100" w:type="dxa"/>
              <w:bottom w:w="100" w:type="dxa"/>
              <w:left w:w="150" w:type="dxa"/>
              <w:right w:w="150" w:type="dxa"/>
            </w:tcMar>
          </w:tcPr>
          <w:p>
            <w:r>
              <w:rPr>
                <w:color w:val="1E293B"/>
                <w:sz w:val="18"/>
              </w:rPr>
              <w:t>Reindexing &amp; Stats</w:t>
            </w:r>
          </w:p>
        </w:tc>
        <w:tc>
          <w:tcPr>
            <w:tcW w:type="dxa" w:w="2340"/>
            <w:shd w:fill="FFFFFF"/>
            <w:tcMar>
              <w:top w:w="100" w:type="dxa"/>
              <w:bottom w:w="100" w:type="dxa"/>
              <w:left w:w="150" w:type="dxa"/>
              <w:right w:w="150" w:type="dxa"/>
            </w:tcMar>
          </w:tcPr>
          <w:p>
            <w:r>
              <w:rPr>
                <w:color w:val="1E293B"/>
                <w:sz w:val="18"/>
              </w:rPr>
              <w:t>String</w:t>
            </w:r>
          </w:p>
        </w:tc>
        <w:tc>
          <w:tcPr>
            <w:tcW w:type="dxa" w:w="2340"/>
            <w:shd w:fill="FFFFFF"/>
            <w:tcMar>
              <w:top w:w="100" w:type="dxa"/>
              <w:bottom w:w="100" w:type="dxa"/>
              <w:left w:w="150" w:type="dxa"/>
              <w:right w:w="150" w:type="dxa"/>
            </w:tcMar>
          </w:tcPr>
          <w:p>
            <w:r>
              <w:rPr>
                <w:color w:val="1E293B"/>
                <w:sz w:val="18"/>
              </w:rPr>
              <w:t>Rebuild summary: 'Reindexed (FillFactor 80) &amp; Statistics Updated'.</w:t>
            </w:r>
          </w:p>
        </w:tc>
      </w:tr>
      <w:tr>
        <w:trPr>
          <w:cantSplit/>
        </w:trPr>
        <w:tc>
          <w:tcPr>
            <w:tcW w:type="dxa" w:w="2340"/>
            <w:shd w:fill="F8FAFC"/>
            <w:tcMar>
              <w:top w:w="100" w:type="dxa"/>
              <w:bottom w:w="100" w:type="dxa"/>
              <w:left w:w="150" w:type="dxa"/>
              <w:right w:w="150" w:type="dxa"/>
            </w:tcMar>
          </w:tcPr>
          <w:p>
            <w:r>
              <w:rPr>
                <w:color w:val="1E293B"/>
                <w:sz w:val="18"/>
              </w:rPr>
              <w:t>11</w:t>
            </w:r>
          </w:p>
        </w:tc>
        <w:tc>
          <w:tcPr>
            <w:tcW w:type="dxa" w:w="2340"/>
            <w:shd w:fill="F8FAFC"/>
            <w:tcMar>
              <w:top w:w="100" w:type="dxa"/>
              <w:bottom w:w="100" w:type="dxa"/>
              <w:left w:w="150" w:type="dxa"/>
              <w:right w:w="150" w:type="dxa"/>
            </w:tcMar>
          </w:tcPr>
          <w:p>
            <w:r>
              <w:rPr>
                <w:color w:val="1E293B"/>
                <w:sz w:val="18"/>
              </w:rPr>
              <w:t>Run Time (s)</w:t>
            </w:r>
          </w:p>
        </w:tc>
        <w:tc>
          <w:tcPr>
            <w:tcW w:type="dxa" w:w="2340"/>
            <w:shd w:fill="F8FAFC"/>
            <w:tcMar>
              <w:top w:w="100" w:type="dxa"/>
              <w:bottom w:w="100" w:type="dxa"/>
              <w:left w:w="150" w:type="dxa"/>
              <w:right w:w="150" w:type="dxa"/>
            </w:tcMar>
          </w:tcPr>
          <w:p>
            <w:r>
              <w:rPr>
                <w:color w:val="1E293B"/>
                <w:sz w:val="18"/>
              </w:rPr>
              <w:t>Decimal</w:t>
            </w:r>
          </w:p>
        </w:tc>
        <w:tc>
          <w:tcPr>
            <w:tcW w:type="dxa" w:w="2340"/>
            <w:shd w:fill="F8FAFC"/>
            <w:tcMar>
              <w:top w:w="100" w:type="dxa"/>
              <w:bottom w:w="100" w:type="dxa"/>
              <w:left w:w="150" w:type="dxa"/>
              <w:right w:w="150" w:type="dxa"/>
            </w:tcMar>
          </w:tcPr>
          <w:p>
            <w:r>
              <w:rPr>
                <w:color w:val="1E293B"/>
                <w:sz w:val="18"/>
              </w:rPr>
              <w:t>Total execution duration in seconds (e.g. 14.8).</w:t>
            </w:r>
          </w:p>
        </w:tc>
      </w:tr>
      <w:tr>
        <w:trPr>
          <w:cantSplit/>
        </w:trPr>
        <w:tc>
          <w:tcPr>
            <w:tcW w:type="dxa" w:w="2340"/>
            <w:shd w:fill="FFFFFF"/>
            <w:tcMar>
              <w:top w:w="100" w:type="dxa"/>
              <w:bottom w:w="100" w:type="dxa"/>
              <w:left w:w="150" w:type="dxa"/>
              <w:right w:w="150" w:type="dxa"/>
            </w:tcMar>
          </w:tcPr>
          <w:p>
            <w:r>
              <w:rPr>
                <w:color w:val="1E293B"/>
                <w:sz w:val="18"/>
              </w:rPr>
              <w:t>12</w:t>
            </w:r>
          </w:p>
        </w:tc>
        <w:tc>
          <w:tcPr>
            <w:tcW w:type="dxa" w:w="2340"/>
            <w:shd w:fill="FFFFFF"/>
            <w:tcMar>
              <w:top w:w="100" w:type="dxa"/>
              <w:bottom w:w="100" w:type="dxa"/>
              <w:left w:w="150" w:type="dxa"/>
              <w:right w:w="150" w:type="dxa"/>
            </w:tcMar>
          </w:tcPr>
          <w:p>
            <w:r>
              <w:rPr>
                <w:color w:val="1E293B"/>
                <w:sz w:val="18"/>
              </w:rPr>
              <w:t>Run Mode</w:t>
            </w:r>
          </w:p>
        </w:tc>
        <w:tc>
          <w:tcPr>
            <w:tcW w:type="dxa" w:w="2340"/>
            <w:shd w:fill="FFFFFF"/>
            <w:tcMar>
              <w:top w:w="100" w:type="dxa"/>
              <w:bottom w:w="100" w:type="dxa"/>
              <w:left w:w="150" w:type="dxa"/>
              <w:right w:w="150" w:type="dxa"/>
            </w:tcMar>
          </w:tcPr>
          <w:p>
            <w:r>
              <w:rPr>
                <w:color w:val="1E293B"/>
                <w:sz w:val="18"/>
              </w:rPr>
              <w:t>String</w:t>
            </w:r>
          </w:p>
        </w:tc>
        <w:tc>
          <w:tcPr>
            <w:tcW w:type="dxa" w:w="2340"/>
            <w:shd w:fill="FFFFFF"/>
            <w:tcMar>
              <w:top w:w="100" w:type="dxa"/>
              <w:bottom w:w="100" w:type="dxa"/>
              <w:left w:w="150" w:type="dxa"/>
              <w:right w:w="150" w:type="dxa"/>
            </w:tcMar>
          </w:tcPr>
          <w:p>
            <w:r>
              <w:rPr>
                <w:color w:val="1E293B"/>
                <w:sz w:val="18"/>
              </w:rPr>
              <w:t>Execution method: 'Automatic' (Windows Task Scheduler Session 0) or 'Manual'.</w:t>
            </w:r>
          </w:p>
        </w:tc>
      </w:tr>
      <w:tr>
        <w:trPr>
          <w:cantSplit/>
        </w:trPr>
        <w:tc>
          <w:tcPr>
            <w:tcW w:type="dxa" w:w="2340"/>
            <w:shd w:fill="F8FAFC"/>
            <w:tcMar>
              <w:top w:w="100" w:type="dxa"/>
              <w:bottom w:w="100" w:type="dxa"/>
              <w:left w:w="150" w:type="dxa"/>
              <w:right w:w="150" w:type="dxa"/>
            </w:tcMar>
          </w:tcPr>
          <w:p>
            <w:r>
              <w:rPr>
                <w:color w:val="1E293B"/>
                <w:sz w:val="18"/>
              </w:rPr>
              <w:t>13</w:t>
            </w:r>
          </w:p>
        </w:tc>
        <w:tc>
          <w:tcPr>
            <w:tcW w:type="dxa" w:w="2340"/>
            <w:shd w:fill="F8FAFC"/>
            <w:tcMar>
              <w:top w:w="100" w:type="dxa"/>
              <w:bottom w:w="100" w:type="dxa"/>
              <w:left w:w="150" w:type="dxa"/>
              <w:right w:w="150" w:type="dxa"/>
            </w:tcMar>
          </w:tcPr>
          <w:p>
            <w:r>
              <w:rPr>
                <w:color w:val="1E293B"/>
                <w:sz w:val="18"/>
              </w:rPr>
              <w:t>Status</w:t>
            </w:r>
          </w:p>
        </w:tc>
        <w:tc>
          <w:tcPr>
            <w:tcW w:type="dxa" w:w="2340"/>
            <w:shd w:fill="F8FAFC"/>
            <w:tcMar>
              <w:top w:w="100" w:type="dxa"/>
              <w:bottom w:w="100" w:type="dxa"/>
              <w:left w:w="150" w:type="dxa"/>
              <w:right w:w="150" w:type="dxa"/>
            </w:tcMar>
          </w:tcPr>
          <w:p>
            <w:r>
              <w:rPr>
                <w:color w:val="1E293B"/>
                <w:sz w:val="18"/>
              </w:rPr>
              <w:t>String</w:t>
            </w:r>
          </w:p>
        </w:tc>
        <w:tc>
          <w:tcPr>
            <w:tcW w:type="dxa" w:w="2340"/>
            <w:shd w:fill="F8FAFC"/>
            <w:tcMar>
              <w:top w:w="100" w:type="dxa"/>
              <w:bottom w:w="100" w:type="dxa"/>
              <w:left w:w="150" w:type="dxa"/>
              <w:right w:w="150" w:type="dxa"/>
            </w:tcMar>
          </w:tcPr>
          <w:p>
            <w:r>
              <w:rPr>
                <w:color w:val="1E293B"/>
                <w:sz w:val="18"/>
              </w:rPr>
              <w:t>Maintenance result: SUCCESS or ERROR.</w:t>
            </w:r>
          </w:p>
        </w:tc>
      </w:tr>
    </w:tbl>
    <w:p>
      <w:pPr>
        <w:spacing w:after="160"/>
      </w:pPr>
    </w:p>
    <w:p>
      <w:pPr>
        <w:pStyle w:val="Heading1"/>
        <w:spacing w:before="280" w:after="120"/>
      </w:pPr>
      <w:r>
        <w:rPr>
          <w:color w:val="1E3A8A"/>
        </w:rPr>
        <w:t>4. Master Upload Broker Spreadsheet Structure (Internal Provider Link)</w:t>
      </w:r>
    </w:p>
    <w:p>
      <w:r>
        <w:t>The Service Provider maintains a single master multi-tenant spreadsheet (SPREADSHEET_ID). It acts as the backend database for the serverless Google Apps Script broker. It contains 5 system management tabs plus over 70 customer-specific report tabs: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shd w:fill="1E3A8A"/>
            <w:tcMar>
              <w:top w:w="140" w:type="dxa"/>
              <w:bottom w:w="140" w:type="dxa"/>
              <w:left w:w="160" w:type="dxa"/>
              <w:right w:w="160" w:type="dxa"/>
            </w:tcMar>
          </w:tcPr>
          <w:p>
            <w:pPr>
              <w:jc w:val="left"/>
            </w:pPr>
            <w:r>
              <w:rPr>
                <w:b/>
                <w:color w:val="FFFFFF"/>
                <w:sz w:val="19"/>
              </w:rPr>
              <w:t>System Tab Name</w:t>
            </w:r>
          </w:p>
        </w:tc>
        <w:tc>
          <w:tcPr>
            <w:tcW w:type="dxa" w:w="3120"/>
            <w:shd w:fill="1E3A8A"/>
            <w:tcMar>
              <w:top w:w="140" w:type="dxa"/>
              <w:bottom w:w="140" w:type="dxa"/>
              <w:left w:w="160" w:type="dxa"/>
              <w:right w:w="160" w:type="dxa"/>
            </w:tcMar>
          </w:tcPr>
          <w:p>
            <w:pPr>
              <w:jc w:val="left"/>
            </w:pPr>
            <w:r>
              <w:rPr>
                <w:b/>
                <w:color w:val="FFFFFF"/>
                <w:sz w:val="19"/>
              </w:rPr>
              <w:t>Primary Purpose</w:t>
            </w:r>
          </w:p>
        </w:tc>
        <w:tc>
          <w:tcPr>
            <w:tcW w:type="dxa" w:w="3120"/>
            <w:shd w:fill="1E3A8A"/>
            <w:tcMar>
              <w:top w:w="140" w:type="dxa"/>
              <w:bottom w:w="140" w:type="dxa"/>
              <w:left w:w="160" w:type="dxa"/>
              <w:right w:w="160" w:type="dxa"/>
            </w:tcMar>
          </w:tcPr>
          <w:p>
            <w:pPr>
              <w:jc w:val="left"/>
            </w:pPr>
            <w:r>
              <w:rPr>
                <w:b/>
                <w:color w:val="FFFFFF"/>
                <w:sz w:val="19"/>
              </w:rPr>
              <w:t>Schema / Column Headers</w:t>
            </w:r>
          </w:p>
        </w:tc>
      </w:tr>
      <w:tr>
        <w:trPr>
          <w:cantSplit/>
        </w:trPr>
        <w:tc>
          <w:tcPr>
            <w:tcW w:type="dxa" w:w="3120"/>
            <w:shd w:fill="F8FAFC"/>
            <w:tcMar>
              <w:top w:w="100" w:type="dxa"/>
              <w:bottom w:w="100" w:type="dxa"/>
              <w:left w:w="150" w:type="dxa"/>
              <w:right w:w="150" w:type="dxa"/>
            </w:tcMar>
          </w:tcPr>
          <w:p>
            <w:r>
              <w:rPr>
                <w:color w:val="1E293B"/>
                <w:sz w:val="18"/>
              </w:rPr>
              <w:t>Config</w:t>
            </w:r>
          </w:p>
        </w:tc>
        <w:tc>
          <w:tcPr>
            <w:tcW w:type="dxa" w:w="3120"/>
            <w:shd w:fill="F8FAFC"/>
            <w:tcMar>
              <w:top w:w="100" w:type="dxa"/>
              <w:bottom w:w="100" w:type="dxa"/>
              <w:left w:w="150" w:type="dxa"/>
              <w:right w:w="150" w:type="dxa"/>
            </w:tcMar>
          </w:tcPr>
          <w:p>
            <w:r>
              <w:rPr>
                <w:color w:val="1E293B"/>
                <w:sz w:val="18"/>
              </w:rPr>
              <w:t>Stores one-time enrollment codes and customer mappings.</w:t>
            </w:r>
          </w:p>
        </w:tc>
        <w:tc>
          <w:tcPr>
            <w:tcW w:type="dxa" w:w="3120"/>
            <w:shd w:fill="F8FAFC"/>
            <w:tcMar>
              <w:top w:w="100" w:type="dxa"/>
              <w:bottom w:w="100" w:type="dxa"/>
              <w:left w:w="150" w:type="dxa"/>
              <w:right w:w="150" w:type="dxa"/>
            </w:tcMar>
          </w:tcPr>
          <w:p>
            <w:r>
              <w:rPr>
                <w:color w:val="1E293B"/>
                <w:sz w:val="18"/>
              </w:rPr>
              <w:t>KEY, VALUE, CUSTOMER_SLUG, STATUS</w:t>
            </w:r>
          </w:p>
        </w:tc>
      </w:tr>
      <w:tr>
        <w:trPr>
          <w:cantSplit/>
        </w:trPr>
        <w:tc>
          <w:tcPr>
            <w:tcW w:type="dxa" w:w="3120"/>
            <w:shd w:fill="FFFFFF"/>
            <w:tcMar>
              <w:top w:w="100" w:type="dxa"/>
              <w:bottom w:w="100" w:type="dxa"/>
              <w:left w:w="150" w:type="dxa"/>
              <w:right w:w="150" w:type="dxa"/>
            </w:tcMar>
          </w:tcPr>
          <w:p>
            <w:r>
              <w:rPr>
                <w:color w:val="1E293B"/>
                <w:sz w:val="18"/>
              </w:rPr>
              <w:t>Tokens</w:t>
            </w:r>
          </w:p>
        </w:tc>
        <w:tc>
          <w:tcPr>
            <w:tcW w:type="dxa" w:w="3120"/>
            <w:shd w:fill="FFFFFF"/>
            <w:tcMar>
              <w:top w:w="100" w:type="dxa"/>
              <w:bottom w:w="100" w:type="dxa"/>
              <w:left w:w="150" w:type="dxa"/>
              <w:right w:w="150" w:type="dxa"/>
            </w:tcMar>
          </w:tcPr>
          <w:p>
            <w:r>
              <w:rPr>
                <w:color w:val="1E293B"/>
                <w:sz w:val="18"/>
              </w:rPr>
              <w:t>Stores SHA-256 hashed machine tokens, PC IDs, customer slugs, and upload traffic offsets.</w:t>
            </w:r>
          </w:p>
        </w:tc>
        <w:tc>
          <w:tcPr>
            <w:tcW w:type="dxa" w:w="3120"/>
            <w:shd w:fill="FFFFFF"/>
            <w:tcMar>
              <w:top w:w="100" w:type="dxa"/>
              <w:bottom w:w="100" w:type="dxa"/>
              <w:left w:w="150" w:type="dxa"/>
              <w:right w:w="150" w:type="dxa"/>
            </w:tcMar>
          </w:tcPr>
          <w:p>
            <w:r>
              <w:rPr>
                <w:color w:val="1E293B"/>
                <w:sz w:val="18"/>
              </w:rPr>
              <w:t>PC_ID, CUSTOMER_SLUG, TOKEN_HASH, OFFSET_MINUTES, CREATED_AT</w:t>
            </w:r>
          </w:p>
        </w:tc>
      </w:tr>
      <w:tr>
        <w:trPr>
          <w:cantSplit/>
        </w:trPr>
        <w:tc>
          <w:tcPr>
            <w:tcW w:type="dxa" w:w="3120"/>
            <w:shd w:fill="F8FAFC"/>
            <w:tcMar>
              <w:top w:w="100" w:type="dxa"/>
              <w:bottom w:w="100" w:type="dxa"/>
              <w:left w:w="150" w:type="dxa"/>
              <w:right w:w="150" w:type="dxa"/>
            </w:tcMar>
          </w:tcPr>
          <w:p>
            <w:r>
              <w:rPr>
                <w:color w:val="1E293B"/>
                <w:sz w:val="18"/>
              </w:rPr>
              <w:t>Audit</w:t>
            </w:r>
          </w:p>
        </w:tc>
        <w:tc>
          <w:tcPr>
            <w:tcW w:type="dxa" w:w="3120"/>
            <w:shd w:fill="F8FAFC"/>
            <w:tcMar>
              <w:top w:w="100" w:type="dxa"/>
              <w:bottom w:w="100" w:type="dxa"/>
              <w:left w:w="150" w:type="dxa"/>
              <w:right w:w="150" w:type="dxa"/>
            </w:tcMar>
          </w:tcPr>
          <w:p>
            <w:r>
              <w:rPr>
                <w:color w:val="1E293B"/>
                <w:sz w:val="18"/>
              </w:rPr>
              <w:t>Complete zero-trust audit trail of every upload request, authentication failure, and quota check.</w:t>
            </w:r>
          </w:p>
        </w:tc>
        <w:tc>
          <w:tcPr>
            <w:tcW w:type="dxa" w:w="3120"/>
            <w:shd w:fill="F8FAFC"/>
            <w:tcMar>
              <w:top w:w="100" w:type="dxa"/>
              <w:bottom w:w="100" w:type="dxa"/>
              <w:left w:w="150" w:type="dxa"/>
              <w:right w:w="150" w:type="dxa"/>
            </w:tcMar>
          </w:tcPr>
          <w:p>
            <w:r>
              <w:rPr>
                <w:color w:val="1E293B"/>
                <w:sz w:val="18"/>
              </w:rPr>
              <w:t>TIMESTAMP, PC_ID, ACTION, DETAILS</w:t>
            </w:r>
          </w:p>
        </w:tc>
      </w:tr>
      <w:tr>
        <w:trPr>
          <w:cantSplit/>
        </w:trPr>
        <w:tc>
          <w:tcPr>
            <w:tcW w:type="dxa" w:w="3120"/>
            <w:shd w:fill="FFFFFF"/>
            <w:tcMar>
              <w:top w:w="100" w:type="dxa"/>
              <w:bottom w:w="100" w:type="dxa"/>
              <w:left w:w="150" w:type="dxa"/>
              <w:right w:w="150" w:type="dxa"/>
            </w:tcMar>
          </w:tcPr>
          <w:p>
            <w:r>
              <w:rPr>
                <w:color w:val="1E293B"/>
                <w:sz w:val="18"/>
              </w:rPr>
              <w:t>Telemetry</w:t>
            </w:r>
          </w:p>
        </w:tc>
        <w:tc>
          <w:tcPr>
            <w:tcW w:type="dxa" w:w="3120"/>
            <w:shd w:fill="FFFFFF"/>
            <w:tcMar>
              <w:top w:w="100" w:type="dxa"/>
              <w:bottom w:w="100" w:type="dxa"/>
              <w:left w:w="150" w:type="dxa"/>
              <w:right w:w="150" w:type="dxa"/>
            </w:tcMar>
          </w:tcPr>
          <w:p>
            <w:r>
              <w:rPr>
                <w:color w:val="1E293B"/>
                <w:sz w:val="18"/>
              </w:rPr>
              <w:t>Fleet-wide raw telemetry stream of backup executions and uploaded bytes.</w:t>
            </w:r>
          </w:p>
        </w:tc>
        <w:tc>
          <w:tcPr>
            <w:tcW w:type="dxa" w:w="3120"/>
            <w:shd w:fill="FFFFFF"/>
            <w:tcMar>
              <w:top w:w="100" w:type="dxa"/>
              <w:bottom w:w="100" w:type="dxa"/>
              <w:left w:w="150" w:type="dxa"/>
              <w:right w:w="150" w:type="dxa"/>
            </w:tcMar>
          </w:tcPr>
          <w:p>
            <w:r>
              <w:rPr>
                <w:color w:val="1E293B"/>
                <w:sz w:val="18"/>
              </w:rPr>
              <w:t>TIMESTAMP, PC_ID, CUSTOMER_SLUG, STATUS, MESSAGE, DB_NAME, BYTES</w:t>
            </w:r>
          </w:p>
        </w:tc>
      </w:tr>
      <w:tr>
        <w:trPr>
          <w:cantSplit/>
        </w:trPr>
        <w:tc>
          <w:tcPr>
            <w:tcW w:type="dxa" w:w="3120"/>
            <w:shd w:fill="F8FAFC"/>
            <w:tcMar>
              <w:top w:w="100" w:type="dxa"/>
              <w:bottom w:w="100" w:type="dxa"/>
              <w:left w:w="150" w:type="dxa"/>
              <w:right w:w="150" w:type="dxa"/>
            </w:tcMar>
          </w:tcPr>
          <w:p>
            <w:r>
              <w:rPr>
                <w:color w:val="1E293B"/>
                <w:sz w:val="18"/>
              </w:rPr>
              <w:t>Storage Monitor</w:t>
            </w:r>
          </w:p>
        </w:tc>
        <w:tc>
          <w:tcPr>
            <w:tcW w:type="dxa" w:w="3120"/>
            <w:shd w:fill="F8FAFC"/>
            <w:tcMar>
              <w:top w:w="100" w:type="dxa"/>
              <w:bottom w:w="100" w:type="dxa"/>
              <w:left w:w="150" w:type="dxa"/>
              <w:right w:w="150" w:type="dxa"/>
            </w:tcMar>
          </w:tcPr>
          <w:p>
            <w:r>
              <w:rPr>
                <w:color w:val="1E293B"/>
                <w:sz w:val="18"/>
              </w:rPr>
              <w:t>Fleet-wide raw telemetry stream of all drive storage levels and alert states.</w:t>
            </w:r>
          </w:p>
        </w:tc>
        <w:tc>
          <w:tcPr>
            <w:tcW w:type="dxa" w:w="3120"/>
            <w:shd w:fill="F8FAFC"/>
            <w:tcMar>
              <w:top w:w="100" w:type="dxa"/>
              <w:bottom w:w="100" w:type="dxa"/>
              <w:left w:w="150" w:type="dxa"/>
              <w:right w:w="150" w:type="dxa"/>
            </w:tcMar>
          </w:tcPr>
          <w:p>
            <w:r>
              <w:rPr>
                <w:color w:val="1E293B"/>
                <w:sz w:val="18"/>
              </w:rPr>
              <w:t>TIMESTAMP, PC_ID, CUSTOMER_SLUG, DRIVE, TOTAL_GB, FREE_GB, PERCENT_FREE</w:t>
            </w:r>
          </w:p>
        </w:tc>
      </w:tr>
    </w:tbl>
    <w:p>
      <w:pPr>
        <w:spacing w:after="120"/>
      </w:pPr>
    </w:p>
    <w:p>
      <w:pPr>
        <w:pStyle w:val="Heading2"/>
        <w:spacing w:before="200" w:after="80"/>
      </w:pPr>
      <w:r>
        <w:rPr>
          <w:color w:val="0D9488"/>
        </w:rPr>
        <w:t>Master 'Application report' Multi-Customer Tabs (70+ Tabs)</w:t>
      </w:r>
    </w:p>
    <w:p>
      <w:r>
        <w:t>In the Master Spreadsheet, there is a dedicated tab for EVERY onboarded customer (e.g., [AdelaideGlass], [B&amp;D], [BartonGlass - FMI], [Viridian (Bay Glass)], [Tuffco], etc.). Whenever ANY backup, cleanup, or performance query runs on a customer's machine, the broker automatically appends a unified row to that customer's tab:</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E3A8A"/>
            <w:tcMar>
              <w:top w:w="140" w:type="dxa"/>
              <w:bottom w:w="140" w:type="dxa"/>
              <w:left w:w="160" w:type="dxa"/>
              <w:right w:w="160" w:type="dxa"/>
            </w:tcMar>
          </w:tcPr>
          <w:p>
            <w:pPr>
              <w:jc w:val="left"/>
            </w:pPr>
            <w:r>
              <w:rPr>
                <w:b/>
                <w:color w:val="FFFFFF"/>
                <w:sz w:val="19"/>
              </w:rPr>
              <w:t>Column #</w:t>
            </w:r>
          </w:p>
        </w:tc>
        <w:tc>
          <w:tcPr>
            <w:tcW w:type="dxa" w:w="2340"/>
            <w:shd w:fill="1E3A8A"/>
            <w:tcMar>
              <w:top w:w="140" w:type="dxa"/>
              <w:bottom w:w="140" w:type="dxa"/>
              <w:left w:w="160" w:type="dxa"/>
              <w:right w:w="160" w:type="dxa"/>
            </w:tcMar>
          </w:tcPr>
          <w:p>
            <w:pPr>
              <w:jc w:val="left"/>
            </w:pPr>
            <w:r>
              <w:rPr>
                <w:b/>
                <w:color w:val="FFFFFF"/>
                <w:sz w:val="19"/>
              </w:rPr>
              <w:t>Column Header</w:t>
            </w:r>
          </w:p>
        </w:tc>
        <w:tc>
          <w:tcPr>
            <w:tcW w:type="dxa" w:w="2340"/>
            <w:shd w:fill="1E3A8A"/>
            <w:tcMar>
              <w:top w:w="140" w:type="dxa"/>
              <w:bottom w:w="140" w:type="dxa"/>
              <w:left w:w="160" w:type="dxa"/>
              <w:right w:w="160" w:type="dxa"/>
            </w:tcMar>
          </w:tcPr>
          <w:p>
            <w:pPr>
              <w:jc w:val="left"/>
            </w:pPr>
            <w:r>
              <w:rPr>
                <w:b/>
                <w:color w:val="FFFFFF"/>
                <w:sz w:val="19"/>
              </w:rPr>
              <w:t>Data Type</w:t>
            </w:r>
          </w:p>
        </w:tc>
        <w:tc>
          <w:tcPr>
            <w:tcW w:type="dxa" w:w="2340"/>
            <w:shd w:fill="1E3A8A"/>
            <w:tcMar>
              <w:top w:w="140" w:type="dxa"/>
              <w:bottom w:w="140" w:type="dxa"/>
              <w:left w:w="160" w:type="dxa"/>
              <w:right w:w="160" w:type="dxa"/>
            </w:tcMar>
          </w:tcPr>
          <w:p>
            <w:pPr>
              <w:jc w:val="left"/>
            </w:pPr>
            <w:r>
              <w:rPr>
                <w:b/>
                <w:color w:val="FFFFFF"/>
                <w:sz w:val="19"/>
              </w:rPr>
              <w:t>Description &amp; Example Value</w:t>
            </w:r>
          </w:p>
        </w:tc>
      </w:tr>
      <w:tr>
        <w:trPr>
          <w:cantSplit/>
        </w:trPr>
        <w:tc>
          <w:tcPr>
            <w:tcW w:type="dxa" w:w="2340"/>
            <w:shd w:fill="F8FAFC"/>
            <w:tcMar>
              <w:top w:w="100" w:type="dxa"/>
              <w:bottom w:w="100" w:type="dxa"/>
              <w:left w:w="150" w:type="dxa"/>
              <w:right w:w="150" w:type="dxa"/>
            </w:tcMar>
          </w:tcPr>
          <w:p>
            <w:r>
              <w:rPr>
                <w:color w:val="1E293B"/>
                <w:sz w:val="18"/>
              </w:rPr>
              <w:t>1</w:t>
            </w:r>
          </w:p>
        </w:tc>
        <w:tc>
          <w:tcPr>
            <w:tcW w:type="dxa" w:w="2340"/>
            <w:shd w:fill="F8FAFC"/>
            <w:tcMar>
              <w:top w:w="100" w:type="dxa"/>
              <w:bottom w:w="100" w:type="dxa"/>
              <w:left w:w="150" w:type="dxa"/>
              <w:right w:w="150" w:type="dxa"/>
            </w:tcMar>
          </w:tcPr>
          <w:p>
            <w:r>
              <w:rPr>
                <w:color w:val="1E293B"/>
                <w:sz w:val="18"/>
              </w:rPr>
              <w:t>Date &amp; Time</w:t>
            </w:r>
          </w:p>
        </w:tc>
        <w:tc>
          <w:tcPr>
            <w:tcW w:type="dxa" w:w="2340"/>
            <w:shd w:fill="F8FAFC"/>
            <w:tcMar>
              <w:top w:w="100" w:type="dxa"/>
              <w:bottom w:w="100" w:type="dxa"/>
              <w:left w:w="150" w:type="dxa"/>
              <w:right w:w="150" w:type="dxa"/>
            </w:tcMar>
          </w:tcPr>
          <w:p>
            <w:r>
              <w:rPr>
                <w:color w:val="1E293B"/>
                <w:sz w:val="18"/>
              </w:rPr>
              <w:t>ISO Timestamp</w:t>
            </w:r>
          </w:p>
        </w:tc>
        <w:tc>
          <w:tcPr>
            <w:tcW w:type="dxa" w:w="2340"/>
            <w:shd w:fill="F8FAFC"/>
            <w:tcMar>
              <w:top w:w="100" w:type="dxa"/>
              <w:bottom w:w="100" w:type="dxa"/>
              <w:left w:w="150" w:type="dxa"/>
              <w:right w:w="150" w:type="dxa"/>
            </w:tcMar>
          </w:tcPr>
          <w:p>
            <w:r>
              <w:rPr>
                <w:color w:val="1E293B"/>
                <w:sz w:val="18"/>
              </w:rPr>
              <w:t>Execution date and time (e.g. 2026-10-09T10:35:23.000Z).</w:t>
            </w:r>
          </w:p>
        </w:tc>
      </w:tr>
      <w:tr>
        <w:trPr>
          <w:cantSplit/>
        </w:trPr>
        <w:tc>
          <w:tcPr>
            <w:tcW w:type="dxa" w:w="2340"/>
            <w:shd w:fill="FFFFFF"/>
            <w:tcMar>
              <w:top w:w="100" w:type="dxa"/>
              <w:bottom w:w="100" w:type="dxa"/>
              <w:left w:w="150" w:type="dxa"/>
              <w:right w:w="150" w:type="dxa"/>
            </w:tcMar>
          </w:tcPr>
          <w:p>
            <w:r>
              <w:rPr>
                <w:color w:val="1E293B"/>
                <w:sz w:val="18"/>
              </w:rPr>
              <w:t>2</w:t>
            </w:r>
          </w:p>
        </w:tc>
        <w:tc>
          <w:tcPr>
            <w:tcW w:type="dxa" w:w="2340"/>
            <w:shd w:fill="FFFFFF"/>
            <w:tcMar>
              <w:top w:w="100" w:type="dxa"/>
              <w:bottom w:w="100" w:type="dxa"/>
              <w:left w:w="150" w:type="dxa"/>
              <w:right w:w="150" w:type="dxa"/>
            </w:tcMar>
          </w:tcPr>
          <w:p>
            <w:r>
              <w:rPr>
                <w:color w:val="1E293B"/>
                <w:sz w:val="18"/>
              </w:rPr>
              <w:t>Machine / PC ID</w:t>
            </w:r>
          </w:p>
        </w:tc>
        <w:tc>
          <w:tcPr>
            <w:tcW w:type="dxa" w:w="2340"/>
            <w:shd w:fill="FFFFFF"/>
            <w:tcMar>
              <w:top w:w="100" w:type="dxa"/>
              <w:bottom w:w="100" w:type="dxa"/>
              <w:left w:w="150" w:type="dxa"/>
              <w:right w:w="150" w:type="dxa"/>
            </w:tcMar>
          </w:tcPr>
          <w:p>
            <w:r>
              <w:rPr>
                <w:color w:val="1E293B"/>
                <w:sz w:val="18"/>
              </w:rPr>
              <w:t>String</w:t>
            </w:r>
          </w:p>
        </w:tc>
        <w:tc>
          <w:tcPr>
            <w:tcW w:type="dxa" w:w="2340"/>
            <w:shd w:fill="FFFFFF"/>
            <w:tcMar>
              <w:top w:w="100" w:type="dxa"/>
              <w:bottom w:w="100" w:type="dxa"/>
              <w:left w:w="150" w:type="dxa"/>
              <w:right w:w="150" w:type="dxa"/>
            </w:tcMar>
          </w:tcPr>
          <w:p>
            <w:r>
              <w:rPr>
                <w:color w:val="1E293B"/>
                <w:sz w:val="18"/>
              </w:rPr>
              <w:t>Hostname of the reporting machine (e.g. DULLA).</w:t>
            </w:r>
          </w:p>
        </w:tc>
      </w:tr>
      <w:tr>
        <w:trPr>
          <w:cantSplit/>
        </w:trPr>
        <w:tc>
          <w:tcPr>
            <w:tcW w:type="dxa" w:w="2340"/>
            <w:shd w:fill="F8FAFC"/>
            <w:tcMar>
              <w:top w:w="100" w:type="dxa"/>
              <w:bottom w:w="100" w:type="dxa"/>
              <w:left w:w="150" w:type="dxa"/>
              <w:right w:w="150" w:type="dxa"/>
            </w:tcMar>
          </w:tcPr>
          <w:p>
            <w:r>
              <w:rPr>
                <w:color w:val="1E293B"/>
                <w:sz w:val="18"/>
              </w:rPr>
              <w:t>3</w:t>
            </w:r>
          </w:p>
        </w:tc>
        <w:tc>
          <w:tcPr>
            <w:tcW w:type="dxa" w:w="2340"/>
            <w:shd w:fill="F8FAFC"/>
            <w:tcMar>
              <w:top w:w="100" w:type="dxa"/>
              <w:bottom w:w="100" w:type="dxa"/>
              <w:left w:w="150" w:type="dxa"/>
              <w:right w:w="150" w:type="dxa"/>
            </w:tcMar>
          </w:tcPr>
          <w:p>
            <w:r>
              <w:rPr>
                <w:color w:val="1E293B"/>
                <w:sz w:val="18"/>
              </w:rPr>
              <w:t>Run Mode</w:t>
            </w:r>
          </w:p>
        </w:tc>
        <w:tc>
          <w:tcPr>
            <w:tcW w:type="dxa" w:w="2340"/>
            <w:shd w:fill="F8FAFC"/>
            <w:tcMar>
              <w:top w:w="100" w:type="dxa"/>
              <w:bottom w:w="100" w:type="dxa"/>
              <w:left w:w="150" w:type="dxa"/>
              <w:right w:w="150" w:type="dxa"/>
            </w:tcMar>
          </w:tcPr>
          <w:p>
            <w:r>
              <w:rPr>
                <w:color w:val="1E293B"/>
                <w:sz w:val="18"/>
              </w:rPr>
              <w:t>String</w:t>
            </w:r>
          </w:p>
        </w:tc>
        <w:tc>
          <w:tcPr>
            <w:tcW w:type="dxa" w:w="2340"/>
            <w:shd w:fill="F8FAFC"/>
            <w:tcMar>
              <w:top w:w="100" w:type="dxa"/>
              <w:bottom w:w="100" w:type="dxa"/>
              <w:left w:w="150" w:type="dxa"/>
              <w:right w:w="150" w:type="dxa"/>
            </w:tcMar>
          </w:tcPr>
          <w:p>
            <w:r>
              <w:rPr>
                <w:color w:val="1E293B"/>
                <w:sz w:val="18"/>
              </w:rPr>
              <w:t>Execution mode: 'Automatic' or 'Manual'.</w:t>
            </w:r>
          </w:p>
        </w:tc>
      </w:tr>
      <w:tr>
        <w:trPr>
          <w:cantSplit/>
        </w:trPr>
        <w:tc>
          <w:tcPr>
            <w:tcW w:type="dxa" w:w="2340"/>
            <w:shd w:fill="FFFFFF"/>
            <w:tcMar>
              <w:top w:w="100" w:type="dxa"/>
              <w:bottom w:w="100" w:type="dxa"/>
              <w:left w:w="150" w:type="dxa"/>
              <w:right w:w="150" w:type="dxa"/>
            </w:tcMar>
          </w:tcPr>
          <w:p>
            <w:r>
              <w:rPr>
                <w:color w:val="1E293B"/>
                <w:sz w:val="18"/>
              </w:rPr>
              <w:t>4</w:t>
            </w:r>
          </w:p>
        </w:tc>
        <w:tc>
          <w:tcPr>
            <w:tcW w:type="dxa" w:w="2340"/>
            <w:shd w:fill="FFFFFF"/>
            <w:tcMar>
              <w:top w:w="100" w:type="dxa"/>
              <w:bottom w:w="100" w:type="dxa"/>
              <w:left w:w="150" w:type="dxa"/>
              <w:right w:w="150" w:type="dxa"/>
            </w:tcMar>
          </w:tcPr>
          <w:p>
            <w:r>
              <w:rPr>
                <w:color w:val="1E293B"/>
                <w:sz w:val="18"/>
              </w:rPr>
              <w:t>Module</w:t>
            </w:r>
          </w:p>
        </w:tc>
        <w:tc>
          <w:tcPr>
            <w:tcW w:type="dxa" w:w="2340"/>
            <w:shd w:fill="FFFFFF"/>
            <w:tcMar>
              <w:top w:w="100" w:type="dxa"/>
              <w:bottom w:w="100" w:type="dxa"/>
              <w:left w:w="150" w:type="dxa"/>
              <w:right w:w="150" w:type="dxa"/>
            </w:tcMar>
          </w:tcPr>
          <w:p>
            <w:r>
              <w:rPr>
                <w:color w:val="1E293B"/>
                <w:sz w:val="18"/>
              </w:rPr>
              <w:t>String</w:t>
            </w:r>
          </w:p>
        </w:tc>
        <w:tc>
          <w:tcPr>
            <w:tcW w:type="dxa" w:w="2340"/>
            <w:shd w:fill="FFFFFF"/>
            <w:tcMar>
              <w:top w:w="100" w:type="dxa"/>
              <w:bottom w:w="100" w:type="dxa"/>
              <w:left w:w="150" w:type="dxa"/>
              <w:right w:w="150" w:type="dxa"/>
            </w:tcMar>
          </w:tcPr>
          <w:p>
            <w:r>
              <w:rPr>
                <w:color w:val="1E293B"/>
                <w:sz w:val="18"/>
              </w:rPr>
              <w:t>Reporting module: 'DB Backup', 'Server Cleanup Scan', or 'Performance Query'.</w:t>
            </w:r>
          </w:p>
        </w:tc>
      </w:tr>
      <w:tr>
        <w:trPr>
          <w:cantSplit/>
        </w:trPr>
        <w:tc>
          <w:tcPr>
            <w:tcW w:type="dxa" w:w="2340"/>
            <w:shd w:fill="F8FAFC"/>
            <w:tcMar>
              <w:top w:w="100" w:type="dxa"/>
              <w:bottom w:w="100" w:type="dxa"/>
              <w:left w:w="150" w:type="dxa"/>
              <w:right w:w="150" w:type="dxa"/>
            </w:tcMar>
          </w:tcPr>
          <w:p>
            <w:r>
              <w:rPr>
                <w:color w:val="1E293B"/>
                <w:sz w:val="18"/>
              </w:rPr>
              <w:t>5</w:t>
            </w:r>
          </w:p>
        </w:tc>
        <w:tc>
          <w:tcPr>
            <w:tcW w:type="dxa" w:w="2340"/>
            <w:shd w:fill="F8FAFC"/>
            <w:tcMar>
              <w:top w:w="100" w:type="dxa"/>
              <w:bottom w:w="100" w:type="dxa"/>
              <w:left w:w="150" w:type="dxa"/>
              <w:right w:w="150" w:type="dxa"/>
            </w:tcMar>
          </w:tcPr>
          <w:p>
            <w:r>
              <w:rPr>
                <w:color w:val="1E293B"/>
                <w:sz w:val="18"/>
              </w:rPr>
              <w:t>Status</w:t>
            </w:r>
          </w:p>
        </w:tc>
        <w:tc>
          <w:tcPr>
            <w:tcW w:type="dxa" w:w="2340"/>
            <w:shd w:fill="F8FAFC"/>
            <w:tcMar>
              <w:top w:w="100" w:type="dxa"/>
              <w:bottom w:w="100" w:type="dxa"/>
              <w:left w:w="150" w:type="dxa"/>
              <w:right w:w="150" w:type="dxa"/>
            </w:tcMar>
          </w:tcPr>
          <w:p>
            <w:r>
              <w:rPr>
                <w:color w:val="1E293B"/>
                <w:sz w:val="18"/>
              </w:rPr>
              <w:t>String</w:t>
            </w:r>
          </w:p>
        </w:tc>
        <w:tc>
          <w:tcPr>
            <w:tcW w:type="dxa" w:w="2340"/>
            <w:shd w:fill="F8FAFC"/>
            <w:tcMar>
              <w:top w:w="100" w:type="dxa"/>
              <w:bottom w:w="100" w:type="dxa"/>
              <w:left w:w="150" w:type="dxa"/>
              <w:right w:w="150" w:type="dxa"/>
            </w:tcMar>
          </w:tcPr>
          <w:p>
            <w:r>
              <w:rPr>
                <w:color w:val="1E293B"/>
                <w:sz w:val="18"/>
              </w:rPr>
              <w:t>Outcome: SUCCESS, WARNING, or FAILED.</w:t>
            </w:r>
          </w:p>
        </w:tc>
      </w:tr>
      <w:tr>
        <w:trPr>
          <w:cantSplit/>
        </w:trPr>
        <w:tc>
          <w:tcPr>
            <w:tcW w:type="dxa" w:w="2340"/>
            <w:shd w:fill="FFFFFF"/>
            <w:tcMar>
              <w:top w:w="100" w:type="dxa"/>
              <w:bottom w:w="100" w:type="dxa"/>
              <w:left w:w="150" w:type="dxa"/>
              <w:right w:w="150" w:type="dxa"/>
            </w:tcMar>
          </w:tcPr>
          <w:p>
            <w:r>
              <w:rPr>
                <w:color w:val="1E293B"/>
                <w:sz w:val="18"/>
              </w:rPr>
              <w:t>6</w:t>
            </w:r>
          </w:p>
        </w:tc>
        <w:tc>
          <w:tcPr>
            <w:tcW w:type="dxa" w:w="2340"/>
            <w:shd w:fill="FFFFFF"/>
            <w:tcMar>
              <w:top w:w="100" w:type="dxa"/>
              <w:bottom w:w="100" w:type="dxa"/>
              <w:left w:w="150" w:type="dxa"/>
              <w:right w:w="150" w:type="dxa"/>
            </w:tcMar>
          </w:tcPr>
          <w:p>
            <w:r>
              <w:rPr>
                <w:color w:val="1E293B"/>
                <w:sz w:val="18"/>
              </w:rPr>
              <w:t>Duration (s)</w:t>
            </w:r>
          </w:p>
        </w:tc>
        <w:tc>
          <w:tcPr>
            <w:tcW w:type="dxa" w:w="2340"/>
            <w:shd w:fill="FFFFFF"/>
            <w:tcMar>
              <w:top w:w="100" w:type="dxa"/>
              <w:bottom w:w="100" w:type="dxa"/>
              <w:left w:w="150" w:type="dxa"/>
              <w:right w:w="150" w:type="dxa"/>
            </w:tcMar>
          </w:tcPr>
          <w:p>
            <w:r>
              <w:rPr>
                <w:color w:val="1E293B"/>
                <w:sz w:val="18"/>
              </w:rPr>
              <w:t>Decimal</w:t>
            </w:r>
          </w:p>
        </w:tc>
        <w:tc>
          <w:tcPr>
            <w:tcW w:type="dxa" w:w="2340"/>
            <w:shd w:fill="FFFFFF"/>
            <w:tcMar>
              <w:top w:w="100" w:type="dxa"/>
              <w:bottom w:w="100" w:type="dxa"/>
              <w:left w:w="150" w:type="dxa"/>
              <w:right w:w="150" w:type="dxa"/>
            </w:tcMar>
          </w:tcPr>
          <w:p>
            <w:r>
              <w:rPr>
                <w:color w:val="1E293B"/>
                <w:sz w:val="18"/>
              </w:rPr>
              <w:t>Total task duration in seconds.</w:t>
            </w:r>
          </w:p>
        </w:tc>
      </w:tr>
      <w:tr>
        <w:trPr>
          <w:cantSplit/>
        </w:trPr>
        <w:tc>
          <w:tcPr>
            <w:tcW w:type="dxa" w:w="2340"/>
            <w:shd w:fill="F8FAFC"/>
            <w:tcMar>
              <w:top w:w="100" w:type="dxa"/>
              <w:bottom w:w="100" w:type="dxa"/>
              <w:left w:w="150" w:type="dxa"/>
              <w:right w:w="150" w:type="dxa"/>
            </w:tcMar>
          </w:tcPr>
          <w:p>
            <w:r>
              <w:rPr>
                <w:color w:val="1E293B"/>
                <w:sz w:val="18"/>
              </w:rPr>
              <w:t>7</w:t>
            </w:r>
          </w:p>
        </w:tc>
        <w:tc>
          <w:tcPr>
            <w:tcW w:type="dxa" w:w="2340"/>
            <w:shd w:fill="F8FAFC"/>
            <w:tcMar>
              <w:top w:w="100" w:type="dxa"/>
              <w:bottom w:w="100" w:type="dxa"/>
              <w:left w:w="150" w:type="dxa"/>
              <w:right w:w="150" w:type="dxa"/>
            </w:tcMar>
          </w:tcPr>
          <w:p>
            <w:r>
              <w:rPr>
                <w:color w:val="1E293B"/>
                <w:sz w:val="18"/>
              </w:rPr>
              <w:t>Details</w:t>
            </w:r>
          </w:p>
        </w:tc>
        <w:tc>
          <w:tcPr>
            <w:tcW w:type="dxa" w:w="2340"/>
            <w:shd w:fill="F8FAFC"/>
            <w:tcMar>
              <w:top w:w="100" w:type="dxa"/>
              <w:bottom w:w="100" w:type="dxa"/>
              <w:left w:w="150" w:type="dxa"/>
              <w:right w:w="150" w:type="dxa"/>
            </w:tcMar>
          </w:tcPr>
          <w:p>
            <w:r>
              <w:rPr>
                <w:color w:val="1E293B"/>
                <w:sz w:val="18"/>
              </w:rPr>
              <w:t>String</w:t>
            </w:r>
          </w:p>
        </w:tc>
        <w:tc>
          <w:tcPr>
            <w:tcW w:type="dxa" w:w="2340"/>
            <w:shd w:fill="F8FAFC"/>
            <w:tcMar>
              <w:top w:w="100" w:type="dxa"/>
              <w:bottom w:w="100" w:type="dxa"/>
              <w:left w:w="150" w:type="dxa"/>
              <w:right w:w="150" w:type="dxa"/>
            </w:tcMar>
          </w:tcPr>
          <w:p>
            <w:r>
              <w:rPr>
                <w:color w:val="1E293B"/>
                <w:sz w:val="18"/>
              </w:rPr>
              <w:t>Complete human-readable summary (e.g. 'Backup: DULLA_BARTONGLASS_TEST_NEW.dbk2 (45.2 MB) | Status: SUCCESS').</w:t>
            </w:r>
          </w:p>
        </w:tc>
      </w:tr>
    </w:tbl>
    <w:p>
      <w:pPr>
        <w:spacing w:after="160"/>
      </w:pPr>
    </w:p>
    <w:p>
      <w:pPr>
        <w:pStyle w:val="Heading1"/>
        <w:spacing w:before="280" w:after="120"/>
      </w:pPr>
      <w:r>
        <w:rPr>
          <w:color w:val="1E3A8A"/>
        </w:rPr>
        <w:t>5. Operational Checklist: Onboarding a New Customer</w:t>
      </w:r>
    </w:p>
    <w:p>
      <w:pPr>
        <w:ind w:left="360"/>
      </w:pPr>
      <w:r>
        <w:rPr>
          <w:b/>
        </w:rPr>
        <w:t>Step 1: Run Onboarding Generator</w:t>
        <w:br/>
      </w:r>
      <w:r>
        <w:t>Run `python Tools\setup_new_customer.py` on your admin machine. Select the customer slug (e.g. 'fmi'). It automatically generates dual RSA-4096 keys, creates signed `bundle.json`, and outputs an enrollment code.</w:t>
        <w:br/>
        <w:br/>
      </w:r>
      <w:r>
        <w:rPr>
          <w:b/>
        </w:rPr>
        <w:t>Step 2: Add Enrollment Code to Master Spreadsheet</w:t>
        <w:br/>
      </w:r>
      <w:r>
        <w:t>In the Master Google Sheet under the `Config` tab, add a row:</w:t>
        <w:br/>
      </w:r>
      <w:r>
        <w:t xml:space="preserve">  • KEY: ENROLL_CODE_fmi</w:t>
        <w:br/>
      </w:r>
      <w:r>
        <w:t xml:space="preserve">  • VALUE: &lt;generated_code&gt;</w:t>
        <w:br/>
      </w:r>
      <w:r>
        <w:t xml:space="preserve">  • CUSTOMER_SLUG: fmi</w:t>
        <w:br/>
      </w:r>
      <w:r>
        <w:t xml:space="preserve">  • STATUS: ACTIVE</w:t>
        <w:br/>
        <w:br/>
      </w:r>
      <w:r>
        <w:rPr>
          <w:b/>
        </w:rPr>
        <w:t>Step 3: Customer Operational Sheet Creation (Automatic or Pre-Linked)</w:t>
        <w:br/>
      </w:r>
      <w:r>
        <w:rPr>
          <w:b/>
        </w:rPr>
        <w:t xml:space="preserve">Option A (Fully Automatic - Recommended): </w:t>
      </w:r>
      <w:r>
        <w:t>Do nothing! When the customer's application completes its first backup or storage scan, the broker automatically generates '[Customer] Backup Sheet' inside their Google Drive folder with all 3 tabs initialized.</w:t>
        <w:br/>
      </w:r>
      <w:r>
        <w:rPr>
          <w:b/>
        </w:rPr>
        <w:t xml:space="preserve">Option B (Explicit Pre-Creation): </w:t>
      </w:r>
      <w:r>
        <w:t>Create a new Google Sheet named '[Customer] Backup Sheet', copy its Spreadsheet ID, and enter it into the customer's Settings tab in the application.</w:t>
        <w:br/>
        <w:br/>
      </w:r>
      <w:r>
        <w:rPr>
          <w:b/>
        </w:rPr>
        <w:t>Step 4: Provide Customer Link</w:t>
        <w:br/>
      </w:r>
      <w:r>
        <w:t>Send the customer IT manager the single link to their operational sheet: `https://docs.google.com/spreadsheets/d/&lt;CUSTOMER_SHEET_ID&gt;/edit`. They now have a live, real-time dashboard of their backups, disk space, and SQL health.</w:t>
      </w: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36" w:space="0" w:color="0D9488"/>
              <w:top w:val="none"/>
              <w:right w:val="none"/>
              <w:bottom w:val="none"/>
            </w:tcBorders>
          </w:tcPr>
          <w:p>
            <w:pPr>
              <w:spacing w:before="40" w:after="40"/>
            </w:pPr>
            <w:r>
              <w:rPr>
                <w:b/>
                <w:color w:val="0D9488"/>
                <w:sz w:val="20"/>
              </w:rPr>
              <w:t xml:space="preserve">📌 ZERO-BILLING ADVANTAGE: </w:t>
            </w:r>
            <w:r>
              <w:rPr>
                <w:color w:val="1E293B"/>
                <w:sz w:val="19"/>
              </w:rPr>
              <w:t>Zero-Billing &amp; Security Note: Because the Apps Script broker runs under the service provider's Google account, customers do NOT need Google Cloud project permissions, API tokens, or billing enabled. All Google Sheets API write quotas are handled safely within Google's free Apps Script limits.</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