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p>
    <w:p>
      <w:pPr>
        <w:spacing w:after="180"/>
      </w:pPr>
    </w:p>
    <w:p>
      <w:pPr>
        <w:spacing w:after="180"/>
      </w:pPr>
    </w:p>
    <w:p>
      <w:pPr>
        <w:spacing w:after="160"/>
        <w:jc w:val="center"/>
      </w:pPr>
      <w:r>
        <w:rPr>
          <w:rFonts w:ascii="Calibri" w:hAnsi="Calibri"/>
          <w:b/>
          <w:color w:val="D6A33A"/>
          <w:sz w:val="22"/>
        </w:rPr>
        <w:t>SYSTEM SCOPE &amp; PROPOSAL</w:t>
      </w:r>
    </w:p>
    <w:p>
      <w:pPr>
        <w:spacing w:after="120"/>
        <w:jc w:val="center"/>
      </w:pPr>
      <w:r>
        <w:rPr>
          <w:rFonts w:ascii="Calibri" w:hAnsi="Calibri"/>
          <w:b/>
          <w:color w:val="26364A"/>
          <w:sz w:val="56"/>
        </w:rPr>
        <w:t>School Management System</w:t>
      </w:r>
    </w:p>
    <w:p>
      <w:pPr>
        <w:spacing w:after="200"/>
        <w:jc w:val="center"/>
      </w:pPr>
      <w:r>
        <w:rPr>
          <w:rFonts w:ascii="Calibri" w:hAnsi="Calibri"/>
          <w:color w:val="2E74B5"/>
          <w:sz w:val="28"/>
        </w:rPr>
        <w:t>Web Administration, Teacher &amp; Student Portals, and Attendance Kiosk</w:t>
      </w:r>
    </w:p>
    <w:p>
      <w:pPr>
        <w:spacing w:after="600"/>
        <w:jc w:val="center"/>
      </w:pPr>
      <w:r>
        <w:rPr>
          <w:rFonts w:ascii="Calibri" w:hAnsi="Calibri"/>
          <w:i/>
          <w:color w:val="697586"/>
          <w:sz w:val="21"/>
        </w:rPr>
        <w:t>A practical overview of the current solution, its modules, integrations, and proposed delivery boundaries</w:t>
      </w:r>
    </w:p>
    <w:tbl>
      <w:tblPr>
        <w:tblW w:type="dxa" w:w="9360"/>
        <w:jc w:val="left"/>
        <w:tblLayout w:type="fixed"/>
        <w:tblLook w:firstColumn="1" w:firstRow="1" w:lastColumn="0" w:lastRow="0" w:noHBand="0" w:noVBand="1" w:val="04A0"/>
        <w:tblInd w:w="12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Pr>
      <w:tblGrid>
        <w:gridCol w:w="4680"/>
        <w:gridCol w:w="4680"/>
      </w:tblGrid>
      <w:tr>
        <w:tc>
          <w:tcPr>
            <w:tcW w:type="dxa" w:w="4680"/>
            <w:tcMar>
              <w:top w:w="100" w:type="dxa"/>
              <w:start w:w="120" w:type="dxa"/>
              <w:bottom w:w="100" w:type="dxa"/>
              <w:end w:w="120" w:type="dxa"/>
            </w:tcMar>
            <w:shd w:fill="F4F6F9"/>
            <w:vAlign w:val="center"/>
          </w:tcPr>
          <w:p>
            <w:r>
              <w:rPr>
                <w:rFonts w:ascii="Calibri" w:hAnsi="Calibri"/>
                <w:b/>
                <w:color w:val="1F4D78"/>
                <w:sz w:val="19"/>
              </w:rPr>
              <w:t>Prepared for</w:t>
            </w:r>
          </w:p>
        </w:tc>
        <w:tc>
          <w:tcPr>
            <w:tcW w:type="dxa" w:w="4680"/>
            <w:tcMar>
              <w:top w:w="100" w:type="dxa"/>
              <w:start w:w="120" w:type="dxa"/>
              <w:bottom w:w="100" w:type="dxa"/>
              <w:end w:w="120" w:type="dxa"/>
            </w:tcMar>
            <w:vAlign w:val="center"/>
          </w:tcPr>
          <w:p>
            <w:r>
              <w:rPr>
                <w:rFonts w:ascii="Calibri" w:hAnsi="Calibri"/>
                <w:color w:val="202733"/>
                <w:sz w:val="21"/>
              </w:rPr>
              <w:t>Client / School Administration</w:t>
            </w:r>
          </w:p>
        </w:tc>
      </w:tr>
      <w:tr>
        <w:tc>
          <w:tcPr>
            <w:tcW w:type="dxa" w:w="4680"/>
            <w:tcMar>
              <w:top w:w="100" w:type="dxa"/>
              <w:start w:w="120" w:type="dxa"/>
              <w:bottom w:w="100" w:type="dxa"/>
              <w:end w:w="120" w:type="dxa"/>
            </w:tcMar>
            <w:shd w:fill="F4F6F9"/>
            <w:vAlign w:val="center"/>
          </w:tcPr>
          <w:p>
            <w:r>
              <w:rPr>
                <w:rFonts w:ascii="Calibri" w:hAnsi="Calibri"/>
                <w:b/>
                <w:color w:val="1F4D78"/>
                <w:sz w:val="19"/>
              </w:rPr>
              <w:t>Prepared by</w:t>
            </w:r>
          </w:p>
        </w:tc>
        <w:tc>
          <w:tcPr>
            <w:tcW w:type="dxa" w:w="4680"/>
            <w:tcMar>
              <w:top w:w="100" w:type="dxa"/>
              <w:start w:w="120" w:type="dxa"/>
              <w:bottom w:w="100" w:type="dxa"/>
              <w:end w:w="120" w:type="dxa"/>
            </w:tcMar>
            <w:vAlign w:val="center"/>
          </w:tcPr>
          <w:p>
            <w:r>
              <w:rPr>
                <w:rFonts w:ascii="Calibri" w:hAnsi="Calibri"/>
                <w:color w:val="202733"/>
                <w:sz w:val="21"/>
              </w:rPr>
              <w:t>Project Team</w:t>
            </w:r>
          </w:p>
        </w:tc>
      </w:tr>
      <w:tr>
        <w:tc>
          <w:tcPr>
            <w:tcW w:type="dxa" w:w="4680"/>
            <w:tcMar>
              <w:top w:w="100" w:type="dxa"/>
              <w:start w:w="120" w:type="dxa"/>
              <w:bottom w:w="100" w:type="dxa"/>
              <w:end w:w="120" w:type="dxa"/>
            </w:tcMar>
            <w:shd w:fill="F4F6F9"/>
            <w:vAlign w:val="center"/>
          </w:tcPr>
          <w:p>
            <w:r>
              <w:rPr>
                <w:rFonts w:ascii="Calibri" w:hAnsi="Calibri"/>
                <w:b/>
                <w:color w:val="1F4D78"/>
                <w:sz w:val="19"/>
              </w:rPr>
              <w:t>Document date</w:t>
            </w:r>
          </w:p>
        </w:tc>
        <w:tc>
          <w:tcPr>
            <w:tcW w:type="dxa" w:w="4680"/>
            <w:tcMar>
              <w:top w:w="100" w:type="dxa"/>
              <w:start w:w="120" w:type="dxa"/>
              <w:bottom w:w="100" w:type="dxa"/>
              <w:end w:w="120" w:type="dxa"/>
            </w:tcMar>
            <w:vAlign w:val="center"/>
          </w:tcPr>
          <w:p>
            <w:r>
              <w:rPr>
                <w:rFonts w:ascii="Calibri" w:hAnsi="Calibri"/>
                <w:color w:val="202733"/>
                <w:sz w:val="21"/>
              </w:rPr>
              <w:t>July 14, 2026</w:t>
            </w:r>
          </w:p>
        </w:tc>
      </w:tr>
      <w:tr>
        <w:tc>
          <w:tcPr>
            <w:tcW w:type="dxa" w:w="4680"/>
            <w:tcMar>
              <w:top w:w="100" w:type="dxa"/>
              <w:start w:w="120" w:type="dxa"/>
              <w:bottom w:w="100" w:type="dxa"/>
              <w:end w:w="120" w:type="dxa"/>
            </w:tcMar>
            <w:shd w:fill="F4F6F9"/>
            <w:vAlign w:val="center"/>
          </w:tcPr>
          <w:p>
            <w:r>
              <w:rPr>
                <w:rFonts w:ascii="Calibri" w:hAnsi="Calibri"/>
                <w:b/>
                <w:color w:val="1F4D78"/>
                <w:sz w:val="19"/>
              </w:rPr>
              <w:t>Proposal status</w:t>
            </w:r>
          </w:p>
        </w:tc>
        <w:tc>
          <w:tcPr>
            <w:tcW w:type="dxa" w:w="4680"/>
            <w:tcMar>
              <w:top w:w="100" w:type="dxa"/>
              <w:start w:w="120" w:type="dxa"/>
              <w:bottom w:w="100" w:type="dxa"/>
              <w:end w:w="120" w:type="dxa"/>
            </w:tcMar>
            <w:vAlign w:val="center"/>
          </w:tcPr>
          <w:p>
            <w:r>
              <w:rPr>
                <w:rFonts w:ascii="Calibri" w:hAnsi="Calibri"/>
                <w:color w:val="202733"/>
                <w:sz w:val="21"/>
              </w:rPr>
              <w:t>For client presentation and refinement</w:t>
            </w:r>
          </w:p>
        </w:tc>
      </w:tr>
    </w:tbl>
    <w:p>
      <w:pPr>
        <w:spacing w:after="360"/>
      </w:pPr>
    </w:p>
    <w:tbl>
      <w:tblPr>
        <w:tblW w:type="dxa" w:w="9360"/>
        <w:jc w:val="left"/>
        <w:tblLayout w:type="fixed"/>
        <w:tblLook w:firstColumn="1" w:firstRow="1" w:lastColumn="0" w:lastRow="0" w:noHBand="0" w:noVBand="1" w:val="04A0"/>
        <w:tblInd w:w="120" w:type="dxa"/>
        <w:tblBorders>
          <w:top w:val="single" w:sz="4" w:space="0" w:color="FFF7E4"/>
          <w:left w:val="single" w:sz="4" w:space="0" w:color="FFF7E4"/>
          <w:bottom w:val="single" w:sz="4" w:space="0" w:color="FFF7E4"/>
          <w:right w:val="single" w:sz="4" w:space="0" w:color="FFF7E4"/>
          <w:insideH w:val="single" w:sz="4" w:space="0" w:color="FFF7E4"/>
          <w:insideV w:val="single" w:sz="4" w:space="0" w:color="FFF7E4"/>
        </w:tblBorders>
      </w:tblPr>
      <w:tblGrid>
        <w:gridCol w:w="9360"/>
      </w:tblGrid>
      <w:tr>
        <w:tc>
          <w:tcPr>
            <w:tcW w:type="dxa" w:w="9360"/>
            <w:tcMar>
              <w:top w:w="100" w:type="dxa"/>
              <w:start w:w="120" w:type="dxa"/>
              <w:bottom w:w="100" w:type="dxa"/>
              <w:end w:w="120" w:type="dxa"/>
            </w:tcMar>
            <w:shd w:fill="FFF7E4"/>
          </w:tcPr>
          <w:p>
            <w:pPr>
              <w:spacing w:after="0"/>
            </w:pPr>
            <w:r>
              <w:rPr>
                <w:rFonts w:ascii="Calibri" w:hAnsi="Calibri"/>
                <w:b/>
                <w:color w:val="1F4D78"/>
                <w:sz w:val="21"/>
              </w:rPr>
              <w:t xml:space="preserve">Proposal intent  </w:t>
            </w:r>
            <w:r>
              <w:rPr>
                <w:rFonts w:ascii="Calibri" w:hAnsi="Calibri"/>
                <w:color w:val="202733"/>
                <w:sz w:val="21"/>
              </w:rPr>
              <w:t>This editable document summarizes the capabilities found in the current project and frames them as a client-facing implementation scope. Commercial figures and client-specific names may be inserted before issuance.</w:t>
            </w:r>
          </w:p>
        </w:tc>
      </w:tr>
    </w:tbl>
    <w:p>
      <w:pPr>
        <w:spacing w:after="40"/>
      </w:pPr>
    </w:p>
    <w:p>
      <w:r>
        <w:br w:type="page"/>
      </w:r>
    </w:p>
    <w:p>
      <w:pPr>
        <w:pStyle w:val="Heading1"/>
      </w:pPr>
      <w:r>
        <w:t>1. Executive Overview</w:t>
      </w:r>
    </w:p>
    <w:p>
      <w:r>
        <w:t>The School Management System (SMS) centralizes student records, academic structures, class enrollment, grades, assignments, attendance, payments, communications, and operational reporting. It provides separate experiences for administrators, teachers, and students while preserving shared records and relationships across modules.</w:t>
      </w:r>
    </w:p>
    <w:p>
      <w:r>
        <w:t>A companion SMS Scanner application serves as an attendance kiosk. It synchronizes student identifiers from the web system, records QR/ID scans locally, continues operating when connectivity is unavailable, and sends queued attendance logs back to the SMS through token-protected API endpoints.</w:t>
      </w:r>
    </w:p>
    <w:tbl>
      <w:tblPr>
        <w:tblW w:type="dxa" w:w="9360"/>
        <w:jc w:val="left"/>
        <w:tblLayout w:type="fixed"/>
        <w:tblLook w:firstColumn="1" w:firstRow="1" w:lastColumn="0" w:lastRow="0" w:noHBand="0" w:noVBand="1" w:val="04A0"/>
        <w:tblInd w:w="120" w:type="dxa"/>
        <w:tblBorders>
          <w:top w:val="single" w:sz="4" w:space="0" w:color="EDF4FA"/>
          <w:left w:val="single" w:sz="4" w:space="0" w:color="EDF4FA"/>
          <w:bottom w:val="single" w:sz="4" w:space="0" w:color="EDF4FA"/>
          <w:right w:val="single" w:sz="4" w:space="0" w:color="EDF4FA"/>
          <w:insideH w:val="single" w:sz="4" w:space="0" w:color="EDF4FA"/>
          <w:insideV w:val="single" w:sz="4" w:space="0" w:color="EDF4FA"/>
        </w:tblBorders>
      </w:tblPr>
      <w:tblGrid>
        <w:gridCol w:w="9360"/>
      </w:tblGrid>
      <w:tr>
        <w:tc>
          <w:tcPr>
            <w:tcW w:type="dxa" w:w="9360"/>
            <w:tcMar>
              <w:top w:w="100" w:type="dxa"/>
              <w:start w:w="120" w:type="dxa"/>
              <w:bottom w:w="100" w:type="dxa"/>
              <w:end w:w="120" w:type="dxa"/>
            </w:tcMar>
            <w:shd w:fill="EDF4FA"/>
          </w:tcPr>
          <w:p>
            <w:pPr>
              <w:spacing w:after="0"/>
            </w:pPr>
            <w:r>
              <w:rPr>
                <w:rFonts w:ascii="Calibri" w:hAnsi="Calibri"/>
                <w:b/>
                <w:color w:val="1F4D78"/>
                <w:sz w:val="21"/>
              </w:rPr>
              <w:t xml:space="preserve">Scope position  </w:t>
            </w:r>
            <w:r>
              <w:rPr>
                <w:rFonts w:ascii="Calibri" w:hAnsi="Calibri"/>
                <w:color w:val="202733"/>
                <w:sz w:val="21"/>
              </w:rPr>
              <w:t>This proposal describes the implemented baseline visible in the reviewed codebase. Any client-specific workflow, third-party integration, hardware purchase, data migration, or new report should be confirmed as an extension during final scoping.</w:t>
            </w:r>
          </w:p>
        </w:tc>
      </w:tr>
    </w:tbl>
    <w:p>
      <w:pPr>
        <w:spacing w:after="40"/>
      </w:pPr>
    </w:p>
    <w:p>
      <w:pPr>
        <w:pStyle w:val="Heading1"/>
      </w:pPr>
      <w:r>
        <w:t>2. Solution Landscape</w:t>
      </w:r>
    </w:p>
    <w:tbl>
      <w:tblPr>
        <w:tblW w:type="dxa" w:w="9360"/>
        <w:tblLayout w:type="fixed"/>
        <w:tblLook w:firstColumn="1" w:firstRow="1" w:lastColumn="0" w:lastRow="0" w:noHBand="0" w:noVBand="1" w:val="04A0"/>
        <w:jc w:val="left"/>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2100"/>
        <w:gridCol w:w="2700"/>
        <w:gridCol w:w="4560"/>
      </w:tblGrid>
      <w:tr>
        <w:trPr>
          <w:tblHeader w:val="true"/>
        </w:trPr>
        <w:tc>
          <w:tcPr>
            <w:tcW w:type="dxa" w:w="2100"/>
            <w:tcMar>
              <w:top w:w="100" w:type="dxa"/>
              <w:start w:w="120" w:type="dxa"/>
              <w:bottom w:w="100" w:type="dxa"/>
              <w:end w:w="120" w:type="dxa"/>
            </w:tcMar>
            <w:shd w:fill="26364A"/>
          </w:tcPr>
          <w:p>
            <w:r>
              <w:rPr>
                <w:rFonts w:ascii="Calibri" w:hAnsi="Calibri"/>
                <w:b/>
                <w:color w:val="FFFFFF"/>
                <w:sz w:val="19"/>
              </w:rPr>
              <w:t>Interface</w:t>
            </w:r>
          </w:p>
        </w:tc>
        <w:tc>
          <w:tcPr>
            <w:tcW w:type="dxa" w:w="2700"/>
            <w:tcMar>
              <w:top w:w="100" w:type="dxa"/>
              <w:start w:w="120" w:type="dxa"/>
              <w:bottom w:w="100" w:type="dxa"/>
              <w:end w:w="120" w:type="dxa"/>
            </w:tcMar>
            <w:shd w:fill="26364A"/>
          </w:tcPr>
          <w:p>
            <w:r>
              <w:rPr>
                <w:rFonts w:ascii="Calibri" w:hAnsi="Calibri"/>
                <w:b/>
                <w:color w:val="FFFFFF"/>
                <w:sz w:val="19"/>
              </w:rPr>
              <w:t>Primary users</w:t>
            </w:r>
          </w:p>
        </w:tc>
        <w:tc>
          <w:tcPr>
            <w:tcW w:type="dxa" w:w="4560"/>
            <w:tcMar>
              <w:top w:w="100" w:type="dxa"/>
              <w:start w:w="120" w:type="dxa"/>
              <w:bottom w:w="100" w:type="dxa"/>
              <w:end w:w="120" w:type="dxa"/>
            </w:tcMar>
            <w:shd w:fill="26364A"/>
          </w:tcPr>
          <w:p>
            <w:r>
              <w:rPr>
                <w:rFonts w:ascii="Calibri" w:hAnsi="Calibri"/>
                <w:b/>
                <w:color w:val="FFFFFF"/>
                <w:sz w:val="19"/>
              </w:rPr>
              <w:t>Role in the solution</w:t>
            </w:r>
          </w:p>
        </w:tc>
      </w:tr>
      <w:tr>
        <w:tc>
          <w:tcPr>
            <w:tcW w:type="dxa" w:w="2100"/>
            <w:vAlign w:val="center"/>
            <w:tcMar>
              <w:top w:w="100" w:type="dxa"/>
              <w:start w:w="120" w:type="dxa"/>
              <w:bottom w:w="100" w:type="dxa"/>
              <w:end w:w="120" w:type="dxa"/>
            </w:tcMar>
          </w:tcPr>
          <w:p>
            <w:r>
              <w:rPr>
                <w:rFonts w:ascii="Calibri" w:hAnsi="Calibri"/>
                <w:b/>
                <w:color w:val="202733"/>
                <w:sz w:val="18"/>
              </w:rPr>
              <w:t>Admin Portal</w:t>
            </w:r>
          </w:p>
        </w:tc>
        <w:tc>
          <w:tcPr>
            <w:tcW w:type="dxa" w:w="2700"/>
            <w:vAlign w:val="center"/>
            <w:tcMar>
              <w:top w:w="100" w:type="dxa"/>
              <w:start w:w="120" w:type="dxa"/>
              <w:bottom w:w="100" w:type="dxa"/>
              <w:end w:w="120" w:type="dxa"/>
            </w:tcMar>
          </w:tcPr>
          <w:p>
            <w:r>
              <w:rPr>
                <w:rFonts w:ascii="Calibri" w:hAnsi="Calibri"/>
                <w:b w:val="0"/>
                <w:color w:val="202733"/>
                <w:sz w:val="18"/>
              </w:rPr>
              <w:t>School administrators and authorized staff</w:t>
            </w:r>
          </w:p>
        </w:tc>
        <w:tc>
          <w:tcPr>
            <w:tcW w:type="dxa" w:w="4560"/>
            <w:vAlign w:val="center"/>
            <w:tcMar>
              <w:top w:w="100" w:type="dxa"/>
              <w:start w:w="120" w:type="dxa"/>
              <w:bottom w:w="100" w:type="dxa"/>
              <w:end w:w="120" w:type="dxa"/>
            </w:tcMar>
          </w:tcPr>
          <w:p>
            <w:r>
              <w:rPr>
                <w:rFonts w:ascii="Calibri" w:hAnsi="Calibri"/>
                <w:b w:val="0"/>
                <w:color w:val="202733"/>
                <w:sz w:val="18"/>
              </w:rPr>
              <w:t>Master-data CRUD, configuration, oversight, dashboards, records, and exports.</w:t>
            </w:r>
          </w:p>
        </w:tc>
      </w:tr>
      <w:tr>
        <w:tc>
          <w:tcPr>
            <w:tcW w:type="dxa" w:w="2100"/>
            <w:vAlign w:val="center"/>
            <w:shd w:fill="F4F6F9"/>
            <w:tcMar>
              <w:top w:w="100" w:type="dxa"/>
              <w:start w:w="120" w:type="dxa"/>
              <w:bottom w:w="100" w:type="dxa"/>
              <w:end w:w="120" w:type="dxa"/>
            </w:tcMar>
          </w:tcPr>
          <w:p>
            <w:r>
              <w:rPr>
                <w:rFonts w:ascii="Calibri" w:hAnsi="Calibri"/>
                <w:b/>
                <w:color w:val="202733"/>
                <w:sz w:val="18"/>
              </w:rPr>
              <w:t>Teacher Portal</w:t>
            </w:r>
          </w:p>
        </w:tc>
        <w:tc>
          <w:tcPr>
            <w:tcW w:type="dxa" w:w="2700"/>
            <w:vAlign w:val="center"/>
            <w:shd w:fill="F4F6F9"/>
            <w:tcMar>
              <w:top w:w="100" w:type="dxa"/>
              <w:start w:w="120" w:type="dxa"/>
              <w:bottom w:w="100" w:type="dxa"/>
              <w:end w:w="120" w:type="dxa"/>
            </w:tcMar>
          </w:tcPr>
          <w:p>
            <w:r>
              <w:rPr>
                <w:rFonts w:ascii="Calibri" w:hAnsi="Calibri"/>
                <w:b w:val="0"/>
                <w:color w:val="202733"/>
                <w:sz w:val="18"/>
              </w:rPr>
              <w:t>Advisers / teachers</w:t>
            </w:r>
          </w:p>
        </w:tc>
        <w:tc>
          <w:tcPr>
            <w:tcW w:type="dxa" w:w="4560"/>
            <w:vAlign w:val="center"/>
            <w:shd w:fill="F4F6F9"/>
            <w:tcMar>
              <w:top w:w="100" w:type="dxa"/>
              <w:start w:w="120" w:type="dxa"/>
              <w:bottom w:w="100" w:type="dxa"/>
              <w:end w:w="120" w:type="dxa"/>
            </w:tcMar>
          </w:tcPr>
          <w:p>
            <w:r>
              <w:rPr>
                <w:rFonts w:ascii="Calibri" w:hAnsi="Calibri"/>
                <w:b w:val="0"/>
                <w:color w:val="202733"/>
                <w:sz w:val="18"/>
              </w:rPr>
              <w:t>Class roster management, schedules, grade entry, assignments, student exports, and QR sheets.</w:t>
            </w:r>
          </w:p>
        </w:tc>
      </w:tr>
      <w:tr>
        <w:tc>
          <w:tcPr>
            <w:tcW w:type="dxa" w:w="2100"/>
            <w:vAlign w:val="center"/>
            <w:tcMar>
              <w:top w:w="100" w:type="dxa"/>
              <w:start w:w="120" w:type="dxa"/>
              <w:bottom w:w="100" w:type="dxa"/>
              <w:end w:w="120" w:type="dxa"/>
            </w:tcMar>
          </w:tcPr>
          <w:p>
            <w:r>
              <w:rPr>
                <w:rFonts w:ascii="Calibri" w:hAnsi="Calibri"/>
                <w:b/>
                <w:color w:val="202733"/>
                <w:sz w:val="18"/>
              </w:rPr>
              <w:t>Student Portal</w:t>
            </w:r>
          </w:p>
        </w:tc>
        <w:tc>
          <w:tcPr>
            <w:tcW w:type="dxa" w:w="2700"/>
            <w:vAlign w:val="center"/>
            <w:tcMar>
              <w:top w:w="100" w:type="dxa"/>
              <w:start w:w="120" w:type="dxa"/>
              <w:bottom w:w="100" w:type="dxa"/>
              <w:end w:w="120" w:type="dxa"/>
            </w:tcMar>
          </w:tcPr>
          <w:p>
            <w:r>
              <w:rPr>
                <w:rFonts w:ascii="Calibri" w:hAnsi="Calibri"/>
                <w:b w:val="0"/>
                <w:color w:val="202733"/>
                <w:sz w:val="18"/>
              </w:rPr>
              <w:t>Students</w:t>
            </w:r>
          </w:p>
        </w:tc>
        <w:tc>
          <w:tcPr>
            <w:tcW w:type="dxa" w:w="4560"/>
            <w:vAlign w:val="center"/>
            <w:tcMar>
              <w:top w:w="100" w:type="dxa"/>
              <w:start w:w="120" w:type="dxa"/>
              <w:bottom w:w="100" w:type="dxa"/>
              <w:end w:w="120" w:type="dxa"/>
            </w:tcMar>
          </w:tcPr>
          <w:p>
            <w:r>
              <w:rPr>
                <w:rFonts w:ascii="Calibri" w:hAnsi="Calibri"/>
                <w:b w:val="0"/>
                <w:color w:val="202733"/>
                <w:sz w:val="18"/>
              </w:rPr>
              <w:t>Profile, class information, grades, assignments and submissions, announcements, and optional quizzes.</w:t>
            </w:r>
          </w:p>
        </w:tc>
      </w:tr>
      <w:tr>
        <w:tc>
          <w:tcPr>
            <w:tcW w:type="dxa" w:w="2100"/>
            <w:vAlign w:val="center"/>
            <w:shd w:fill="F4F6F9"/>
            <w:tcMar>
              <w:top w:w="100" w:type="dxa"/>
              <w:start w:w="120" w:type="dxa"/>
              <w:bottom w:w="100" w:type="dxa"/>
              <w:end w:w="120" w:type="dxa"/>
            </w:tcMar>
          </w:tcPr>
          <w:p>
            <w:r>
              <w:rPr>
                <w:rFonts w:ascii="Calibri" w:hAnsi="Calibri"/>
                <w:b/>
                <w:color w:val="202733"/>
                <w:sz w:val="18"/>
              </w:rPr>
              <w:t>SMS Scanner</w:t>
            </w:r>
          </w:p>
        </w:tc>
        <w:tc>
          <w:tcPr>
            <w:tcW w:type="dxa" w:w="2700"/>
            <w:vAlign w:val="center"/>
            <w:shd w:fill="F4F6F9"/>
            <w:tcMar>
              <w:top w:w="100" w:type="dxa"/>
              <w:start w:w="120" w:type="dxa"/>
              <w:bottom w:w="100" w:type="dxa"/>
              <w:end w:w="120" w:type="dxa"/>
            </w:tcMar>
          </w:tcPr>
          <w:p>
            <w:r>
              <w:rPr>
                <w:rFonts w:ascii="Calibri" w:hAnsi="Calibri"/>
                <w:b w:val="0"/>
                <w:color w:val="202733"/>
                <w:sz w:val="18"/>
              </w:rPr>
              <w:t>Kiosk / attendance staff</w:t>
            </w:r>
          </w:p>
        </w:tc>
        <w:tc>
          <w:tcPr>
            <w:tcW w:type="dxa" w:w="4560"/>
            <w:vAlign w:val="center"/>
            <w:shd w:fill="F4F6F9"/>
            <w:tcMar>
              <w:top w:w="100" w:type="dxa"/>
              <w:start w:w="120" w:type="dxa"/>
              <w:bottom w:w="100" w:type="dxa"/>
              <w:end w:w="120" w:type="dxa"/>
            </w:tcMar>
          </w:tcPr>
          <w:p>
            <w:r>
              <w:rPr>
                <w:rFonts w:ascii="Calibri" w:hAnsi="Calibri"/>
                <w:b w:val="0"/>
                <w:color w:val="202733"/>
                <w:sz w:val="18"/>
              </w:rPr>
              <w:t>QR or ID scanning, local attendance storage, connectivity-aware synchronization, and scan logs.</w:t>
            </w:r>
          </w:p>
        </w:tc>
      </w:tr>
    </w:tbl>
    <w:p>
      <w:pPr>
        <w:pStyle w:val="Heading1"/>
      </w:pPr>
      <w:r>
        <w:t>3. User Access and Security</w:t>
      </w:r>
    </w:p>
    <w:p>
      <w:pPr>
        <w:pStyle w:val="ListBullet"/>
        <w:keepLines/>
        <w:spacing w:after="80" w:line="290" w:lineRule="auto"/>
      </w:pPr>
      <w:r>
        <w:rPr>
          <w:rFonts w:ascii="Calibri" w:hAnsi="Calibri"/>
          <w:color w:val="202733"/>
        </w:rPr>
        <w:t>Separate administrator, teacher, and student access paths, with portal-aware login and routing.</w:t>
      </w:r>
    </w:p>
    <w:p>
      <w:pPr>
        <w:pStyle w:val="ListBullet"/>
        <w:keepLines/>
        <w:spacing w:after="80" w:line="290" w:lineRule="auto"/>
      </w:pPr>
      <w:r>
        <w:rPr>
          <w:rFonts w:ascii="Calibri" w:hAnsi="Calibri"/>
          <w:color w:val="202733"/>
        </w:rPr>
        <w:t>User and role records are maintained in the administration area; teacher and student accounts are linked to their corresponding profiles.</w:t>
      </w:r>
    </w:p>
    <w:p>
      <w:pPr>
        <w:pStyle w:val="ListBullet"/>
        <w:keepLines/>
        <w:spacing w:after="80" w:line="290" w:lineRule="auto"/>
      </w:pPr>
      <w:r>
        <w:rPr>
          <w:rFonts w:ascii="Calibri" w:hAnsi="Calibri"/>
          <w:color w:val="202733"/>
        </w:rPr>
        <w:t>Student portal access can be activated or deactivated without deleting the underlying student record.</w:t>
      </w:r>
    </w:p>
    <w:p>
      <w:pPr>
        <w:pStyle w:val="ListBullet"/>
        <w:keepLines/>
        <w:spacing w:after="80" w:line="290" w:lineRule="auto"/>
      </w:pPr>
      <w:r>
        <w:rPr>
          <w:rFonts w:ascii="Calibri" w:hAnsi="Calibri"/>
          <w:color w:val="202733"/>
        </w:rPr>
        <w:t>Newly provisioned portal users can be required to change their password before continuing.</w:t>
      </w:r>
    </w:p>
    <w:p>
      <w:pPr>
        <w:pStyle w:val="ListBullet"/>
        <w:keepLines/>
        <w:spacing w:after="80" w:line="290" w:lineRule="auto"/>
      </w:pPr>
      <w:r>
        <w:rPr>
          <w:rFonts w:ascii="Calibri" w:hAnsi="Calibri"/>
          <w:color w:val="202733"/>
        </w:rPr>
        <w:t>The kiosk integration uses a configured API authentication code for token validation and data exchange.</w:t>
      </w:r>
    </w:p>
    <w:p>
      <w:pPr>
        <w:pStyle w:val="Heading1"/>
      </w:pPr>
      <w:r>
        <w:t>4. Core System Modules</w:t>
      </w:r>
    </w:p>
    <w:p>
      <w:r>
        <w:t>The following modules are included in the current application. “CRUD” means create, view, update, and delete where permitted by the assigned interface and workflow.</w:t>
      </w:r>
    </w:p>
    <w:p>
      <w:pPr>
        <w:pStyle w:val="Heading2"/>
        <w:keepNext/>
      </w:pPr>
      <w:r>
        <w:t>4.1 Administration Dashboard &amp; Analytics</w:t>
      </w:r>
    </w:p>
    <w:p>
      <w:pPr>
        <w:spacing w:after="80"/>
      </w:pPr>
      <w:r>
        <w:rPr>
          <w:rFonts w:ascii="Calibri" w:hAnsi="Calibri"/>
          <w:b/>
          <w:color w:val="1F4D78"/>
        </w:rPr>
        <w:t xml:space="preserve">Purpose. </w:t>
      </w:r>
      <w:r>
        <w:rPr>
          <w:rFonts w:ascii="Calibri" w:hAnsi="Calibri"/>
          <w:color w:val="202733"/>
        </w:rPr>
        <w:t>Provide a school-year-based operational snapshot for administrators.</w:t>
      </w:r>
    </w:p>
    <w:p>
      <w:pPr>
        <w:pStyle w:val="ListBullet"/>
        <w:keepLines/>
        <w:spacing w:after="80" w:line="290" w:lineRule="auto"/>
      </w:pPr>
      <w:r>
        <w:rPr>
          <w:rFonts w:ascii="Calibri" w:hAnsi="Calibri"/>
          <w:color w:val="202733"/>
        </w:rPr>
        <w:t>View enrolled-student, active-class, attendance-day, and average-daily-attendance metrics.</w:t>
      </w:r>
    </w:p>
    <w:p>
      <w:pPr>
        <w:pStyle w:val="ListBullet"/>
        <w:keepLines/>
        <w:spacing w:after="80" w:line="290" w:lineRule="auto"/>
      </w:pPr>
      <w:r>
        <w:rPr>
          <w:rFonts w:ascii="Calibri" w:hAnsi="Calibri"/>
          <w:color w:val="202733"/>
        </w:rPr>
        <w:t>View payment totals, transaction counts, paying-student counts, and average payment values.</w:t>
      </w:r>
    </w:p>
    <w:p>
      <w:pPr>
        <w:pStyle w:val="ListBullet"/>
        <w:keepLines/>
        <w:spacing w:after="80" w:line="290" w:lineRule="auto"/>
      </w:pPr>
      <w:r>
        <w:rPr>
          <w:rFonts w:ascii="Calibri" w:hAnsi="Calibri"/>
          <w:color w:val="202733"/>
        </w:rPr>
        <w:t>Review student distribution by grade, daily attendance trends, and average monthly attendance charts.</w:t>
      </w:r>
    </w:p>
    <w:p>
      <w:pPr>
        <w:pStyle w:val="ListBullet"/>
        <w:keepLines/>
        <w:spacing w:after="80" w:line="290" w:lineRule="auto"/>
      </w:pPr>
      <w:r>
        <w:rPr>
          <w:rFonts w:ascii="Calibri" w:hAnsi="Calibri"/>
          <w:color w:val="202733"/>
        </w:rPr>
        <w:t>Switch the dashboard context by school year.</w:t>
      </w:r>
    </w:p>
    <w:p>
      <w:pPr>
        <w:spacing w:before="20" w:after="140"/>
        <w:ind w:left="540"/>
      </w:pPr>
      <w:r>
        <w:rPr>
          <w:rFonts w:ascii="Calibri" w:hAnsi="Calibri"/>
          <w:b/>
          <w:color w:val="697586"/>
          <w:sz w:val="19"/>
        </w:rPr>
        <w:t xml:space="preserve">Connected modules: </w:t>
      </w:r>
      <w:r>
        <w:rPr>
          <w:rFonts w:ascii="Calibri" w:hAnsi="Calibri"/>
          <w:i/>
          <w:color w:val="697586"/>
          <w:sz w:val="19"/>
        </w:rPr>
        <w:t>School Years, Classes, Enrollment, Attendance, Students, Grades, and Payments.</w:t>
      </w:r>
    </w:p>
    <w:p>
      <w:pPr>
        <w:pStyle w:val="Heading2"/>
        <w:keepNext/>
      </w:pPr>
      <w:r>
        <w:t>4.2 User, Role &amp; Portal Access Management</w:t>
      </w:r>
    </w:p>
    <w:p>
      <w:pPr>
        <w:spacing w:after="80"/>
      </w:pPr>
      <w:r>
        <w:rPr>
          <w:rFonts w:ascii="Calibri" w:hAnsi="Calibri"/>
          <w:b/>
          <w:color w:val="1F4D78"/>
        </w:rPr>
        <w:t xml:space="preserve">Purpose. </w:t>
      </w:r>
      <w:r>
        <w:rPr>
          <w:rFonts w:ascii="Calibri" w:hAnsi="Calibri"/>
          <w:color w:val="202733"/>
        </w:rPr>
        <w:t>Control identities and access to the administrative, teacher, and student experiences.</w:t>
      </w:r>
    </w:p>
    <w:p>
      <w:pPr>
        <w:pStyle w:val="ListBullet"/>
        <w:keepLines/>
        <w:spacing w:after="80" w:line="290" w:lineRule="auto"/>
      </w:pPr>
      <w:r>
        <w:rPr>
          <w:rFonts w:ascii="Calibri" w:hAnsi="Calibri"/>
          <w:color w:val="202733"/>
        </w:rPr>
        <w:t>CRUD for administrative users and user roles.</w:t>
      </w:r>
    </w:p>
    <w:p>
      <w:pPr>
        <w:pStyle w:val="ListBullet"/>
        <w:keepLines/>
        <w:spacing w:after="80" w:line="290" w:lineRule="auto"/>
      </w:pPr>
      <w:r>
        <w:rPr>
          <w:rFonts w:ascii="Calibri" w:hAnsi="Calibri"/>
          <w:color w:val="202733"/>
        </w:rPr>
        <w:t>Create and maintain teacher/adviser and student-linked portal accounts.</w:t>
      </w:r>
    </w:p>
    <w:p>
      <w:pPr>
        <w:pStyle w:val="ListBullet"/>
        <w:keepLines/>
        <w:spacing w:after="80" w:line="290" w:lineRule="auto"/>
      </w:pPr>
      <w:r>
        <w:rPr>
          <w:rFonts w:ascii="Calibri" w:hAnsi="Calibri"/>
          <w:color w:val="202733"/>
        </w:rPr>
        <w:t>Activate or deactivate student portal access.</w:t>
      </w:r>
    </w:p>
    <w:p>
      <w:pPr>
        <w:pStyle w:val="ListBullet"/>
        <w:keepLines/>
        <w:spacing w:after="80" w:line="290" w:lineRule="auto"/>
      </w:pPr>
      <w:r>
        <w:rPr>
          <w:rFonts w:ascii="Calibri" w:hAnsi="Calibri"/>
          <w:color w:val="202733"/>
        </w:rPr>
        <w:t>Support username/email credentials, password reset/change workflows, and forced first-login password changes.</w:t>
      </w:r>
    </w:p>
    <w:p>
      <w:pPr>
        <w:spacing w:before="20" w:after="140"/>
        <w:ind w:left="540"/>
      </w:pPr>
      <w:r>
        <w:rPr>
          <w:rFonts w:ascii="Calibri" w:hAnsi="Calibri"/>
          <w:b/>
          <w:color w:val="697586"/>
          <w:sz w:val="19"/>
        </w:rPr>
        <w:t xml:space="preserve">Connected modules: </w:t>
      </w:r>
      <w:r>
        <w:rPr>
          <w:rFonts w:ascii="Calibri" w:hAnsi="Calibri"/>
          <w:i/>
          <w:color w:val="697586"/>
          <w:sz w:val="19"/>
        </w:rPr>
        <w:t>Advisers, Students, Student Access, Roles, and all three web portals.</w:t>
      </w:r>
    </w:p>
    <w:p>
      <w:pPr>
        <w:pStyle w:val="Heading2"/>
        <w:keepNext/>
      </w:pPr>
      <w:r>
        <w:t>4.3 Student Information Management</w:t>
      </w:r>
    </w:p>
    <w:p>
      <w:pPr>
        <w:spacing w:after="80"/>
      </w:pPr>
      <w:r>
        <w:rPr>
          <w:rFonts w:ascii="Calibri" w:hAnsi="Calibri"/>
          <w:b/>
          <w:color w:val="1F4D78"/>
        </w:rPr>
        <w:t xml:space="preserve">Purpose. </w:t>
      </w:r>
      <w:r>
        <w:rPr>
          <w:rFonts w:ascii="Calibri" w:hAnsi="Calibri"/>
          <w:color w:val="202733"/>
        </w:rPr>
        <w:t>Maintain the central student profile used by academic, attendance, payment, and portal workflows.</w:t>
      </w:r>
    </w:p>
    <w:p>
      <w:pPr>
        <w:pStyle w:val="ListBullet"/>
        <w:keepLines/>
        <w:spacing w:after="80" w:line="290" w:lineRule="auto"/>
      </w:pPr>
      <w:r>
        <w:rPr>
          <w:rFonts w:ascii="Calibri" w:hAnsi="Calibri"/>
          <w:color w:val="202733"/>
        </w:rPr>
        <w:t>CRUD for student identity, LRN, personal details, address, guardian information, profile photo, education history, and supporting records.</w:t>
      </w:r>
    </w:p>
    <w:p>
      <w:pPr>
        <w:pStyle w:val="ListBullet"/>
        <w:keepLines/>
        <w:spacing w:after="80" w:line="290" w:lineRule="auto"/>
      </w:pPr>
      <w:r>
        <w:rPr>
          <w:rFonts w:ascii="Calibri" w:hAnsi="Calibri"/>
          <w:color w:val="202733"/>
        </w:rPr>
        <w:t>Track optional profile attributes such as 4Ps membership and basic physical information.</w:t>
      </w:r>
    </w:p>
    <w:p>
      <w:pPr>
        <w:pStyle w:val="ListBullet"/>
        <w:keepLines/>
        <w:spacing w:after="80" w:line="290" w:lineRule="auto"/>
      </w:pPr>
      <w:r>
        <w:rPr>
          <w:rFonts w:ascii="Calibri" w:hAnsi="Calibri"/>
          <w:color w:val="202733"/>
        </w:rPr>
        <w:t>Bulk import students from the provided spreadsheet template and export student lists.</w:t>
      </w:r>
    </w:p>
    <w:p>
      <w:pPr>
        <w:pStyle w:val="ListBullet"/>
        <w:keepLines/>
        <w:spacing w:after="80" w:line="290" w:lineRule="auto"/>
      </w:pPr>
      <w:r>
        <w:rPr>
          <w:rFonts w:ascii="Calibri" w:hAnsi="Calibri"/>
          <w:color w:val="202733"/>
        </w:rPr>
        <w:t>Generate student QR-code sheets for use with the attendance kiosk.</w:t>
      </w:r>
    </w:p>
    <w:p>
      <w:pPr>
        <w:pStyle w:val="ListBullet"/>
        <w:keepLines/>
        <w:spacing w:after="80" w:line="290" w:lineRule="auto"/>
      </w:pPr>
      <w:r>
        <w:rPr>
          <w:rFonts w:ascii="Calibri" w:hAnsi="Calibri"/>
          <w:color w:val="202733"/>
        </w:rPr>
        <w:t>Archive or remove class roster records without losing the student master profile, subject to workflow permissions.</w:t>
      </w:r>
    </w:p>
    <w:p>
      <w:pPr>
        <w:spacing w:before="20" w:after="140"/>
        <w:ind w:left="540"/>
      </w:pPr>
      <w:r>
        <w:rPr>
          <w:rFonts w:ascii="Calibri" w:hAnsi="Calibri"/>
          <w:b/>
          <w:color w:val="697586"/>
          <w:sz w:val="19"/>
        </w:rPr>
        <w:t xml:space="preserve">Connected modules: </w:t>
      </w:r>
      <w:r>
        <w:rPr>
          <w:rFonts w:ascii="Calibri" w:hAnsi="Calibri"/>
          <w:i/>
          <w:color w:val="697586"/>
          <w:sz w:val="19"/>
        </w:rPr>
        <w:t>Portal Accounts, Enrollment, Classes, Attendance, Grades, Assignments, Quizzes, and Payments.</w:t>
      </w:r>
    </w:p>
    <w:p>
      <w:pPr>
        <w:pStyle w:val="Heading2"/>
        <w:keepNext/>
      </w:pPr>
      <w:r>
        <w:t>4.4 Academic Setup: School Years, Grade Levels &amp; Subjects</w:t>
      </w:r>
    </w:p>
    <w:p>
      <w:pPr>
        <w:spacing w:after="80"/>
      </w:pPr>
      <w:r>
        <w:rPr>
          <w:rFonts w:ascii="Calibri" w:hAnsi="Calibri"/>
          <w:b/>
          <w:color w:val="1F4D78"/>
        </w:rPr>
        <w:t xml:space="preserve">Purpose. </w:t>
      </w:r>
      <w:r>
        <w:rPr>
          <w:rFonts w:ascii="Calibri" w:hAnsi="Calibri"/>
          <w:color w:val="202733"/>
        </w:rPr>
        <w:t>Define reusable academic reference data for each school cycle.</w:t>
      </w:r>
    </w:p>
    <w:p>
      <w:pPr>
        <w:pStyle w:val="ListBullet"/>
        <w:keepLines/>
        <w:spacing w:after="80" w:line="290" w:lineRule="auto"/>
      </w:pPr>
      <w:r>
        <w:rPr>
          <w:rFonts w:ascii="Calibri" w:hAnsi="Calibri"/>
          <w:color w:val="202733"/>
        </w:rPr>
        <w:t>CRUD for school years and active-year status.</w:t>
      </w:r>
    </w:p>
    <w:p>
      <w:pPr>
        <w:pStyle w:val="ListBullet"/>
        <w:keepLines/>
        <w:spacing w:after="80" w:line="290" w:lineRule="auto"/>
      </w:pPr>
      <w:r>
        <w:rPr>
          <w:rFonts w:ascii="Calibri" w:hAnsi="Calibri"/>
          <w:color w:val="202733"/>
        </w:rPr>
        <w:t>CRUD for grade levels, status, and configurable number of grading terms.</w:t>
      </w:r>
    </w:p>
    <w:p>
      <w:pPr>
        <w:pStyle w:val="ListBullet"/>
        <w:keepLines/>
        <w:spacing w:after="80" w:line="290" w:lineRule="auto"/>
      </w:pPr>
      <w:r>
        <w:rPr>
          <w:rFonts w:ascii="Calibri" w:hAnsi="Calibri"/>
          <w:color w:val="202733"/>
        </w:rPr>
        <w:t>CRUD for subjects, display order, and whether a subject contributes to computed averages.</w:t>
      </w:r>
    </w:p>
    <w:p>
      <w:pPr>
        <w:spacing w:before="20" w:after="140"/>
        <w:ind w:left="540"/>
      </w:pPr>
      <w:r>
        <w:rPr>
          <w:rFonts w:ascii="Calibri" w:hAnsi="Calibri"/>
          <w:b/>
          <w:color w:val="697586"/>
          <w:sz w:val="19"/>
        </w:rPr>
        <w:t xml:space="preserve">Connected modules: </w:t>
      </w:r>
      <w:r>
        <w:rPr>
          <w:rFonts w:ascii="Calibri" w:hAnsi="Calibri"/>
          <w:i/>
          <w:color w:val="697586"/>
          <w:sz w:val="19"/>
        </w:rPr>
        <w:t>Classes, Enrollment, Gradebook, Dashboard Analytics, and Optional Quizzes.</w:t>
      </w:r>
    </w:p>
    <w:p>
      <w:pPr>
        <w:pStyle w:val="Heading2"/>
        <w:keepNext/>
      </w:pPr>
      <w:r>
        <w:t>4.5 Classes, Sections &amp; Enrollment</w:t>
      </w:r>
    </w:p>
    <w:p>
      <w:pPr>
        <w:spacing w:after="80"/>
      </w:pPr>
      <w:r>
        <w:rPr>
          <w:rFonts w:ascii="Calibri" w:hAnsi="Calibri"/>
          <w:b/>
          <w:color w:val="1F4D78"/>
        </w:rPr>
        <w:t xml:space="preserve">Purpose. </w:t>
      </w:r>
      <w:r>
        <w:rPr>
          <w:rFonts w:ascii="Calibri" w:hAnsi="Calibri"/>
          <w:color w:val="202733"/>
        </w:rPr>
        <w:t>Organize learners into school-year classes and sections with assigned advisers and subjects.</w:t>
      </w:r>
    </w:p>
    <w:p>
      <w:pPr>
        <w:pStyle w:val="ListBullet"/>
        <w:keepLines/>
        <w:spacing w:after="80" w:line="290" w:lineRule="auto"/>
      </w:pPr>
      <w:r>
        <w:rPr>
          <w:rFonts w:ascii="Calibri" w:hAnsi="Calibri"/>
          <w:color w:val="202733"/>
        </w:rPr>
        <w:t>CRUD for classes/sections, including adviser, grade level, school year, active status, college indicator, and assignment availability.</w:t>
      </w:r>
    </w:p>
    <w:p>
      <w:pPr>
        <w:pStyle w:val="ListBullet"/>
        <w:keepLines/>
        <w:spacing w:after="80" w:line="290" w:lineRule="auto"/>
      </w:pPr>
      <w:r>
        <w:rPr>
          <w:rFonts w:ascii="Calibri" w:hAnsi="Calibri"/>
          <w:color w:val="202733"/>
        </w:rPr>
        <w:t>Assign or remove students from a class roster and maintain enrollment notes.</w:t>
      </w:r>
    </w:p>
    <w:p>
      <w:pPr>
        <w:pStyle w:val="ListBullet"/>
        <w:keepLines/>
        <w:spacing w:after="80" w:line="290" w:lineRule="auto"/>
      </w:pPr>
      <w:r>
        <w:rPr>
          <w:rFonts w:ascii="Calibri" w:hAnsi="Calibri"/>
          <w:color w:val="202733"/>
        </w:rPr>
        <w:t>Assign subjects to a class and maintain class-to-subject relationships.</w:t>
      </w:r>
    </w:p>
    <w:p>
      <w:pPr>
        <w:pStyle w:val="ListBullet"/>
        <w:keepLines/>
        <w:spacing w:after="80" w:line="290" w:lineRule="auto"/>
      </w:pPr>
      <w:r>
        <w:rPr>
          <w:rFonts w:ascii="Calibri" w:hAnsi="Calibri"/>
          <w:color w:val="202733"/>
        </w:rPr>
        <w:t>Support current class enrollment alongside historical student-class information.</w:t>
      </w:r>
    </w:p>
    <w:p>
      <w:pPr>
        <w:spacing w:before="20" w:after="140"/>
        <w:ind w:left="540"/>
      </w:pPr>
      <w:r>
        <w:rPr>
          <w:rFonts w:ascii="Calibri" w:hAnsi="Calibri"/>
          <w:b/>
          <w:color w:val="697586"/>
          <w:sz w:val="19"/>
        </w:rPr>
        <w:t xml:space="preserve">Connected modules: </w:t>
      </w:r>
      <w:r>
        <w:rPr>
          <w:rFonts w:ascii="Calibri" w:hAnsi="Calibri"/>
          <w:i/>
          <w:color w:val="697586"/>
          <w:sz w:val="19"/>
        </w:rPr>
        <w:t>Students, Advisers, School Years, Grade Levels, Subjects, Grades, Assignments, and Dashboard Analytics.</w:t>
      </w:r>
    </w:p>
    <w:p>
      <w:pPr>
        <w:pStyle w:val="Heading2"/>
        <w:keepNext/>
      </w:pPr>
      <w:r>
        <w:t>4.6 Adviser / Teacher Management &amp; Schedules</w:t>
      </w:r>
    </w:p>
    <w:p>
      <w:pPr>
        <w:spacing w:after="80"/>
      </w:pPr>
      <w:r>
        <w:rPr>
          <w:rFonts w:ascii="Calibri" w:hAnsi="Calibri"/>
          <w:b/>
          <w:color w:val="1F4D78"/>
        </w:rPr>
        <w:t xml:space="preserve">Purpose. </w:t>
      </w:r>
      <w:r>
        <w:rPr>
          <w:rFonts w:ascii="Calibri" w:hAnsi="Calibri"/>
          <w:color w:val="202733"/>
        </w:rPr>
        <w:t>Maintain teacher profiles and connect each adviser to the classes and schedules they handle.</w:t>
      </w:r>
    </w:p>
    <w:p>
      <w:pPr>
        <w:pStyle w:val="ListBullet"/>
        <w:keepLines/>
        <w:spacing w:after="80" w:line="290" w:lineRule="auto"/>
      </w:pPr>
      <w:r>
        <w:rPr>
          <w:rFonts w:ascii="Calibri" w:hAnsi="Calibri"/>
          <w:color w:val="202733"/>
        </w:rPr>
        <w:t>CRUD for adviser name, rank, major/specialization, profile image, and linked user account.</w:t>
      </w:r>
    </w:p>
    <w:p>
      <w:pPr>
        <w:pStyle w:val="ListBullet"/>
        <w:keepLines/>
        <w:spacing w:after="80" w:line="290" w:lineRule="auto"/>
      </w:pPr>
      <w:r>
        <w:rPr>
          <w:rFonts w:ascii="Calibri" w:hAnsi="Calibri"/>
          <w:color w:val="202733"/>
        </w:rPr>
        <w:t>CRUD for adviser schedule entries, including day, section, and time frame.</w:t>
      </w:r>
    </w:p>
    <w:p>
      <w:pPr>
        <w:pStyle w:val="ListBullet"/>
        <w:keepLines/>
        <w:spacing w:after="80" w:line="290" w:lineRule="auto"/>
      </w:pPr>
      <w:r>
        <w:rPr>
          <w:rFonts w:ascii="Calibri" w:hAnsi="Calibri"/>
          <w:color w:val="202733"/>
        </w:rPr>
        <w:t>Teacher dashboard access is scoped through the adviser-to-class relationship.</w:t>
      </w:r>
    </w:p>
    <w:p>
      <w:pPr>
        <w:spacing w:before="20" w:after="140"/>
        <w:ind w:left="540"/>
      </w:pPr>
      <w:r>
        <w:rPr>
          <w:rFonts w:ascii="Calibri" w:hAnsi="Calibri"/>
          <w:b/>
          <w:color w:val="697586"/>
          <w:sz w:val="19"/>
        </w:rPr>
        <w:t xml:space="preserve">Connected modules: </w:t>
      </w:r>
      <w:r>
        <w:rPr>
          <w:rFonts w:ascii="Calibri" w:hAnsi="Calibri"/>
          <w:i/>
          <w:color w:val="697586"/>
          <w:sz w:val="19"/>
        </w:rPr>
        <w:t>User Accounts, Classes, Students, Gradebook, Assignments, and Schedules.</w:t>
      </w:r>
    </w:p>
    <w:p>
      <w:pPr>
        <w:pStyle w:val="Heading2"/>
        <w:keepNext/>
      </w:pPr>
      <w:r>
        <w:t>4.7 Gradebook &amp; Academic Results</w:t>
      </w:r>
    </w:p>
    <w:p>
      <w:pPr>
        <w:spacing w:after="80"/>
      </w:pPr>
      <w:r>
        <w:rPr>
          <w:rFonts w:ascii="Calibri" w:hAnsi="Calibri"/>
          <w:b/>
          <w:color w:val="1F4D78"/>
        </w:rPr>
        <w:t xml:space="preserve">Purpose. </w:t>
      </w:r>
      <w:r>
        <w:rPr>
          <w:rFonts w:ascii="Calibri" w:hAnsi="Calibri"/>
          <w:color w:val="202733"/>
        </w:rPr>
        <w:t>Capture subject grades per student and make approved results available through the portals and exports.</w:t>
      </w:r>
    </w:p>
    <w:p>
      <w:pPr>
        <w:pStyle w:val="ListBullet"/>
        <w:keepLines/>
        <w:spacing w:after="80" w:line="290" w:lineRule="auto"/>
      </w:pPr>
      <w:r>
        <w:rPr>
          <w:rFonts w:ascii="Calibri" w:hAnsi="Calibri"/>
          <w:color w:val="202733"/>
        </w:rPr>
        <w:t>Maintain quarterly/term grades for each student, class, grade level, and subject relationship.</w:t>
      </w:r>
    </w:p>
    <w:p>
      <w:pPr>
        <w:pStyle w:val="ListBullet"/>
        <w:keepLines/>
        <w:spacing w:after="80" w:line="290" w:lineRule="auto"/>
      </w:pPr>
      <w:r>
        <w:rPr>
          <w:rFonts w:ascii="Calibri" w:hAnsi="Calibri"/>
          <w:color w:val="202733"/>
        </w:rPr>
        <w:t>Teachers can manage grades for students in their classes and submit/lock completed grade sets.</w:t>
      </w:r>
    </w:p>
    <w:p>
      <w:pPr>
        <w:pStyle w:val="ListBullet"/>
        <w:keepLines/>
        <w:spacing w:after="80" w:line="290" w:lineRule="auto"/>
      </w:pPr>
      <w:r>
        <w:rPr>
          <w:rFonts w:ascii="Calibri" w:hAnsi="Calibri"/>
          <w:color w:val="202733"/>
        </w:rPr>
        <w:t>Students can review class grades in the portal and download a grade report PDF.</w:t>
      </w:r>
    </w:p>
    <w:p>
      <w:pPr>
        <w:pStyle w:val="ListBullet"/>
        <w:keepLines/>
        <w:spacing w:after="80" w:line="290" w:lineRule="auto"/>
      </w:pPr>
      <w:r>
        <w:rPr>
          <w:rFonts w:ascii="Calibri" w:hAnsi="Calibri"/>
          <w:color w:val="202733"/>
        </w:rPr>
        <w:t>Administrators and teachers can export grade workbooks for reporting or further processing.</w:t>
      </w:r>
    </w:p>
    <w:p>
      <w:pPr>
        <w:spacing w:before="20" w:after="140"/>
        <w:ind w:left="540"/>
      </w:pPr>
      <w:r>
        <w:rPr>
          <w:rFonts w:ascii="Calibri" w:hAnsi="Calibri"/>
          <w:b/>
          <w:color w:val="697586"/>
          <w:sz w:val="19"/>
        </w:rPr>
        <w:t xml:space="preserve">Connected modules: </w:t>
      </w:r>
      <w:r>
        <w:rPr>
          <w:rFonts w:ascii="Calibri" w:hAnsi="Calibri"/>
          <w:i/>
          <w:color w:val="697586"/>
          <w:sz w:val="19"/>
        </w:rPr>
        <w:t>Students, Classes, Grade Levels, Subjects, School Years, Teacher Portal, and Student Portal.</w:t>
      </w:r>
    </w:p>
    <w:p>
      <w:pPr>
        <w:pStyle w:val="Heading2"/>
        <w:keepNext/>
      </w:pPr>
      <w:r>
        <w:t>4.8 Assignments &amp; Student Submissions</w:t>
      </w:r>
    </w:p>
    <w:p>
      <w:pPr>
        <w:spacing w:after="80"/>
      </w:pPr>
      <w:r>
        <w:rPr>
          <w:rFonts w:ascii="Calibri" w:hAnsi="Calibri"/>
          <w:b/>
          <w:color w:val="1F4D78"/>
        </w:rPr>
        <w:t xml:space="preserve">Purpose. </w:t>
      </w:r>
      <w:r>
        <w:rPr>
          <w:rFonts w:ascii="Calibri" w:hAnsi="Calibri"/>
          <w:color w:val="202733"/>
        </w:rPr>
        <w:t>Support teacher-to-class assignment distribution and student file submission.</w:t>
      </w:r>
    </w:p>
    <w:p>
      <w:pPr>
        <w:pStyle w:val="ListBullet"/>
        <w:keepLines/>
        <w:spacing w:after="80" w:line="290" w:lineRule="auto"/>
      </w:pPr>
      <w:r>
        <w:rPr>
          <w:rFonts w:ascii="Calibri" w:hAnsi="Calibri"/>
          <w:color w:val="202733"/>
        </w:rPr>
        <w:t>Teachers can create, update, delete, and send assignments with title, notes, deadline, and optional attachment.</w:t>
      </w:r>
    </w:p>
    <w:p>
      <w:pPr>
        <w:pStyle w:val="ListBullet"/>
        <w:keepLines/>
        <w:spacing w:after="80" w:line="290" w:lineRule="auto"/>
      </w:pPr>
      <w:r>
        <w:rPr>
          <w:rFonts w:ascii="Calibri" w:hAnsi="Calibri"/>
          <w:color w:val="202733"/>
        </w:rPr>
        <w:t>Students can view sent assignments, download attachments, and upload a submission with notes.</w:t>
      </w:r>
    </w:p>
    <w:p>
      <w:pPr>
        <w:pStyle w:val="ListBullet"/>
        <w:keepLines/>
        <w:spacing w:after="80" w:line="290" w:lineRule="auto"/>
      </w:pPr>
      <w:r>
        <w:rPr>
          <w:rFonts w:ascii="Calibri" w:hAnsi="Calibri"/>
          <w:color w:val="202733"/>
        </w:rPr>
        <w:t>Teachers can review submission summaries and download submitted files.</w:t>
      </w:r>
    </w:p>
    <w:p>
      <w:pPr>
        <w:pStyle w:val="ListBullet"/>
        <w:keepLines/>
        <w:spacing w:after="80" w:line="290" w:lineRule="auto"/>
      </w:pPr>
      <w:r>
        <w:rPr>
          <w:rFonts w:ascii="Calibri" w:hAnsi="Calibri"/>
          <w:color w:val="202733"/>
        </w:rPr>
        <w:t>Assignment availability can be enabled or disabled at class level.</w:t>
      </w:r>
    </w:p>
    <w:p>
      <w:pPr>
        <w:spacing w:before="20" w:after="140"/>
        <w:ind w:left="540"/>
      </w:pPr>
      <w:r>
        <w:rPr>
          <w:rFonts w:ascii="Calibri" w:hAnsi="Calibri"/>
          <w:b/>
          <w:color w:val="697586"/>
          <w:sz w:val="19"/>
        </w:rPr>
        <w:t xml:space="preserve">Connected modules: </w:t>
      </w:r>
      <w:r>
        <w:rPr>
          <w:rFonts w:ascii="Calibri" w:hAnsi="Calibri"/>
          <w:i/>
          <w:color w:val="697586"/>
          <w:sz w:val="19"/>
        </w:rPr>
        <w:t>Classes, Advisers, Students, Teacher Portal, Student Portal, and File Storage.</w:t>
      </w:r>
    </w:p>
    <w:p>
      <w:pPr>
        <w:pStyle w:val="Heading2"/>
        <w:keepNext/>
      </w:pPr>
      <w:r>
        <w:t>4.9 Attendance Records</w:t>
      </w:r>
    </w:p>
    <w:p>
      <w:pPr>
        <w:spacing w:after="80"/>
      </w:pPr>
      <w:r>
        <w:rPr>
          <w:rFonts w:ascii="Calibri" w:hAnsi="Calibri"/>
          <w:b/>
          <w:color w:val="1F4D78"/>
        </w:rPr>
        <w:t xml:space="preserve">Purpose. </w:t>
      </w:r>
      <w:r>
        <w:rPr>
          <w:rFonts w:ascii="Calibri" w:hAnsi="Calibri"/>
          <w:color w:val="202733"/>
        </w:rPr>
        <w:t>Store student attendance events received from the kiosk or maintained through administration.</w:t>
      </w:r>
    </w:p>
    <w:p>
      <w:pPr>
        <w:pStyle w:val="ListBullet"/>
        <w:keepLines/>
        <w:spacing w:after="80" w:line="290" w:lineRule="auto"/>
      </w:pPr>
      <w:r>
        <w:rPr>
          <w:rFonts w:ascii="Calibri" w:hAnsi="Calibri"/>
          <w:color w:val="202733"/>
        </w:rPr>
        <w:t>View and maintain attendance records linked to a student and attendance date/time.</w:t>
      </w:r>
    </w:p>
    <w:p>
      <w:pPr>
        <w:pStyle w:val="ListBullet"/>
        <w:keepLines/>
        <w:spacing w:after="80" w:line="290" w:lineRule="auto"/>
      </w:pPr>
      <w:r>
        <w:rPr>
          <w:rFonts w:ascii="Calibri" w:hAnsi="Calibri"/>
          <w:color w:val="202733"/>
        </w:rPr>
        <w:t>Receive batched attendance events from the SMS Scanner through the synchronization API.</w:t>
      </w:r>
    </w:p>
    <w:p>
      <w:pPr>
        <w:pStyle w:val="ListBullet"/>
        <w:keepLines/>
        <w:spacing w:after="80" w:line="290" w:lineRule="auto"/>
      </w:pPr>
      <w:r>
        <w:rPr>
          <w:rFonts w:ascii="Calibri" w:hAnsi="Calibri"/>
          <w:color w:val="202733"/>
        </w:rPr>
        <w:t>Reject kiosk events that repeat within the configured server rule currently implemented as a 10-minute interval.</w:t>
      </w:r>
    </w:p>
    <w:p>
      <w:pPr>
        <w:pStyle w:val="ListBullet"/>
        <w:keepLines/>
        <w:spacing w:after="80" w:line="290" w:lineRule="auto"/>
      </w:pPr>
      <w:r>
        <w:rPr>
          <w:rFonts w:ascii="Calibri" w:hAnsi="Calibri"/>
          <w:color w:val="202733"/>
        </w:rPr>
        <w:t>Feed school-year attendance metrics and charts on the administration dashboard.</w:t>
      </w:r>
    </w:p>
    <w:p>
      <w:pPr>
        <w:spacing w:before="20" w:after="140"/>
        <w:ind w:left="540"/>
      </w:pPr>
      <w:r>
        <w:rPr>
          <w:rFonts w:ascii="Calibri" w:hAnsi="Calibri"/>
          <w:b/>
          <w:color w:val="697586"/>
          <w:sz w:val="19"/>
        </w:rPr>
        <w:t xml:space="preserve">Connected modules: </w:t>
      </w:r>
      <w:r>
        <w:rPr>
          <w:rFonts w:ascii="Calibri" w:hAnsi="Calibri"/>
          <w:i/>
          <w:color w:val="697586"/>
          <w:sz w:val="19"/>
        </w:rPr>
        <w:t>Students, Enrollment, Dashboard Analytics, Settings/API Authentication, and SMS Scanner.</w:t>
      </w:r>
    </w:p>
    <w:p>
      <w:pPr>
        <w:pStyle w:val="Heading2"/>
        <w:keepNext/>
      </w:pPr>
      <w:r>
        <w:t>4.10 Payments &amp; Payment Types</w:t>
      </w:r>
    </w:p>
    <w:p>
      <w:pPr>
        <w:spacing w:after="80"/>
      </w:pPr>
      <w:r>
        <w:rPr>
          <w:rFonts w:ascii="Calibri" w:hAnsi="Calibri"/>
          <w:b/>
          <w:color w:val="1F4D78"/>
        </w:rPr>
        <w:t xml:space="preserve">Purpose. </w:t>
      </w:r>
      <w:r>
        <w:rPr>
          <w:rFonts w:ascii="Calibri" w:hAnsi="Calibri"/>
          <w:color w:val="202733"/>
        </w:rPr>
        <w:t>Record student payment transactions and provide basic collection reporting.</w:t>
      </w:r>
    </w:p>
    <w:p>
      <w:pPr>
        <w:pStyle w:val="ListBullet"/>
        <w:keepLines/>
        <w:spacing w:after="80" w:line="290" w:lineRule="auto"/>
      </w:pPr>
      <w:r>
        <w:rPr>
          <w:rFonts w:ascii="Calibri" w:hAnsi="Calibri"/>
          <w:color w:val="202733"/>
        </w:rPr>
        <w:t>CRUD for payment types, with seeded examples such as Cash and Credit.</w:t>
      </w:r>
    </w:p>
    <w:p>
      <w:pPr>
        <w:pStyle w:val="ListBullet"/>
        <w:keepLines/>
        <w:spacing w:after="80" w:line="290" w:lineRule="auto"/>
      </w:pPr>
      <w:r>
        <w:rPr>
          <w:rFonts w:ascii="Calibri" w:hAnsi="Calibri"/>
          <w:color w:val="202733"/>
        </w:rPr>
        <w:t>CRUD for student payment entries, including date/time, amount, payment type, reference, and notes.</w:t>
      </w:r>
    </w:p>
    <w:p>
      <w:pPr>
        <w:pStyle w:val="ListBullet"/>
        <w:keepLines/>
        <w:spacing w:after="80" w:line="290" w:lineRule="auto"/>
      </w:pPr>
      <w:r>
        <w:rPr>
          <w:rFonts w:ascii="Calibri" w:hAnsi="Calibri"/>
          <w:color w:val="202733"/>
        </w:rPr>
        <w:t>Export payment records for external reporting or reconciliation.</w:t>
      </w:r>
    </w:p>
    <w:p>
      <w:pPr>
        <w:pStyle w:val="ListBullet"/>
        <w:keepLines/>
        <w:spacing w:after="80" w:line="290" w:lineRule="auto"/>
      </w:pPr>
      <w:r>
        <w:rPr>
          <w:rFonts w:ascii="Calibri" w:hAnsi="Calibri"/>
          <w:color w:val="202733"/>
        </w:rPr>
        <w:t>Summarize collections and payment activity on the administration dashboard.</w:t>
      </w:r>
    </w:p>
    <w:p>
      <w:pPr>
        <w:spacing w:before="20" w:after="140"/>
        <w:ind w:left="540"/>
      </w:pPr>
      <w:r>
        <w:rPr>
          <w:rFonts w:ascii="Calibri" w:hAnsi="Calibri"/>
          <w:b/>
          <w:color w:val="697586"/>
          <w:sz w:val="19"/>
        </w:rPr>
        <w:t xml:space="preserve">Connected modules: </w:t>
      </w:r>
      <w:r>
        <w:rPr>
          <w:rFonts w:ascii="Calibri" w:hAnsi="Calibri"/>
          <w:i/>
          <w:color w:val="697586"/>
          <w:sz w:val="19"/>
        </w:rPr>
        <w:t>Students, Payment Types, Dashboard Analytics, and Exports.</w:t>
      </w:r>
    </w:p>
    <w:p>
      <w:pPr>
        <w:pStyle w:val="Heading2"/>
        <w:keepNext/>
      </w:pPr>
      <w:r>
        <w:t>4.11 Announcements &amp; Notifications</w:t>
      </w:r>
    </w:p>
    <w:p>
      <w:pPr>
        <w:spacing w:after="80"/>
      </w:pPr>
      <w:r>
        <w:rPr>
          <w:rFonts w:ascii="Calibri" w:hAnsi="Calibri"/>
          <w:b/>
          <w:color w:val="1F4D78"/>
        </w:rPr>
        <w:t xml:space="preserve">Purpose. </w:t>
      </w:r>
      <w:r>
        <w:rPr>
          <w:rFonts w:ascii="Calibri" w:hAnsi="Calibri"/>
          <w:color w:val="202733"/>
        </w:rPr>
        <w:t>Publish time-bound communications and maintain system notification records.</w:t>
      </w:r>
    </w:p>
    <w:p>
      <w:pPr>
        <w:pStyle w:val="ListBullet"/>
        <w:keepLines/>
        <w:spacing w:after="80" w:line="290" w:lineRule="auto"/>
      </w:pPr>
      <w:r>
        <w:rPr>
          <w:rFonts w:ascii="Calibri" w:hAnsi="Calibri"/>
          <w:color w:val="202733"/>
        </w:rPr>
        <w:t>CRUD for announcements with title, content, target audience, and expiry date/time.</w:t>
      </w:r>
    </w:p>
    <w:p>
      <w:pPr>
        <w:pStyle w:val="ListBullet"/>
        <w:keepLines/>
        <w:spacing w:after="80" w:line="290" w:lineRule="auto"/>
      </w:pPr>
      <w:r>
        <w:rPr>
          <w:rFonts w:ascii="Calibri" w:hAnsi="Calibri"/>
          <w:color w:val="202733"/>
        </w:rPr>
        <w:t>Target announcements to applicable portal audiences, including teachers and students.</w:t>
      </w:r>
    </w:p>
    <w:p>
      <w:pPr>
        <w:pStyle w:val="ListBullet"/>
        <w:keepLines/>
        <w:spacing w:after="80" w:line="290" w:lineRule="auto"/>
      </w:pPr>
      <w:r>
        <w:rPr>
          <w:rFonts w:ascii="Calibri" w:hAnsi="Calibri"/>
          <w:color w:val="202733"/>
        </w:rPr>
        <w:t>Maintain notification records and read status for supported system events.</w:t>
      </w:r>
    </w:p>
    <w:p>
      <w:pPr>
        <w:spacing w:before="20" w:after="140"/>
        <w:ind w:left="540"/>
      </w:pPr>
      <w:r>
        <w:rPr>
          <w:rFonts w:ascii="Calibri" w:hAnsi="Calibri"/>
          <w:b/>
          <w:color w:val="697586"/>
          <w:sz w:val="19"/>
        </w:rPr>
        <w:t xml:space="preserve">Connected modules: </w:t>
      </w:r>
      <w:r>
        <w:rPr>
          <w:rFonts w:ascii="Calibri" w:hAnsi="Calibri"/>
          <w:i/>
          <w:color w:val="697586"/>
          <w:sz w:val="19"/>
        </w:rPr>
        <w:t>Admin Portal, Teacher Portal, Student Portal, and User Accounts.</w:t>
      </w:r>
    </w:p>
    <w:p>
      <w:pPr>
        <w:pStyle w:val="Heading2"/>
        <w:keepNext/>
      </w:pPr>
      <w:r>
        <w:t>4.12 Optional Quiz &amp; Assessment Module</w:t>
      </w:r>
    </w:p>
    <w:p>
      <w:pPr>
        <w:spacing w:after="80"/>
      </w:pPr>
      <w:r>
        <w:rPr>
          <w:rFonts w:ascii="Calibri" w:hAnsi="Calibri"/>
          <w:b/>
          <w:color w:val="1F4D78"/>
        </w:rPr>
        <w:t xml:space="preserve">Purpose. </w:t>
      </w:r>
      <w:r>
        <w:rPr>
          <w:rFonts w:ascii="Calibri" w:hAnsi="Calibri"/>
          <w:color w:val="202733"/>
        </w:rPr>
        <w:t>Provide configurable question sets and collect student answers when the feature is enabled.</w:t>
      </w:r>
    </w:p>
    <w:p>
      <w:pPr>
        <w:pStyle w:val="ListBullet"/>
        <w:keepLines/>
        <w:spacing w:after="80" w:line="290" w:lineRule="auto"/>
      </w:pPr>
      <w:r>
        <w:rPr>
          <w:rFonts w:ascii="Calibri" w:hAnsi="Calibri"/>
          <w:color w:val="202733"/>
        </w:rPr>
        <w:t>CRUD for quiz questions and answer choices, including the correct-answer relationship.</w:t>
      </w:r>
    </w:p>
    <w:p>
      <w:pPr>
        <w:pStyle w:val="ListBullet"/>
        <w:keepLines/>
        <w:spacing w:after="80" w:line="290" w:lineRule="auto"/>
      </w:pPr>
      <w:r>
        <w:rPr>
          <w:rFonts w:ascii="Calibri" w:hAnsi="Calibri"/>
          <w:color w:val="202733"/>
        </w:rPr>
        <w:t>Group quizzes by school year, grade level, week, and day; set quiz duration and question order.</w:t>
      </w:r>
    </w:p>
    <w:p>
      <w:pPr>
        <w:pStyle w:val="ListBullet"/>
        <w:keepLines/>
        <w:spacing w:after="80" w:line="290" w:lineRule="auto"/>
      </w:pPr>
      <w:r>
        <w:rPr>
          <w:rFonts w:ascii="Calibri" w:hAnsi="Calibri"/>
          <w:color w:val="202733"/>
        </w:rPr>
        <w:t>Allow students to submit quiz answers through the student portal.</w:t>
      </w:r>
    </w:p>
    <w:p>
      <w:pPr>
        <w:pStyle w:val="ListBullet"/>
        <w:keepLines/>
        <w:spacing w:after="80" w:line="290" w:lineRule="auto"/>
      </w:pPr>
      <w:r>
        <w:rPr>
          <w:rFonts w:ascii="Calibri" w:hAnsi="Calibri"/>
          <w:color w:val="202733"/>
        </w:rPr>
        <w:t>View group scores and student response records in administration.</w:t>
      </w:r>
    </w:p>
    <w:p>
      <w:pPr>
        <w:spacing w:before="20" w:after="140"/>
        <w:ind w:left="540"/>
      </w:pPr>
      <w:r>
        <w:rPr>
          <w:rFonts w:ascii="Calibri" w:hAnsi="Calibri"/>
          <w:b/>
          <w:color w:val="697586"/>
          <w:sz w:val="19"/>
        </w:rPr>
        <w:t xml:space="preserve">Connected modules: </w:t>
      </w:r>
      <w:r>
        <w:rPr>
          <w:rFonts w:ascii="Calibri" w:hAnsi="Calibri"/>
          <w:i/>
          <w:color w:val="697586"/>
          <w:sz w:val="19"/>
        </w:rPr>
        <w:t>School Years, Grade Levels, Students, Questions, Answers, and Student Portal. This module is controlled by a deployment feature flag.</w:t>
      </w:r>
    </w:p>
    <w:p>
      <w:pPr>
        <w:pStyle w:val="Heading2"/>
        <w:keepNext/>
      </w:pPr>
      <w:r>
        <w:t>4.13 System Settings, Branding &amp; API Configuration</w:t>
      </w:r>
    </w:p>
    <w:p>
      <w:pPr>
        <w:spacing w:after="80"/>
      </w:pPr>
      <w:r>
        <w:rPr>
          <w:rFonts w:ascii="Calibri" w:hAnsi="Calibri"/>
          <w:b/>
          <w:color w:val="1F4D78"/>
        </w:rPr>
        <w:t xml:space="preserve">Purpose. </w:t>
      </w:r>
      <w:r>
        <w:rPr>
          <w:rFonts w:ascii="Calibri" w:hAnsi="Calibri"/>
          <w:color w:val="202733"/>
        </w:rPr>
        <w:t>Maintain school-specific settings and the configuration required by the web portals and kiosk.</w:t>
      </w:r>
    </w:p>
    <w:p>
      <w:pPr>
        <w:pStyle w:val="ListBullet"/>
        <w:keepLines/>
        <w:spacing w:after="80" w:line="290" w:lineRule="auto"/>
      </w:pPr>
      <w:r>
        <w:rPr>
          <w:rFonts w:ascii="Calibri" w:hAnsi="Calibri"/>
          <w:color w:val="202733"/>
        </w:rPr>
        <w:t>CRUD for text, file, and structured settings records.</w:t>
      </w:r>
    </w:p>
    <w:p>
      <w:pPr>
        <w:pStyle w:val="ListBullet"/>
        <w:keepLines/>
        <w:spacing w:after="80" w:line="290" w:lineRule="auto"/>
      </w:pPr>
      <w:r>
        <w:rPr>
          <w:rFonts w:ascii="Calibri" w:hAnsi="Calibri"/>
          <w:color w:val="202733"/>
        </w:rPr>
        <w:t>Configure school identity, school name, logo, theme colors, and portal domains/environment settings.</w:t>
      </w:r>
    </w:p>
    <w:p>
      <w:pPr>
        <w:pStyle w:val="ListBullet"/>
        <w:keepLines/>
        <w:spacing w:after="80" w:line="290" w:lineRule="auto"/>
      </w:pPr>
      <w:r>
        <w:rPr>
          <w:rFonts w:ascii="Calibri" w:hAnsi="Calibri"/>
          <w:color w:val="202733"/>
        </w:rPr>
        <w:t>Configure the API authentication code used by the SMS Scanner.</w:t>
      </w:r>
    </w:p>
    <w:p>
      <w:pPr>
        <w:pStyle w:val="ListBullet"/>
        <w:keepLines/>
        <w:spacing w:after="80" w:line="290" w:lineRule="auto"/>
      </w:pPr>
      <w:r>
        <w:rPr>
          <w:rFonts w:ascii="Calibri" w:hAnsi="Calibri"/>
          <w:color w:val="202733"/>
        </w:rPr>
        <w:t>Expose authenticated school branding and student image download endpoints for the kiosk.</w:t>
      </w:r>
    </w:p>
    <w:p>
      <w:pPr>
        <w:spacing w:before="20" w:after="140"/>
        <w:ind w:left="540"/>
      </w:pPr>
      <w:r>
        <w:rPr>
          <w:rFonts w:ascii="Calibri" w:hAnsi="Calibri"/>
          <w:b/>
          <w:color w:val="697586"/>
          <w:sz w:val="19"/>
        </w:rPr>
        <w:t xml:space="preserve">Connected modules: </w:t>
      </w:r>
      <w:r>
        <w:rPr>
          <w:rFonts w:ascii="Calibri" w:hAnsi="Calibri"/>
          <w:i/>
          <w:color w:val="697586"/>
          <w:sz w:val="19"/>
        </w:rPr>
        <w:t>All Portals, Branding, SMS Scanner, and API Security.</w:t>
      </w:r>
    </w:p>
    <w:p>
      <w:pPr>
        <w:pStyle w:val="Heading1"/>
      </w:pPr>
      <w:r>
        <w:t>5. Reports, Documents &amp; Data Portability</w:t>
      </w:r>
    </w:p>
    <w:p>
      <w:pPr>
        <w:pStyle w:val="ListBullet"/>
        <w:keepLines/>
        <w:spacing w:after="80" w:line="290" w:lineRule="auto"/>
      </w:pPr>
      <w:r>
        <w:rPr>
          <w:rFonts w:ascii="Calibri" w:hAnsi="Calibri"/>
          <w:color w:val="202733"/>
        </w:rPr>
        <w:t>Student bulk import using an editable spreadsheet template.</w:t>
      </w:r>
    </w:p>
    <w:p>
      <w:pPr>
        <w:pStyle w:val="ListBullet"/>
        <w:keepLines/>
        <w:spacing w:after="80" w:line="290" w:lineRule="auto"/>
      </w:pPr>
      <w:r>
        <w:rPr>
          <w:rFonts w:ascii="Calibri" w:hAnsi="Calibri"/>
          <w:color w:val="202733"/>
        </w:rPr>
        <w:t>Student list export for administrators and teachers.</w:t>
      </w:r>
    </w:p>
    <w:p>
      <w:pPr>
        <w:pStyle w:val="ListBullet"/>
        <w:keepLines/>
        <w:spacing w:after="80" w:line="290" w:lineRule="auto"/>
      </w:pPr>
      <w:r>
        <w:rPr>
          <w:rFonts w:ascii="Calibri" w:hAnsi="Calibri"/>
          <w:color w:val="202733"/>
        </w:rPr>
        <w:t>QR-code sheet export for attendance setup.</w:t>
      </w:r>
    </w:p>
    <w:p>
      <w:pPr>
        <w:pStyle w:val="ListBullet"/>
        <w:keepLines/>
        <w:spacing w:after="80" w:line="290" w:lineRule="auto"/>
      </w:pPr>
      <w:r>
        <w:rPr>
          <w:rFonts w:ascii="Calibri" w:hAnsi="Calibri"/>
          <w:color w:val="202733"/>
        </w:rPr>
        <w:t>Student grade report download in PDF format.</w:t>
      </w:r>
    </w:p>
    <w:p>
      <w:pPr>
        <w:pStyle w:val="ListBullet"/>
        <w:keepLines/>
        <w:spacing w:after="80" w:line="290" w:lineRule="auto"/>
      </w:pPr>
      <w:r>
        <w:rPr>
          <w:rFonts w:ascii="Calibri" w:hAnsi="Calibri"/>
          <w:color w:val="202733"/>
        </w:rPr>
        <w:t>Class/student grade export in workbook format.</w:t>
      </w:r>
    </w:p>
    <w:p>
      <w:pPr>
        <w:pStyle w:val="ListBullet"/>
        <w:keepLines/>
        <w:spacing w:after="80" w:line="290" w:lineRule="auto"/>
      </w:pPr>
      <w:r>
        <w:rPr>
          <w:rFonts w:ascii="Calibri" w:hAnsi="Calibri"/>
          <w:color w:val="202733"/>
        </w:rPr>
        <w:t>Payment transaction export.</w:t>
      </w:r>
    </w:p>
    <w:p>
      <w:pPr>
        <w:pStyle w:val="ListBullet"/>
        <w:keepLines/>
        <w:spacing w:after="80" w:line="290" w:lineRule="auto"/>
      </w:pPr>
      <w:r>
        <w:rPr>
          <w:rFonts w:ascii="Calibri" w:hAnsi="Calibri"/>
          <w:color w:val="202733"/>
        </w:rPr>
        <w:t>Dashboard charts and summary metrics filtered by school year.</w:t>
      </w:r>
    </w:p>
    <w:p>
      <w:r>
        <w:br w:type="page"/>
      </w:r>
    </w:p>
    <w:p>
      <w:pPr>
        <w:pStyle w:val="Heading1"/>
      </w:pPr>
      <w:r>
        <w:t>6. SMS Scanner Attendance Kiosk Integration</w:t>
      </w:r>
    </w:p>
    <w:p>
      <w:r>
        <w:t>The project is connected to the companion sms_pwa codebase, packaged as the “SMS Scanner” Windows desktop application. The kiosk is designed for high-frequency attendance capture while retaining local operation during intermittent connectivity.</w:t>
      </w:r>
    </w:p>
    <w:p>
      <w:pPr>
        <w:pStyle w:val="Heading2"/>
      </w:pPr>
      <w:r>
        <w:t>6.1 Kiosk Capabilities</w:t>
      </w:r>
    </w:p>
    <w:p>
      <w:pPr>
        <w:pStyle w:val="ListBullet"/>
        <w:keepLines/>
        <w:spacing w:after="80" w:line="290" w:lineRule="auto"/>
      </w:pPr>
      <w:r>
        <w:rPr>
          <w:rFonts w:ascii="Calibri" w:hAnsi="Calibri"/>
          <w:color w:val="202733"/>
        </w:rPr>
        <w:t>Validate the configured server URL and API authentication code.</w:t>
      </w:r>
    </w:p>
    <w:p>
      <w:pPr>
        <w:pStyle w:val="ListBullet"/>
        <w:keepLines/>
        <w:spacing w:after="80" w:line="290" w:lineRule="auto"/>
      </w:pPr>
      <w:r>
        <w:rPr>
          <w:rFonts w:ascii="Calibri" w:hAnsi="Calibri"/>
          <w:color w:val="202733"/>
        </w:rPr>
        <w:t>Load the school name and logo from the SMS and cache branding for continued display.</w:t>
      </w:r>
    </w:p>
    <w:p>
      <w:pPr>
        <w:pStyle w:val="ListBullet"/>
        <w:keepLines/>
        <w:spacing w:after="80" w:line="290" w:lineRule="auto"/>
      </w:pPr>
      <w:r>
        <w:rPr>
          <w:rFonts w:ascii="Calibri" w:hAnsi="Calibri"/>
          <w:color w:val="202733"/>
        </w:rPr>
        <w:t>Download/synchronize the student list used to validate scans.</w:t>
      </w:r>
    </w:p>
    <w:p>
      <w:pPr>
        <w:pStyle w:val="ListBullet"/>
        <w:keepLines/>
        <w:spacing w:after="80" w:line="290" w:lineRule="auto"/>
      </w:pPr>
      <w:r>
        <w:rPr>
          <w:rFonts w:ascii="Calibri" w:hAnsi="Calibri"/>
          <w:color w:val="202733"/>
        </w:rPr>
        <w:t>Capture a scan from a QR/ID scanner and support manual ID entry for authorized kiosk operation.</w:t>
      </w:r>
    </w:p>
    <w:p>
      <w:pPr>
        <w:pStyle w:val="ListBullet"/>
        <w:keepLines/>
        <w:spacing w:after="80" w:line="290" w:lineRule="auto"/>
      </w:pPr>
      <w:r>
        <w:rPr>
          <w:rFonts w:ascii="Calibri" w:hAnsi="Calibri"/>
          <w:color w:val="202733"/>
        </w:rPr>
        <w:t>Store attendance events in a local SQLite database before synchronization.</w:t>
      </w:r>
    </w:p>
    <w:p>
      <w:pPr>
        <w:pStyle w:val="ListBullet"/>
        <w:keepLines/>
        <w:spacing w:after="80" w:line="290" w:lineRule="auto"/>
      </w:pPr>
      <w:r>
        <w:rPr>
          <w:rFonts w:ascii="Calibri" w:hAnsi="Calibri"/>
          <w:color w:val="202733"/>
        </w:rPr>
        <w:t>Show recent scan logs and recorded, duplicate, or failed status indicators.</w:t>
      </w:r>
    </w:p>
    <w:p>
      <w:pPr>
        <w:pStyle w:val="ListBullet"/>
        <w:keepLines/>
        <w:spacing w:after="80" w:line="290" w:lineRule="auto"/>
      </w:pPr>
      <w:r>
        <w:rPr>
          <w:rFonts w:ascii="Calibri" w:hAnsi="Calibri"/>
          <w:color w:val="202733"/>
        </w:rPr>
        <w:t>Attempt immediate synchronization when online and retain unsynced records when offline.</w:t>
      </w:r>
    </w:p>
    <w:p>
      <w:pPr>
        <w:pStyle w:val="ListBullet"/>
        <w:keepLines/>
        <w:spacing w:after="80" w:line="290" w:lineRule="auto"/>
      </w:pPr>
      <w:r>
        <w:rPr>
          <w:rFonts w:ascii="Calibri" w:hAnsi="Calibri"/>
          <w:color w:val="202733"/>
        </w:rPr>
        <w:t>Provide manual re-sync options for today, yesterday, or a selected number of prior days.</w:t>
      </w:r>
    </w:p>
    <w:p>
      <w:pPr>
        <w:pStyle w:val="ListBullet"/>
        <w:keepLines/>
        <w:spacing w:after="80" w:line="290" w:lineRule="auto"/>
      </w:pPr>
      <w:r>
        <w:rPr>
          <w:rFonts w:ascii="Calibri" w:hAnsi="Calibri"/>
          <w:color w:val="202733"/>
        </w:rPr>
        <w:t>Display connection state, unsynced count, student count, pagination preferences, and light/dark theme settings.</w:t>
      </w:r>
    </w:p>
    <w:p>
      <w:pPr>
        <w:pStyle w:val="Heading2"/>
      </w:pPr>
      <w:r>
        <w:t>6.2 End-to-End Attendance Flow</w:t>
      </w:r>
    </w:p>
    <w:p>
      <w:pPr>
        <w:pStyle w:val="ListNumber"/>
        <w:spacing w:after="100" w:line="290" w:lineRule="auto"/>
      </w:pPr>
      <w:r>
        <w:rPr>
          <w:rFonts w:ascii="Calibri" w:hAnsi="Calibri"/>
          <w:color w:val="202733"/>
        </w:rPr>
        <w:t>The kiosk authenticates against the SMS using the configured API code and loads the school profile.</w:t>
      </w:r>
    </w:p>
    <w:p>
      <w:pPr>
        <w:pStyle w:val="ListNumber"/>
        <w:spacing w:after="100" w:line="290" w:lineRule="auto"/>
      </w:pPr>
      <w:r>
        <w:rPr>
          <w:rFonts w:ascii="Calibri" w:hAnsi="Calibri"/>
          <w:color w:val="202733"/>
        </w:rPr>
        <w:t>Student identifiers are synchronized from the SMS to the kiosk’s local database.</w:t>
      </w:r>
    </w:p>
    <w:p>
      <w:pPr>
        <w:pStyle w:val="ListNumber"/>
        <w:spacing w:after="100" w:line="290" w:lineRule="auto"/>
      </w:pPr>
      <w:r>
        <w:rPr>
          <w:rFonts w:ascii="Calibri" w:hAnsi="Calibri"/>
          <w:color w:val="202733"/>
        </w:rPr>
        <w:t>A student presents a QR/ID code; the kiosk validates the identifier and records the date and time locally.</w:t>
      </w:r>
    </w:p>
    <w:p>
      <w:pPr>
        <w:pStyle w:val="ListNumber"/>
        <w:spacing w:after="100" w:line="290" w:lineRule="auto"/>
      </w:pPr>
      <w:r>
        <w:rPr>
          <w:rFonts w:ascii="Calibri" w:hAnsi="Calibri"/>
          <w:color w:val="202733"/>
        </w:rPr>
        <w:t>When connectivity is available, queued records are posted to the SMS attendance synchronization endpoint.</w:t>
      </w:r>
    </w:p>
    <w:p>
      <w:pPr>
        <w:pStyle w:val="ListNumber"/>
        <w:spacing w:after="100" w:line="290" w:lineRule="auto"/>
      </w:pPr>
      <w:r>
        <w:rPr>
          <w:rFonts w:ascii="Calibri" w:hAnsi="Calibri"/>
          <w:color w:val="202733"/>
        </w:rPr>
        <w:t>The SMS validates the token and student record, applies the duplicate interval rule, and inserts accepted attendance events.</w:t>
      </w:r>
    </w:p>
    <w:p>
      <w:pPr>
        <w:pStyle w:val="ListNumber"/>
        <w:spacing w:after="100" w:line="290" w:lineRule="auto"/>
      </w:pPr>
      <w:r>
        <w:rPr>
          <w:rFonts w:ascii="Calibri" w:hAnsi="Calibri"/>
          <w:color w:val="202733"/>
        </w:rPr>
        <w:t>Accepted records become available to attendance administration and dashboard reporting.</w:t>
      </w:r>
    </w:p>
    <w:tbl>
      <w:tblPr>
        <w:tblW w:type="dxa" w:w="9360"/>
        <w:jc w:val="left"/>
        <w:tblLayout w:type="fixed"/>
        <w:tblLook w:firstColumn="1" w:firstRow="1" w:lastColumn="0" w:lastRow="0" w:noHBand="0" w:noVBand="1" w:val="04A0"/>
        <w:tblInd w:w="120" w:type="dxa"/>
        <w:tblBorders>
          <w:top w:val="single" w:sz="4" w:space="0" w:color="FFF7E4"/>
          <w:left w:val="single" w:sz="4" w:space="0" w:color="FFF7E4"/>
          <w:bottom w:val="single" w:sz="4" w:space="0" w:color="FFF7E4"/>
          <w:right w:val="single" w:sz="4" w:space="0" w:color="FFF7E4"/>
          <w:insideH w:val="single" w:sz="4" w:space="0" w:color="FFF7E4"/>
          <w:insideV w:val="single" w:sz="4" w:space="0" w:color="FFF7E4"/>
        </w:tblBorders>
      </w:tblPr>
      <w:tblGrid>
        <w:gridCol w:w="9360"/>
      </w:tblGrid>
      <w:tr>
        <w:tc>
          <w:tcPr>
            <w:tcW w:type="dxa" w:w="9360"/>
            <w:tcMar>
              <w:top w:w="100" w:type="dxa"/>
              <w:start w:w="120" w:type="dxa"/>
              <w:bottom w:w="100" w:type="dxa"/>
              <w:end w:w="120" w:type="dxa"/>
            </w:tcMar>
            <w:shd w:fill="FFF7E4"/>
          </w:tcPr>
          <w:p>
            <w:pPr>
              <w:spacing w:after="0"/>
            </w:pPr>
            <w:r>
              <w:rPr>
                <w:rFonts w:ascii="Calibri" w:hAnsi="Calibri"/>
                <w:b/>
                <w:color w:val="1F4D78"/>
                <w:sz w:val="21"/>
              </w:rPr>
              <w:t xml:space="preserve">Hardware note  </w:t>
            </w:r>
            <w:r>
              <w:rPr>
                <w:rFonts w:ascii="Calibri" w:hAnsi="Calibri"/>
                <w:color w:val="202733"/>
                <w:sz w:val="21"/>
              </w:rPr>
              <w:t>The software accepts scanner-style keyboard input. Scanner devices, kiosk computer, network equipment, mounting, power backup, and on-site hardware installation are not included unless specifically listed in the commercial offer.</w:t>
            </w:r>
          </w:p>
        </w:tc>
      </w:tr>
    </w:tbl>
    <w:p>
      <w:pPr>
        <w:spacing w:after="40"/>
      </w:pPr>
    </w:p>
    <w:p>
      <w:r>
        <w:br w:type="page"/>
      </w:r>
    </w:p>
    <w:p>
      <w:pPr>
        <w:pStyle w:val="Heading1"/>
      </w:pPr>
      <w:r>
        <w:t>7. Proposed Delivery Scope</w:t>
      </w:r>
    </w:p>
    <w:p>
      <w:r>
        <w:t>Subject to final client confirmation, the proposed engagement may include:</w:t>
      </w:r>
    </w:p>
    <w:p>
      <w:pPr>
        <w:pStyle w:val="ListBullet"/>
        <w:keepLines/>
        <w:spacing w:after="80" w:line="290" w:lineRule="auto"/>
      </w:pPr>
      <w:r>
        <w:rPr>
          <w:rFonts w:ascii="Calibri" w:hAnsi="Calibri"/>
          <w:color w:val="202733"/>
        </w:rPr>
        <w:t>Deployment and configuration of the SMS web application for the agreed environment.</w:t>
      </w:r>
    </w:p>
    <w:p>
      <w:pPr>
        <w:pStyle w:val="ListBullet"/>
        <w:keepLines/>
        <w:spacing w:after="80" w:line="290" w:lineRule="auto"/>
      </w:pPr>
      <w:r>
        <w:rPr>
          <w:rFonts w:ascii="Calibri" w:hAnsi="Calibri"/>
          <w:color w:val="202733"/>
        </w:rPr>
        <w:t>Configuration of school name, logo, theme, portal addresses, school years, grades, subjects, and initial access accounts.</w:t>
      </w:r>
    </w:p>
    <w:p>
      <w:pPr>
        <w:pStyle w:val="ListBullet"/>
        <w:keepLines/>
        <w:spacing w:after="80" w:line="290" w:lineRule="auto"/>
      </w:pPr>
      <w:r>
        <w:rPr>
          <w:rFonts w:ascii="Calibri" w:hAnsi="Calibri"/>
          <w:color w:val="202733"/>
        </w:rPr>
        <w:t>Installation and configuration of the SMS Scanner on the agreed kiosk workstation(s).</w:t>
      </w:r>
    </w:p>
    <w:p>
      <w:pPr>
        <w:pStyle w:val="ListBullet"/>
        <w:keepLines/>
        <w:spacing w:after="80" w:line="290" w:lineRule="auto"/>
      </w:pPr>
      <w:r>
        <w:rPr>
          <w:rFonts w:ascii="Calibri" w:hAnsi="Calibri"/>
          <w:color w:val="202733"/>
        </w:rPr>
        <w:t>Basic validation of student synchronization and kiosk-to-SMS attendance posting.</w:t>
      </w:r>
    </w:p>
    <w:p>
      <w:pPr>
        <w:pStyle w:val="ListBullet"/>
        <w:keepLines/>
        <w:spacing w:after="80" w:line="290" w:lineRule="auto"/>
      </w:pPr>
      <w:r>
        <w:rPr>
          <w:rFonts w:ascii="Calibri" w:hAnsi="Calibri"/>
          <w:color w:val="202733"/>
        </w:rPr>
        <w:t>Administrator, teacher, and student orientation based on the approved rollout plan.</w:t>
      </w:r>
    </w:p>
    <w:p>
      <w:pPr>
        <w:pStyle w:val="ListBullet"/>
        <w:keepLines/>
        <w:spacing w:after="80" w:line="290" w:lineRule="auto"/>
      </w:pPr>
      <w:r>
        <w:rPr>
          <w:rFonts w:ascii="Calibri" w:hAnsi="Calibri"/>
          <w:color w:val="202733"/>
        </w:rPr>
        <w:t>Handover of editable import templates and agreed operating notes.</w:t>
      </w:r>
    </w:p>
    <w:p>
      <w:pPr>
        <w:pStyle w:val="Heading1"/>
      </w:pPr>
      <w:r>
        <w:t>8. Assumptions, Dependencies &amp; Boundaries</w:t>
      </w:r>
    </w:p>
    <w:p>
      <w:pPr>
        <w:pStyle w:val="Heading2"/>
      </w:pPr>
      <w:r>
        <w:t>Assumptions</w:t>
      </w:r>
    </w:p>
    <w:p>
      <w:pPr>
        <w:pStyle w:val="ListBullet"/>
        <w:keepLines/>
        <w:spacing w:after="80" w:line="290" w:lineRule="auto"/>
      </w:pPr>
      <w:r>
        <w:rPr>
          <w:rFonts w:ascii="Calibri" w:hAnsi="Calibri"/>
          <w:color w:val="202733"/>
        </w:rPr>
        <w:t>The client will provide validated school data, branding assets, user lists, academic structure, and authorized contacts.</w:t>
      </w:r>
    </w:p>
    <w:p>
      <w:pPr>
        <w:pStyle w:val="ListBullet"/>
        <w:keepLines/>
        <w:spacing w:after="80" w:line="290" w:lineRule="auto"/>
      </w:pPr>
      <w:r>
        <w:rPr>
          <w:rFonts w:ascii="Calibri" w:hAnsi="Calibri"/>
          <w:color w:val="202733"/>
        </w:rPr>
        <w:t>The hosting environment, domain/DNS, email delivery, file storage, backups, and security controls will be confirmed before deployment.</w:t>
      </w:r>
    </w:p>
    <w:p>
      <w:pPr>
        <w:pStyle w:val="ListBullet"/>
        <w:keepLines/>
        <w:spacing w:after="80" w:line="290" w:lineRule="auto"/>
      </w:pPr>
      <w:r>
        <w:rPr>
          <w:rFonts w:ascii="Calibri" w:hAnsi="Calibri"/>
          <w:color w:val="202733"/>
        </w:rPr>
        <w:t>Existing data will follow the supplied import format or will be assessed separately for migration effort.</w:t>
      </w:r>
    </w:p>
    <w:p>
      <w:pPr>
        <w:pStyle w:val="ListBullet"/>
        <w:keepLines/>
        <w:spacing w:after="80" w:line="290" w:lineRule="auto"/>
      </w:pPr>
      <w:r>
        <w:rPr>
          <w:rFonts w:ascii="Calibri" w:hAnsi="Calibri"/>
          <w:color w:val="202733"/>
        </w:rPr>
        <w:t>Portal permissions and visible functions will follow the implemented roles unless a revised authorization matrix is approved.</w:t>
      </w:r>
    </w:p>
    <w:p>
      <w:pPr>
        <w:pStyle w:val="Heading2"/>
      </w:pPr>
      <w:r>
        <w:t>Not Included Unless Separately Quoted</w:t>
      </w:r>
    </w:p>
    <w:p>
      <w:pPr>
        <w:pStyle w:val="ListBullet"/>
        <w:keepLines/>
        <w:spacing w:after="80" w:line="290" w:lineRule="auto"/>
      </w:pPr>
      <w:r>
        <w:rPr>
          <w:rFonts w:ascii="Calibri" w:hAnsi="Calibri"/>
          <w:color w:val="202733"/>
        </w:rPr>
        <w:t>New modules, major workflow changes, custom reports, or integrations not listed in this document.</w:t>
      </w:r>
    </w:p>
    <w:p>
      <w:pPr>
        <w:pStyle w:val="ListBullet"/>
        <w:keepLines/>
        <w:spacing w:after="80" w:line="290" w:lineRule="auto"/>
      </w:pPr>
      <w:r>
        <w:rPr>
          <w:rFonts w:ascii="Calibri" w:hAnsi="Calibri"/>
          <w:color w:val="202733"/>
        </w:rPr>
        <w:t>Biometric devices, RFID hardware, QR scanners, computers, networking, electrical works, or physical kiosk fabrication.</w:t>
      </w:r>
    </w:p>
    <w:p>
      <w:pPr>
        <w:pStyle w:val="ListBullet"/>
        <w:keepLines/>
        <w:spacing w:after="80" w:line="290" w:lineRule="auto"/>
      </w:pPr>
      <w:r>
        <w:rPr>
          <w:rFonts w:ascii="Calibri" w:hAnsi="Calibri"/>
          <w:color w:val="202733"/>
        </w:rPr>
        <w:t>Historical data cleansing, manual encoding, or complex migration from undocumented sources.</w:t>
      </w:r>
    </w:p>
    <w:p>
      <w:pPr>
        <w:pStyle w:val="ListBullet"/>
        <w:keepLines/>
        <w:spacing w:after="80" w:line="290" w:lineRule="auto"/>
      </w:pPr>
      <w:r>
        <w:rPr>
          <w:rFonts w:ascii="Calibri" w:hAnsi="Calibri"/>
          <w:color w:val="202733"/>
        </w:rPr>
        <w:t>Third-party subscriptions, hosting charges, domain fees, SMS/email credits, app-store fees, or paid certificates.</w:t>
      </w:r>
    </w:p>
    <w:p>
      <w:pPr>
        <w:pStyle w:val="ListBullet"/>
        <w:keepLines/>
        <w:spacing w:after="80" w:line="290" w:lineRule="auto"/>
      </w:pPr>
      <w:r>
        <w:rPr>
          <w:rFonts w:ascii="Calibri" w:hAnsi="Calibri"/>
          <w:color w:val="202733"/>
        </w:rPr>
        <w:t>Regulatory certification, independent penetration testing, or legal/privacy compliance services.</w:t>
      </w:r>
    </w:p>
    <w:p>
      <w:pPr>
        <w:pStyle w:val="Heading1"/>
      </w:pPr>
      <w:r>
        <w:t>9. Acceptance Approach</w:t>
      </w:r>
    </w:p>
    <w:p>
      <w:pPr>
        <w:pStyle w:val="ListBullet"/>
        <w:keepLines/>
        <w:spacing w:after="80" w:line="290" w:lineRule="auto"/>
      </w:pPr>
      <w:r>
        <w:rPr>
          <w:rFonts w:ascii="Calibri" w:hAnsi="Calibri"/>
          <w:color w:val="202733"/>
        </w:rPr>
        <w:t>The agreed portals open successfully and authorized users can sign in.</w:t>
      </w:r>
    </w:p>
    <w:p>
      <w:pPr>
        <w:pStyle w:val="ListBullet"/>
        <w:keepLines/>
        <w:spacing w:after="80" w:line="290" w:lineRule="auto"/>
      </w:pPr>
      <w:r>
        <w:rPr>
          <w:rFonts w:ascii="Calibri" w:hAnsi="Calibri"/>
          <w:color w:val="202733"/>
        </w:rPr>
        <w:t>Core CRUD operations work for the approved in-scope modules and maintain the documented relationships.</w:t>
      </w:r>
    </w:p>
    <w:p>
      <w:pPr>
        <w:pStyle w:val="ListBullet"/>
        <w:keepLines/>
        <w:spacing w:after="80" w:line="290" w:lineRule="auto"/>
      </w:pPr>
      <w:r>
        <w:rPr>
          <w:rFonts w:ascii="Calibri" w:hAnsi="Calibri"/>
          <w:color w:val="202733"/>
        </w:rPr>
        <w:t>Student import/export and the agreed reports complete using representative client data.</w:t>
      </w:r>
    </w:p>
    <w:p>
      <w:pPr>
        <w:pStyle w:val="ListBullet"/>
        <w:keepLines/>
        <w:spacing w:after="80" w:line="290" w:lineRule="auto"/>
      </w:pPr>
      <w:r>
        <w:rPr>
          <w:rFonts w:ascii="Calibri" w:hAnsi="Calibri"/>
          <w:color w:val="202733"/>
        </w:rPr>
        <w:t>The kiosk validates its server configuration, synchronizes students, records scans locally, and posts attendance to the SMS.</w:t>
      </w:r>
    </w:p>
    <w:p>
      <w:pPr>
        <w:pStyle w:val="ListBullet"/>
        <w:keepLines/>
        <w:spacing w:after="80" w:line="290" w:lineRule="auto"/>
      </w:pPr>
      <w:r>
        <w:rPr>
          <w:rFonts w:ascii="Calibri" w:hAnsi="Calibri"/>
          <w:color w:val="202733"/>
        </w:rPr>
        <w:t>Representative teacher and student portal workflows complete during user acceptance testing.</w:t>
      </w:r>
    </w:p>
    <w:p>
      <w:pPr>
        <w:pStyle w:val="ListBullet"/>
        <w:keepLines/>
        <w:spacing w:after="80" w:line="290" w:lineRule="auto"/>
      </w:pPr>
      <w:r>
        <w:rPr>
          <w:rFonts w:ascii="Calibri" w:hAnsi="Calibri"/>
          <w:color w:val="202733"/>
        </w:rPr>
        <w:t>Critical issues identified during the agreed acceptance period are resolved or documented with an approved disposition.</w:t>
      </w:r>
    </w:p>
    <w:p>
      <w:pPr>
        <w:pStyle w:val="Heading1"/>
      </w:pPr>
      <w:r>
        <w:t>10. Commercial &amp; Schedule Placeholders</w:t>
      </w:r>
    </w:p>
    <w:p>
      <w:pPr>
        <w:keepNext/>
      </w:pPr>
      <w:r>
        <w:t>Complete the fields below after the final scope workshop. Amounts should identify applicable taxes, recurring fees, payment milestones, and proposal validity.</w:t>
      </w:r>
    </w:p>
    <w:tbl>
      <w:tblPr>
        <w:tblW w:type="dxa" w:w="9360"/>
        <w:tblLayout w:type="fixed"/>
        <w:tblLook w:firstColumn="1" w:firstRow="1" w:lastColumn="0" w:lastRow="0" w:noHBand="0" w:noVBand="1" w:val="04A0"/>
        <w:jc w:val="left"/>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3000"/>
        <w:gridCol w:w="6360"/>
      </w:tblGrid>
      <w:tr>
        <w:trPr>
          <w:tblHeader w:val="true"/>
        </w:trPr>
        <w:tc>
          <w:tcPr>
            <w:tcW w:type="dxa" w:w="3000"/>
            <w:tcMar>
              <w:top w:w="100" w:type="dxa"/>
              <w:start w:w="120" w:type="dxa"/>
              <w:bottom w:w="100" w:type="dxa"/>
              <w:end w:w="120" w:type="dxa"/>
            </w:tcMar>
            <w:shd w:fill="26364A"/>
          </w:tcPr>
          <w:p>
            <w:r>
              <w:rPr>
                <w:rFonts w:ascii="Calibri" w:hAnsi="Calibri"/>
                <w:b/>
                <w:color w:val="FFFFFF"/>
                <w:sz w:val="19"/>
              </w:rPr>
              <w:t>Commercial item</w:t>
            </w:r>
          </w:p>
        </w:tc>
        <w:tc>
          <w:tcPr>
            <w:tcW w:type="dxa" w:w="6360"/>
            <w:tcMar>
              <w:top w:w="100" w:type="dxa"/>
              <w:start w:w="120" w:type="dxa"/>
              <w:bottom w:w="100" w:type="dxa"/>
              <w:end w:w="120" w:type="dxa"/>
            </w:tcMar>
            <w:shd w:fill="26364A"/>
          </w:tcPr>
          <w:p>
            <w:r>
              <w:rPr>
                <w:rFonts w:ascii="Calibri" w:hAnsi="Calibri"/>
                <w:b/>
                <w:color w:val="FFFFFF"/>
                <w:sz w:val="19"/>
              </w:rPr>
              <w:t>To be completed</w:t>
            </w:r>
          </w:p>
        </w:tc>
      </w:tr>
      <w:tr>
        <w:tc>
          <w:tcPr>
            <w:tcW w:type="dxa" w:w="3000"/>
            <w:vAlign w:val="center"/>
            <w:tcMar>
              <w:top w:w="100" w:type="dxa"/>
              <w:start w:w="120" w:type="dxa"/>
              <w:bottom w:w="100" w:type="dxa"/>
              <w:end w:w="120" w:type="dxa"/>
            </w:tcMar>
          </w:tcPr>
          <w:p>
            <w:r>
              <w:rPr>
                <w:rFonts w:ascii="Calibri" w:hAnsi="Calibri"/>
                <w:b/>
                <w:color w:val="202733"/>
                <w:sz w:val="19"/>
              </w:rPr>
              <w:t>Implementation fee</w:t>
            </w:r>
          </w:p>
        </w:tc>
        <w:tc>
          <w:tcPr>
            <w:tcW w:type="dxa" w:w="6360"/>
            <w:vAlign w:val="center"/>
            <w:tcMar>
              <w:top w:w="100" w:type="dxa"/>
              <w:start w:w="120" w:type="dxa"/>
              <w:bottom w:w="100" w:type="dxa"/>
              <w:end w:w="120" w:type="dxa"/>
            </w:tcMar>
          </w:tcPr>
          <w:p>
            <w:r>
              <w:rPr>
                <w:rFonts w:ascii="Calibri" w:hAnsi="Calibri"/>
                <w:b w:val="0"/>
                <w:color w:val="202733"/>
                <w:sz w:val="19"/>
              </w:rPr>
              <w:t>PHP ______________________________</w:t>
            </w:r>
          </w:p>
        </w:tc>
      </w:tr>
      <w:tr>
        <w:tc>
          <w:tcPr>
            <w:tcW w:type="dxa" w:w="3000"/>
            <w:vAlign w:val="center"/>
            <w:shd w:fill="F4F6F9"/>
            <w:tcMar>
              <w:top w:w="100" w:type="dxa"/>
              <w:start w:w="120" w:type="dxa"/>
              <w:bottom w:w="100" w:type="dxa"/>
              <w:end w:w="120" w:type="dxa"/>
            </w:tcMar>
          </w:tcPr>
          <w:p>
            <w:r>
              <w:rPr>
                <w:rFonts w:ascii="Calibri" w:hAnsi="Calibri"/>
                <w:b/>
                <w:color w:val="202733"/>
                <w:sz w:val="19"/>
              </w:rPr>
              <w:t>Hosting / recurring fee</w:t>
            </w:r>
          </w:p>
        </w:tc>
        <w:tc>
          <w:tcPr>
            <w:tcW w:type="dxa" w:w="6360"/>
            <w:vAlign w:val="center"/>
            <w:shd w:fill="F4F6F9"/>
            <w:tcMar>
              <w:top w:w="100" w:type="dxa"/>
              <w:start w:w="120" w:type="dxa"/>
              <w:bottom w:w="100" w:type="dxa"/>
              <w:end w:w="120" w:type="dxa"/>
            </w:tcMar>
          </w:tcPr>
          <w:p>
            <w:r>
              <w:rPr>
                <w:rFonts w:ascii="Calibri" w:hAnsi="Calibri"/>
                <w:b w:val="0"/>
                <w:color w:val="202733"/>
                <w:sz w:val="19"/>
              </w:rPr>
              <w:t>PHP ______________________________ per __________</w:t>
            </w:r>
          </w:p>
        </w:tc>
      </w:tr>
      <w:tr>
        <w:tc>
          <w:tcPr>
            <w:tcW w:type="dxa" w:w="3000"/>
            <w:vAlign w:val="center"/>
            <w:tcMar>
              <w:top w:w="100" w:type="dxa"/>
              <w:start w:w="120" w:type="dxa"/>
              <w:bottom w:w="100" w:type="dxa"/>
              <w:end w:w="120" w:type="dxa"/>
            </w:tcMar>
          </w:tcPr>
          <w:p>
            <w:r>
              <w:rPr>
                <w:rFonts w:ascii="Calibri" w:hAnsi="Calibri"/>
                <w:b/>
                <w:color w:val="202733"/>
                <w:sz w:val="19"/>
              </w:rPr>
              <w:t>Support &amp; maintenance</w:t>
            </w:r>
          </w:p>
        </w:tc>
        <w:tc>
          <w:tcPr>
            <w:tcW w:type="dxa" w:w="6360"/>
            <w:vAlign w:val="center"/>
            <w:tcMar>
              <w:top w:w="100" w:type="dxa"/>
              <w:start w:w="120" w:type="dxa"/>
              <w:bottom w:w="100" w:type="dxa"/>
              <w:end w:w="120" w:type="dxa"/>
            </w:tcMar>
          </w:tcPr>
          <w:p>
            <w:r>
              <w:rPr>
                <w:rFonts w:ascii="Calibri" w:hAnsi="Calibri"/>
                <w:b w:val="0"/>
                <w:color w:val="202733"/>
                <w:sz w:val="19"/>
              </w:rPr>
              <w:t>____________________________________________</w:t>
            </w:r>
          </w:p>
        </w:tc>
      </w:tr>
      <w:tr>
        <w:tc>
          <w:tcPr>
            <w:tcW w:type="dxa" w:w="3000"/>
            <w:vAlign w:val="center"/>
            <w:shd w:fill="F4F6F9"/>
            <w:tcMar>
              <w:top w:w="100" w:type="dxa"/>
              <w:start w:w="120" w:type="dxa"/>
              <w:bottom w:w="100" w:type="dxa"/>
              <w:end w:w="120" w:type="dxa"/>
            </w:tcMar>
          </w:tcPr>
          <w:p>
            <w:r>
              <w:rPr>
                <w:rFonts w:ascii="Calibri" w:hAnsi="Calibri"/>
                <w:b/>
                <w:color w:val="202733"/>
                <w:sz w:val="19"/>
              </w:rPr>
              <w:t>Target start date</w:t>
            </w:r>
          </w:p>
        </w:tc>
        <w:tc>
          <w:tcPr>
            <w:tcW w:type="dxa" w:w="6360"/>
            <w:vAlign w:val="center"/>
            <w:shd w:fill="F4F6F9"/>
            <w:tcMar>
              <w:top w:w="100" w:type="dxa"/>
              <w:start w:w="120" w:type="dxa"/>
              <w:bottom w:w="100" w:type="dxa"/>
              <w:end w:w="120" w:type="dxa"/>
            </w:tcMar>
          </w:tcPr>
          <w:p>
            <w:r>
              <w:rPr>
                <w:rFonts w:ascii="Calibri" w:hAnsi="Calibri"/>
                <w:b w:val="0"/>
                <w:color w:val="202733"/>
                <w:sz w:val="19"/>
              </w:rPr>
              <w:t>____________________________________________</w:t>
            </w:r>
          </w:p>
        </w:tc>
      </w:tr>
      <w:tr>
        <w:tc>
          <w:tcPr>
            <w:tcW w:type="dxa" w:w="3000"/>
            <w:vAlign w:val="center"/>
            <w:tcMar>
              <w:top w:w="100" w:type="dxa"/>
              <w:start w:w="120" w:type="dxa"/>
              <w:bottom w:w="100" w:type="dxa"/>
              <w:end w:w="120" w:type="dxa"/>
            </w:tcMar>
          </w:tcPr>
          <w:p>
            <w:r>
              <w:rPr>
                <w:rFonts w:ascii="Calibri" w:hAnsi="Calibri"/>
                <w:b/>
                <w:color w:val="202733"/>
                <w:sz w:val="19"/>
              </w:rPr>
              <w:t>Estimated rollout</w:t>
            </w:r>
          </w:p>
        </w:tc>
        <w:tc>
          <w:tcPr>
            <w:tcW w:type="dxa" w:w="6360"/>
            <w:vAlign w:val="center"/>
            <w:tcMar>
              <w:top w:w="100" w:type="dxa"/>
              <w:start w:w="120" w:type="dxa"/>
              <w:bottom w:w="100" w:type="dxa"/>
              <w:end w:w="120" w:type="dxa"/>
            </w:tcMar>
          </w:tcPr>
          <w:p>
            <w:r>
              <w:rPr>
                <w:rFonts w:ascii="Calibri" w:hAnsi="Calibri"/>
                <w:b w:val="0"/>
                <w:color w:val="202733"/>
                <w:sz w:val="19"/>
              </w:rPr>
              <w:t>____________________________________________</w:t>
            </w:r>
          </w:p>
        </w:tc>
      </w:tr>
      <w:tr>
        <w:tc>
          <w:tcPr>
            <w:tcW w:type="dxa" w:w="3000"/>
            <w:vAlign w:val="center"/>
            <w:shd w:fill="F4F6F9"/>
            <w:tcMar>
              <w:top w:w="100" w:type="dxa"/>
              <w:start w:w="120" w:type="dxa"/>
              <w:bottom w:w="100" w:type="dxa"/>
              <w:end w:w="120" w:type="dxa"/>
            </w:tcMar>
          </w:tcPr>
          <w:p>
            <w:r>
              <w:rPr>
                <w:rFonts w:ascii="Calibri" w:hAnsi="Calibri"/>
                <w:b/>
                <w:color w:val="202733"/>
                <w:sz w:val="19"/>
              </w:rPr>
              <w:t>Proposal validity</w:t>
            </w:r>
          </w:p>
        </w:tc>
        <w:tc>
          <w:tcPr>
            <w:tcW w:type="dxa" w:w="6360"/>
            <w:vAlign w:val="center"/>
            <w:shd w:fill="F4F6F9"/>
            <w:tcMar>
              <w:top w:w="100" w:type="dxa"/>
              <w:start w:w="120" w:type="dxa"/>
              <w:bottom w:w="100" w:type="dxa"/>
              <w:end w:w="120" w:type="dxa"/>
            </w:tcMar>
          </w:tcPr>
          <w:p>
            <w:r>
              <w:rPr>
                <w:rFonts w:ascii="Calibri" w:hAnsi="Calibri"/>
                <w:b w:val="0"/>
                <w:color w:val="202733"/>
                <w:sz w:val="19"/>
              </w:rPr>
              <w:t>____________________________________________</w:t>
            </w:r>
          </w:p>
        </w:tc>
      </w:tr>
      <w:tr>
        <w:tc>
          <w:tcPr>
            <w:tcW w:type="dxa" w:w="3000"/>
            <w:vAlign w:val="center"/>
            <w:tcMar>
              <w:top w:w="100" w:type="dxa"/>
              <w:start w:w="120" w:type="dxa"/>
              <w:bottom w:w="100" w:type="dxa"/>
              <w:end w:w="120" w:type="dxa"/>
            </w:tcMar>
          </w:tcPr>
          <w:p>
            <w:r>
              <w:rPr>
                <w:rFonts w:ascii="Calibri" w:hAnsi="Calibri"/>
                <w:b/>
                <w:color w:val="202733"/>
                <w:sz w:val="19"/>
              </w:rPr>
              <w:t>Payment terms</w:t>
            </w:r>
          </w:p>
        </w:tc>
        <w:tc>
          <w:tcPr>
            <w:tcW w:type="dxa" w:w="6360"/>
            <w:vAlign w:val="center"/>
            <w:tcMar>
              <w:top w:w="100" w:type="dxa"/>
              <w:start w:w="120" w:type="dxa"/>
              <w:bottom w:w="100" w:type="dxa"/>
              <w:end w:w="120" w:type="dxa"/>
            </w:tcMar>
          </w:tcPr>
          <w:p>
            <w:r>
              <w:rPr>
                <w:rFonts w:ascii="Calibri" w:hAnsi="Calibri"/>
                <w:b w:val="0"/>
                <w:color w:val="202733"/>
                <w:sz w:val="19"/>
              </w:rPr>
              <w:t>____________________________________________</w:t>
            </w:r>
          </w:p>
        </w:tc>
      </w:tr>
    </w:tbl>
    <w:p>
      <w:r>
        <w:br w:type="page"/>
      </w:r>
    </w:p>
    <w:p>
      <w:pPr>
        <w:pStyle w:val="Heading1"/>
      </w:pPr>
      <w:r>
        <w:t>11. Confirmation &amp; Sign-Off</w:t>
      </w:r>
    </w:p>
    <w:p>
      <w:r>
        <w:t>By signing below, the parties confirm that this document is the working basis for the final scope. Any material change will be documented and approved through an agreed change-control process.</w:t>
      </w: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tcMar>
              <w:top w:w="100" w:type="dxa"/>
              <w:start w:w="120" w:type="dxa"/>
              <w:bottom w:w="100" w:type="dxa"/>
              <w:end w:w="120" w:type="dxa"/>
            </w:tcMar>
          </w:tcPr>
          <w:p>
            <w:pPr>
              <w:spacing w:after="100"/>
            </w:pPr>
            <w:r>
              <w:rPr>
                <w:rFonts w:ascii="Calibri" w:hAnsi="Calibri"/>
                <w:b/>
                <w:color w:val="26364A"/>
                <w:sz w:val="22"/>
              </w:rPr>
              <w:t>For the Client</w:t>
            </w:r>
          </w:p>
        </w:tc>
        <w:tc>
          <w:tcPr>
            <w:tcW w:type="dxa" w:w="4680"/>
            <w:tcMar>
              <w:top w:w="100" w:type="dxa"/>
              <w:start w:w="120" w:type="dxa"/>
              <w:bottom w:w="100" w:type="dxa"/>
              <w:end w:w="120" w:type="dxa"/>
            </w:tcMar>
          </w:tcPr>
          <w:p>
            <w:pPr>
              <w:spacing w:after="100"/>
            </w:pPr>
            <w:r>
              <w:rPr>
                <w:rFonts w:ascii="Calibri" w:hAnsi="Calibri"/>
                <w:b/>
                <w:color w:val="26364A"/>
                <w:sz w:val="22"/>
              </w:rPr>
              <w:t>For the Project Team</w:t>
            </w:r>
          </w:p>
        </w:tc>
      </w:tr>
      <w:tr>
        <w:tc>
          <w:tcPr>
            <w:tcW w:type="dxa" w:w="4680"/>
            <w:tcMar>
              <w:top w:w="100" w:type="dxa"/>
              <w:start w:w="120" w:type="dxa"/>
              <w:bottom w:w="100" w:type="dxa"/>
              <w:end w:w="120" w:type="dxa"/>
            </w:tcMar>
          </w:tcPr>
          <w:p>
            <w:pPr>
              <w:spacing w:after="100"/>
            </w:pPr>
            <w:r>
              <w:rPr>
                <w:rFonts w:ascii="Calibri" w:hAnsi="Calibri"/>
                <w:b w:val="0"/>
                <w:color w:val="202733"/>
                <w:sz w:val="21"/>
              </w:rPr>
            </w:r>
          </w:p>
        </w:tc>
        <w:tc>
          <w:tcPr>
            <w:tcW w:type="dxa" w:w="4680"/>
            <w:tcMar>
              <w:top w:w="100" w:type="dxa"/>
              <w:start w:w="120" w:type="dxa"/>
              <w:bottom w:w="100" w:type="dxa"/>
              <w:end w:w="120" w:type="dxa"/>
            </w:tcMar>
          </w:tcPr>
          <w:p>
            <w:pPr>
              <w:spacing w:after="100"/>
            </w:pPr>
            <w:r>
              <w:rPr>
                <w:rFonts w:ascii="Calibri" w:hAnsi="Calibri"/>
                <w:b w:val="0"/>
                <w:color w:val="202733"/>
                <w:sz w:val="21"/>
              </w:rPr>
            </w:r>
          </w:p>
        </w:tc>
      </w:tr>
      <w:tr>
        <w:tc>
          <w:tcPr>
            <w:tcW w:type="dxa" w:w="4680"/>
            <w:tcMar>
              <w:top w:w="100" w:type="dxa"/>
              <w:start w:w="120" w:type="dxa"/>
              <w:bottom w:w="100" w:type="dxa"/>
              <w:end w:w="120" w:type="dxa"/>
            </w:tcMar>
          </w:tcPr>
          <w:p>
            <w:pPr>
              <w:spacing w:after="100"/>
            </w:pPr>
            <w:r>
              <w:rPr>
                <w:rFonts w:ascii="Calibri" w:hAnsi="Calibri"/>
                <w:b w:val="0"/>
                <w:color w:val="202733"/>
                <w:sz w:val="21"/>
              </w:rPr>
              <w:t>Name: __________________________</w:t>
            </w:r>
          </w:p>
        </w:tc>
        <w:tc>
          <w:tcPr>
            <w:tcW w:type="dxa" w:w="4680"/>
            <w:tcMar>
              <w:top w:w="100" w:type="dxa"/>
              <w:start w:w="120" w:type="dxa"/>
              <w:bottom w:w="100" w:type="dxa"/>
              <w:end w:w="120" w:type="dxa"/>
            </w:tcMar>
          </w:tcPr>
          <w:p>
            <w:pPr>
              <w:spacing w:after="100"/>
            </w:pPr>
            <w:r>
              <w:rPr>
                <w:rFonts w:ascii="Calibri" w:hAnsi="Calibri"/>
                <w:b w:val="0"/>
                <w:color w:val="202733"/>
                <w:sz w:val="21"/>
              </w:rPr>
              <w:t>Name: __________________________</w:t>
            </w:r>
          </w:p>
        </w:tc>
      </w:tr>
      <w:tr>
        <w:tc>
          <w:tcPr>
            <w:tcW w:type="dxa" w:w="4680"/>
            <w:tcMar>
              <w:top w:w="100" w:type="dxa"/>
              <w:start w:w="120" w:type="dxa"/>
              <w:bottom w:w="100" w:type="dxa"/>
              <w:end w:w="120" w:type="dxa"/>
            </w:tcMar>
          </w:tcPr>
          <w:p>
            <w:pPr>
              <w:spacing w:after="100"/>
            </w:pPr>
            <w:r>
              <w:rPr>
                <w:rFonts w:ascii="Calibri" w:hAnsi="Calibri"/>
                <w:b w:val="0"/>
                <w:color w:val="202733"/>
                <w:sz w:val="21"/>
              </w:rPr>
              <w:t>Title: ___________________________</w:t>
            </w:r>
          </w:p>
        </w:tc>
        <w:tc>
          <w:tcPr>
            <w:tcW w:type="dxa" w:w="4680"/>
            <w:tcMar>
              <w:top w:w="100" w:type="dxa"/>
              <w:start w:w="120" w:type="dxa"/>
              <w:bottom w:w="100" w:type="dxa"/>
              <w:end w:w="120" w:type="dxa"/>
            </w:tcMar>
          </w:tcPr>
          <w:p>
            <w:pPr>
              <w:spacing w:after="100"/>
            </w:pPr>
            <w:r>
              <w:rPr>
                <w:rFonts w:ascii="Calibri" w:hAnsi="Calibri"/>
                <w:b w:val="0"/>
                <w:color w:val="202733"/>
                <w:sz w:val="21"/>
              </w:rPr>
              <w:t>Title: ___________________________</w:t>
            </w:r>
          </w:p>
        </w:tc>
      </w:tr>
      <w:tr>
        <w:tc>
          <w:tcPr>
            <w:tcW w:type="dxa" w:w="4680"/>
            <w:tcMar>
              <w:top w:w="100" w:type="dxa"/>
              <w:start w:w="120" w:type="dxa"/>
              <w:bottom w:w="100" w:type="dxa"/>
              <w:end w:w="120" w:type="dxa"/>
            </w:tcMar>
          </w:tcPr>
          <w:p>
            <w:pPr>
              <w:spacing w:after="100"/>
            </w:pPr>
            <w:r>
              <w:rPr>
                <w:rFonts w:ascii="Calibri" w:hAnsi="Calibri"/>
                <w:b w:val="0"/>
                <w:color w:val="202733"/>
                <w:sz w:val="21"/>
              </w:rPr>
              <w:t>Signature: _______________________</w:t>
            </w:r>
          </w:p>
        </w:tc>
        <w:tc>
          <w:tcPr>
            <w:tcW w:type="dxa" w:w="4680"/>
            <w:tcMar>
              <w:top w:w="100" w:type="dxa"/>
              <w:start w:w="120" w:type="dxa"/>
              <w:bottom w:w="100" w:type="dxa"/>
              <w:end w:w="120" w:type="dxa"/>
            </w:tcMar>
          </w:tcPr>
          <w:p>
            <w:pPr>
              <w:spacing w:after="100"/>
            </w:pPr>
            <w:r>
              <w:rPr>
                <w:rFonts w:ascii="Calibri" w:hAnsi="Calibri"/>
                <w:b w:val="0"/>
                <w:color w:val="202733"/>
                <w:sz w:val="21"/>
              </w:rPr>
              <w:t>Signature: _______________________</w:t>
            </w:r>
          </w:p>
        </w:tc>
      </w:tr>
      <w:tr>
        <w:tc>
          <w:tcPr>
            <w:tcW w:type="dxa" w:w="4680"/>
            <w:tcMar>
              <w:top w:w="100" w:type="dxa"/>
              <w:start w:w="120" w:type="dxa"/>
              <w:bottom w:w="100" w:type="dxa"/>
              <w:end w:w="120" w:type="dxa"/>
            </w:tcMar>
          </w:tcPr>
          <w:p>
            <w:pPr>
              <w:spacing w:after="100"/>
            </w:pPr>
            <w:r>
              <w:rPr>
                <w:rFonts w:ascii="Calibri" w:hAnsi="Calibri"/>
                <w:b w:val="0"/>
                <w:color w:val="202733"/>
                <w:sz w:val="21"/>
              </w:rPr>
              <w:t>Date: ____________________________</w:t>
            </w:r>
          </w:p>
        </w:tc>
        <w:tc>
          <w:tcPr>
            <w:tcW w:type="dxa" w:w="4680"/>
            <w:tcMar>
              <w:top w:w="100" w:type="dxa"/>
              <w:start w:w="120" w:type="dxa"/>
              <w:bottom w:w="100" w:type="dxa"/>
              <w:end w:w="120" w:type="dxa"/>
            </w:tcMar>
          </w:tcPr>
          <w:p>
            <w:pPr>
              <w:spacing w:after="100"/>
            </w:pPr>
            <w:r>
              <w:rPr>
                <w:rFonts w:ascii="Calibri" w:hAnsi="Calibri"/>
                <w:b w:val="0"/>
                <w:color w:val="202733"/>
                <w:sz w:val="21"/>
              </w:rPr>
              <w:t>Date: ____________________________</w:t>
            </w:r>
          </w:p>
        </w:tc>
      </w:tr>
    </w:tbl>
    <w:p>
      <w:pPr>
        <w:spacing w:after="360"/>
      </w:pPr>
    </w:p>
    <w:tbl>
      <w:tblPr>
        <w:tblW w:type="dxa" w:w="9360"/>
        <w:jc w:val="left"/>
        <w:tblLayout w:type="fixed"/>
        <w:tblLook w:firstColumn="1" w:firstRow="1" w:lastColumn="0" w:lastRow="0" w:noHBand="0" w:noVBand="1" w:val="04A0"/>
        <w:tblInd w:w="120" w:type="dxa"/>
        <w:tblBorders>
          <w:top w:val="single" w:sz="4" w:space="0" w:color="EDF4FA"/>
          <w:left w:val="single" w:sz="4" w:space="0" w:color="EDF4FA"/>
          <w:bottom w:val="single" w:sz="4" w:space="0" w:color="EDF4FA"/>
          <w:right w:val="single" w:sz="4" w:space="0" w:color="EDF4FA"/>
          <w:insideH w:val="single" w:sz="4" w:space="0" w:color="EDF4FA"/>
          <w:insideV w:val="single" w:sz="4" w:space="0" w:color="EDF4FA"/>
        </w:tblBorders>
      </w:tblPr>
      <w:tblGrid>
        <w:gridCol w:w="9360"/>
      </w:tblGrid>
      <w:tr>
        <w:tc>
          <w:tcPr>
            <w:tcW w:type="dxa" w:w="9360"/>
            <w:tcMar>
              <w:top w:w="100" w:type="dxa"/>
              <w:start w:w="120" w:type="dxa"/>
              <w:bottom w:w="100" w:type="dxa"/>
              <w:end w:w="120" w:type="dxa"/>
            </w:tcMar>
            <w:shd w:fill="EDF4FA"/>
          </w:tcPr>
          <w:p>
            <w:pPr>
              <w:spacing w:after="0"/>
            </w:pPr>
            <w:r>
              <w:rPr>
                <w:rFonts w:ascii="Calibri" w:hAnsi="Calibri"/>
                <w:b/>
                <w:color w:val="1F4D78"/>
                <w:sz w:val="21"/>
              </w:rPr>
              <w:t xml:space="preserve">Editing note  </w:t>
            </w:r>
            <w:r>
              <w:rPr>
                <w:rFonts w:ascii="Calibri" w:hAnsi="Calibri"/>
                <w:color w:val="202733"/>
                <w:sz w:val="21"/>
              </w:rPr>
              <w:t>This file is intentionally delivered in Microsoft Word format. Replace the client name, project-team details, commercial values, schedule, and any scope decisions before issuing the final signed proposal.</w:t>
            </w:r>
          </w:p>
        </w:tc>
      </w:tr>
    </w:tbl>
    <w:p>
      <w:pPr>
        <w:spacing w:after="4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97586"/>
        <w:sz w:val="17"/>
      </w:rPr>
      <w:t xml:space="preserve">Client-ready working document   •   July 14,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97586"/>
        <w:sz w:val="17"/>
      </w:rPr>
      <w:t>SCHOOL MANAGEMENT SYSTEM  |  SCOPE &amp;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0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Management System - Scope and Proposal</dc:title>
  <dc:subject>Client-facing system capabilities, integration scope, and proposal boundaries</dc:subject>
  <dc:creator>Project Team</dc:creator>
  <cp:keywords>school management system, scope, proposal, attendance kiosk, SMS Scanner</cp:keywords>
  <dc:description>generated by python-docx</dc:description>
  <cp:lastModifiedBy/>
  <cp:revision>1</cp:revision>
  <dcterms:created xsi:type="dcterms:W3CDTF">2013-12-23T23:15:00Z</dcterms:created>
  <dcterms:modified xsi:type="dcterms:W3CDTF">2013-12-23T23:15:00Z</dcterms:modified>
  <cp:category/>
</cp:coreProperties>
</file>