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07C8B" w14:textId="533C219F" w:rsidR="00236D3F" w:rsidRPr="00386A45" w:rsidRDefault="00236D3F" w:rsidP="00386A4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386A4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Project report</w:t>
      </w:r>
    </w:p>
    <w:p w14:paraId="790667D8" w14:textId="5FA3B5C8" w:rsidR="00386A45" w:rsidRPr="00386A45" w:rsidRDefault="00386A45" w:rsidP="00386A4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86A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Abraham Dumani</w:t>
      </w:r>
    </w:p>
    <w:p w14:paraId="190BC00F" w14:textId="49562E06" w:rsidR="00236D3F" w:rsidRPr="00BB6429" w:rsidRDefault="00236D3F" w:rsidP="00236D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4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Overview:</w:t>
      </w:r>
    </w:p>
    <w:p w14:paraId="72D3B133" w14:textId="21990529" w:rsidR="00236D3F" w:rsidRPr="00BB6429" w:rsidRDefault="00236D3F" w:rsidP="00236D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429">
        <w:rPr>
          <w:rFonts w:ascii="Times New Roman" w:eastAsia="Times New Roman" w:hAnsi="Times New Roman" w:cs="Times New Roman"/>
          <w:kern w:val="0"/>
          <w14:ligatures w14:val="none"/>
        </w:rPr>
        <w:t xml:space="preserve">This project presents a Discounted Cash Flow (DCF) </w:t>
      </w:r>
      <w:r w:rsidR="00386A45" w:rsidRPr="00386A45">
        <w:rPr>
          <w:rFonts w:ascii="Times New Roman" w:eastAsia="Times New Roman" w:hAnsi="Times New Roman" w:cs="Times New Roman"/>
          <w:kern w:val="0"/>
          <w14:ligatures w14:val="none"/>
        </w:rPr>
        <w:t xml:space="preserve">and some dashboards </w:t>
      </w:r>
      <w:r w:rsidRPr="00BB6429">
        <w:rPr>
          <w:rFonts w:ascii="Times New Roman" w:eastAsia="Times New Roman" w:hAnsi="Times New Roman" w:cs="Times New Roman"/>
          <w:kern w:val="0"/>
          <w14:ligatures w14:val="none"/>
        </w:rPr>
        <w:t>valuation of CrowdStrike Holdings, Inc. (NASDAQ: CRWD) using two methods:</w:t>
      </w:r>
    </w:p>
    <w:p w14:paraId="3E41E2BF" w14:textId="77777777" w:rsidR="00236D3F" w:rsidRPr="00BB6429" w:rsidRDefault="00236D3F" w:rsidP="00236D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429">
        <w:rPr>
          <w:rFonts w:ascii="Times New Roman" w:eastAsia="Times New Roman" w:hAnsi="Times New Roman" w:cs="Times New Roman"/>
          <w:kern w:val="0"/>
          <w14:ligatures w14:val="none"/>
        </w:rPr>
        <w:t>Exit Multiple Method</w:t>
      </w:r>
    </w:p>
    <w:p w14:paraId="00A47E8D" w14:textId="77777777" w:rsidR="00236D3F" w:rsidRPr="00386A45" w:rsidRDefault="00236D3F" w:rsidP="00236D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429">
        <w:rPr>
          <w:rFonts w:ascii="Times New Roman" w:eastAsia="Times New Roman" w:hAnsi="Times New Roman" w:cs="Times New Roman"/>
          <w:kern w:val="0"/>
          <w14:ligatures w14:val="none"/>
        </w:rPr>
        <w:t>Perpetuity Growth Method</w:t>
      </w:r>
    </w:p>
    <w:p w14:paraId="42AF2403" w14:textId="53A893ED" w:rsidR="00386A45" w:rsidRPr="00BB6429" w:rsidRDefault="00386A45" w:rsidP="00386A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6A45">
        <w:rPr>
          <w:rFonts w:ascii="Times New Roman" w:eastAsia="Times New Roman" w:hAnsi="Times New Roman" w:cs="Times New Roman"/>
          <w:kern w:val="0"/>
          <w14:ligatures w14:val="none"/>
        </w:rPr>
        <w:t>As well as some dashboards showing key financial metrics.</w:t>
      </w:r>
    </w:p>
    <w:p w14:paraId="41978D70" w14:textId="77777777" w:rsidR="00236D3F" w:rsidRPr="00BB6429" w:rsidRDefault="00236D3F" w:rsidP="00236D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429">
        <w:rPr>
          <w:rFonts w:ascii="Times New Roman" w:eastAsia="Times New Roman" w:hAnsi="Times New Roman" w:cs="Times New Roman"/>
          <w:kern w:val="0"/>
          <w14:ligatures w14:val="none"/>
        </w:rPr>
        <w:t>The goal is to assess the company’s intrinsic value by forecasting future unlevered free cash flows and discounting them using an appropriate WACC.</w:t>
      </w:r>
    </w:p>
    <w:p w14:paraId="6E19CD97" w14:textId="77777777" w:rsidR="00236D3F" w:rsidRPr="00BB6429" w:rsidRDefault="0085401C" w:rsidP="00236D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401C">
        <w:rPr>
          <w:rFonts w:ascii="Times New Roman" w:eastAsia="Times New Roman" w:hAnsi="Times New Roman" w:cs="Times New Roman"/>
          <w:noProof/>
          <w:kern w:val="0"/>
        </w:rPr>
        <w:pict w14:anchorId="64EA74A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EF0FF3B" w14:textId="1470D563" w:rsidR="00236D3F" w:rsidRPr="00BB6429" w:rsidRDefault="00236D3F" w:rsidP="00236D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B64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Insights:</w:t>
      </w:r>
    </w:p>
    <w:p w14:paraId="2E7C717F" w14:textId="77777777" w:rsidR="00236D3F" w:rsidRPr="00BB6429" w:rsidRDefault="00236D3F" w:rsidP="00236D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429">
        <w:rPr>
          <w:rFonts w:ascii="Times New Roman" w:eastAsia="Times New Roman" w:hAnsi="Times New Roman" w:cs="Times New Roman"/>
          <w:kern w:val="0"/>
          <w14:ligatures w14:val="none"/>
        </w:rPr>
        <w:t>WACC: 9.69% — consistent with CrowdStrike’s SaaS sector peers and adjusted for current interest rates and equity risk premiums.</w:t>
      </w:r>
    </w:p>
    <w:p w14:paraId="5057438B" w14:textId="1EADEE99" w:rsidR="00386A45" w:rsidRPr="00BB6429" w:rsidRDefault="00236D3F" w:rsidP="00386A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429">
        <w:rPr>
          <w:rFonts w:ascii="Times New Roman" w:eastAsia="Times New Roman" w:hAnsi="Times New Roman" w:cs="Times New Roman"/>
          <w:kern w:val="0"/>
          <w14:ligatures w14:val="none"/>
        </w:rPr>
        <w:t>Exit Multiple (12× EBITDA): Selected conservatively based on current and historical software comps.</w:t>
      </w:r>
      <w:r w:rsidR="00386A45" w:rsidRPr="00386A45">
        <w:rPr>
          <w:rFonts w:ascii="Times New Roman" w:eastAsia="Times New Roman" w:hAnsi="Times New Roman" w:cs="Times New Roman"/>
          <w:kern w:val="0"/>
          <w14:ligatures w14:val="none"/>
        </w:rPr>
        <w:t xml:space="preserve"> We used a different exit multiple than the one given by the comps model because companies like CRWD have a very high EV/LTM EBITDA because enterprise value is measured against a base of relatively low, GAAP-reported EBITDA, a product of high-growth investments and significant non-cash expenses. As recurring revenues continue to grow and expense growth moderates, this multiple is expected to decline, aligning more closely with mature industry peers.</w:t>
      </w:r>
    </w:p>
    <w:p w14:paraId="5D2C9710" w14:textId="3B42B2C7" w:rsidR="00236D3F" w:rsidRPr="00BB6429" w:rsidRDefault="00236D3F" w:rsidP="00236D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429">
        <w:rPr>
          <w:rFonts w:ascii="Times New Roman" w:eastAsia="Times New Roman" w:hAnsi="Times New Roman" w:cs="Times New Roman"/>
          <w:kern w:val="0"/>
          <w14:ligatures w14:val="none"/>
        </w:rPr>
        <w:t>Perpetuity Growth (</w:t>
      </w:r>
      <w:r w:rsidR="00386A45" w:rsidRPr="00386A45">
        <w:rPr>
          <w:rFonts w:ascii="Times New Roman" w:eastAsia="Times New Roman" w:hAnsi="Times New Roman" w:cs="Times New Roman"/>
          <w:kern w:val="0"/>
          <w14:ligatures w14:val="none"/>
        </w:rPr>
        <w:t>3</w:t>
      </w:r>
      <w:r w:rsidRPr="00BB6429">
        <w:rPr>
          <w:rFonts w:ascii="Times New Roman" w:eastAsia="Times New Roman" w:hAnsi="Times New Roman" w:cs="Times New Roman"/>
          <w:kern w:val="0"/>
          <w14:ligatures w14:val="none"/>
        </w:rPr>
        <w:t xml:space="preserve">%): Chosen </w:t>
      </w:r>
      <w:r w:rsidR="00386A45" w:rsidRPr="00386A45">
        <w:rPr>
          <w:rFonts w:ascii="Times New Roman" w:eastAsia="Times New Roman" w:hAnsi="Times New Roman" w:cs="Times New Roman"/>
          <w:kern w:val="0"/>
          <w14:ligatures w14:val="none"/>
        </w:rPr>
        <w:t>at</w:t>
      </w:r>
      <w:r w:rsidRPr="00BB6429">
        <w:rPr>
          <w:rFonts w:ascii="Times New Roman" w:eastAsia="Times New Roman" w:hAnsi="Times New Roman" w:cs="Times New Roman"/>
          <w:kern w:val="0"/>
          <w14:ligatures w14:val="none"/>
        </w:rPr>
        <w:t xml:space="preserve"> LT GDP expectations to stay realistic in long-term assumptions.</w:t>
      </w:r>
    </w:p>
    <w:p w14:paraId="12AC29F1" w14:textId="77777777" w:rsidR="00236D3F" w:rsidRPr="00BB6429" w:rsidRDefault="00236D3F" w:rsidP="00236D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429">
        <w:rPr>
          <w:rFonts w:ascii="Times New Roman" w:eastAsia="Times New Roman" w:hAnsi="Times New Roman" w:cs="Times New Roman"/>
          <w:kern w:val="0"/>
          <w14:ligatures w14:val="none"/>
        </w:rPr>
        <w:t>Valuation Range:</w:t>
      </w:r>
    </w:p>
    <w:p w14:paraId="71D1AFF4" w14:textId="370B3BFE" w:rsidR="00236D3F" w:rsidRPr="00BB6429" w:rsidRDefault="00236D3F" w:rsidP="00236D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429">
        <w:rPr>
          <w:rFonts w:ascii="Times New Roman" w:eastAsia="Times New Roman" w:hAnsi="Times New Roman" w:cs="Times New Roman"/>
          <w:kern w:val="0"/>
          <w14:ligatures w14:val="none"/>
        </w:rPr>
        <w:t>Exit Multiple Method: $5</w:t>
      </w:r>
      <w:r w:rsidR="00386A45" w:rsidRPr="00386A45">
        <w:rPr>
          <w:rFonts w:ascii="Times New Roman" w:eastAsia="Times New Roman" w:hAnsi="Times New Roman" w:cs="Times New Roman"/>
          <w:kern w:val="0"/>
          <w14:ligatures w14:val="none"/>
        </w:rPr>
        <w:t>92.71</w:t>
      </w:r>
      <w:r w:rsidRPr="00BB6429">
        <w:rPr>
          <w:rFonts w:ascii="Times New Roman" w:eastAsia="Times New Roman" w:hAnsi="Times New Roman" w:cs="Times New Roman"/>
          <w:kern w:val="0"/>
          <w14:ligatures w14:val="none"/>
        </w:rPr>
        <w:t>/share</w:t>
      </w:r>
    </w:p>
    <w:p w14:paraId="145826B1" w14:textId="5B1CE37F" w:rsidR="00236D3F" w:rsidRPr="00BB6429" w:rsidRDefault="00236D3F" w:rsidP="00236D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429">
        <w:rPr>
          <w:rFonts w:ascii="Times New Roman" w:eastAsia="Times New Roman" w:hAnsi="Times New Roman" w:cs="Times New Roman"/>
          <w:kern w:val="0"/>
          <w14:ligatures w14:val="none"/>
        </w:rPr>
        <w:t>Perpetuity Growth Method: $5</w:t>
      </w:r>
      <w:r w:rsidR="00386A45" w:rsidRPr="00386A45">
        <w:rPr>
          <w:rFonts w:ascii="Times New Roman" w:eastAsia="Times New Roman" w:hAnsi="Times New Roman" w:cs="Times New Roman"/>
          <w:kern w:val="0"/>
          <w14:ligatures w14:val="none"/>
        </w:rPr>
        <w:t>51</w:t>
      </w:r>
      <w:r w:rsidRPr="00BB6429">
        <w:rPr>
          <w:rFonts w:ascii="Times New Roman" w:eastAsia="Times New Roman" w:hAnsi="Times New Roman" w:cs="Times New Roman"/>
          <w:kern w:val="0"/>
          <w14:ligatures w14:val="none"/>
        </w:rPr>
        <w:t>.8</w:t>
      </w:r>
      <w:r w:rsidR="00386A45" w:rsidRPr="00386A45">
        <w:rPr>
          <w:rFonts w:ascii="Times New Roman" w:eastAsia="Times New Roman" w:hAnsi="Times New Roman" w:cs="Times New Roman"/>
          <w:kern w:val="0"/>
          <w14:ligatures w14:val="none"/>
        </w:rPr>
        <w:t>1</w:t>
      </w:r>
      <w:r w:rsidRPr="00BB6429">
        <w:rPr>
          <w:rFonts w:ascii="Times New Roman" w:eastAsia="Times New Roman" w:hAnsi="Times New Roman" w:cs="Times New Roman"/>
          <w:kern w:val="0"/>
          <w14:ligatures w14:val="none"/>
        </w:rPr>
        <w:t>/share</w:t>
      </w:r>
    </w:p>
    <w:p w14:paraId="14D1224E" w14:textId="77777777" w:rsidR="00236D3F" w:rsidRPr="00BB6429" w:rsidRDefault="00236D3F" w:rsidP="00236D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429">
        <w:rPr>
          <w:rFonts w:ascii="Times New Roman" w:eastAsia="Times New Roman" w:hAnsi="Times New Roman" w:cs="Times New Roman"/>
          <w:kern w:val="0"/>
          <w14:ligatures w14:val="none"/>
        </w:rPr>
        <w:t>These valuations indicate a significant potential upside relative to current market prices.</w:t>
      </w:r>
    </w:p>
    <w:p w14:paraId="361DC12F" w14:textId="77777777" w:rsidR="00236D3F" w:rsidRPr="00BB6429" w:rsidRDefault="0085401C" w:rsidP="00236D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401C">
        <w:rPr>
          <w:rFonts w:ascii="Times New Roman" w:eastAsia="Times New Roman" w:hAnsi="Times New Roman" w:cs="Times New Roman"/>
          <w:noProof/>
          <w:kern w:val="0"/>
        </w:rPr>
        <w:pict w14:anchorId="58933DB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E89006B" w14:textId="11A72958" w:rsidR="00236D3F" w:rsidRPr="00BB6429" w:rsidRDefault="00236D3F" w:rsidP="00236D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B64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Bell-Curve Logic in Assumptions:</w:t>
      </w:r>
    </w:p>
    <w:p w14:paraId="58E1C244" w14:textId="77777777" w:rsidR="00236D3F" w:rsidRPr="00BB6429" w:rsidRDefault="00236D3F" w:rsidP="00236D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429">
        <w:rPr>
          <w:rFonts w:ascii="Times New Roman" w:eastAsia="Times New Roman" w:hAnsi="Times New Roman" w:cs="Times New Roman"/>
          <w:kern w:val="0"/>
          <w14:ligatures w14:val="none"/>
        </w:rPr>
        <w:t>Our projections are built on a bell-curve-like trajectory for growth rates and margins:</w:t>
      </w:r>
    </w:p>
    <w:p w14:paraId="67E689C9" w14:textId="77777777" w:rsidR="00236D3F" w:rsidRPr="00BB6429" w:rsidRDefault="00236D3F" w:rsidP="00236D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42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In the short- to mid-term (2025–2029), we project aggressive yet realistic growth. This reflects CrowdStrike’s expanding Total Addressable Market (TAM), increasing enterprise demand for AI-driven security, and its leadership in endpoint protection.</w:t>
      </w:r>
    </w:p>
    <w:p w14:paraId="1240D11E" w14:textId="77777777" w:rsidR="00236D3F" w:rsidRPr="00BB6429" w:rsidRDefault="00236D3F" w:rsidP="00236D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429">
        <w:rPr>
          <w:rFonts w:ascii="Times New Roman" w:eastAsia="Times New Roman" w:hAnsi="Times New Roman" w:cs="Times New Roman"/>
          <w:kern w:val="0"/>
          <w14:ligatures w14:val="none"/>
        </w:rPr>
        <w:t>We expect peak efficiency and valuation uplift during the late 2020s as adoption of AI security accelerates.</w:t>
      </w:r>
    </w:p>
    <w:p w14:paraId="5BA3315B" w14:textId="77777777" w:rsidR="00236D3F" w:rsidRPr="00BB6429" w:rsidRDefault="00236D3F" w:rsidP="00236D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429">
        <w:rPr>
          <w:rFonts w:ascii="Times New Roman" w:eastAsia="Times New Roman" w:hAnsi="Times New Roman" w:cs="Times New Roman"/>
          <w:kern w:val="0"/>
          <w14:ligatures w14:val="none"/>
        </w:rPr>
        <w:t>From 2030 onward, we assume a stabilization phase — growth rates normalize, margins mature, and valuation multiples compress.</w:t>
      </w:r>
    </w:p>
    <w:p w14:paraId="1EA95883" w14:textId="77777777" w:rsidR="00236D3F" w:rsidRPr="00BB6429" w:rsidRDefault="00236D3F" w:rsidP="00236D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6429">
        <w:rPr>
          <w:rFonts w:ascii="Times New Roman" w:eastAsia="Times New Roman" w:hAnsi="Times New Roman" w:cs="Times New Roman"/>
          <w:kern w:val="0"/>
          <w14:ligatures w14:val="none"/>
        </w:rPr>
        <w:t>This modeling reflects both optimism for innovation and discipline in long-term expectations.</w:t>
      </w:r>
    </w:p>
    <w:p w14:paraId="61B55502" w14:textId="77777777" w:rsidR="00236D3F" w:rsidRPr="00386A45" w:rsidRDefault="00236D3F" w:rsidP="00236D3F"/>
    <w:p w14:paraId="35F8275D" w14:textId="77777777" w:rsidR="00386A45" w:rsidRPr="003C7F46" w:rsidRDefault="00386A45" w:rsidP="00386A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7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Disclaimer</w:t>
      </w:r>
    </w:p>
    <w:p w14:paraId="0C0AF381" w14:textId="77777777" w:rsidR="00386A45" w:rsidRPr="003C7F46" w:rsidRDefault="00386A45" w:rsidP="00386A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7F46">
        <w:rPr>
          <w:rFonts w:ascii="Times New Roman" w:eastAsia="Times New Roman" w:hAnsi="Times New Roman" w:cs="Times New Roman"/>
          <w:kern w:val="0"/>
          <w14:ligatures w14:val="none"/>
        </w:rPr>
        <w:t>This analysis is for educational purposes only and should not be considered as investment advice. All data and conclusions are based on publicly available information and personal analysis.</w:t>
      </w:r>
    </w:p>
    <w:p w14:paraId="162E5FD3" w14:textId="17E6AE1E" w:rsidR="00236D3F" w:rsidRPr="00386A45" w:rsidRDefault="00236D3F" w:rsidP="00236D3F">
      <w:pPr>
        <w:rPr>
          <w:rFonts w:ascii="fkGrotesk Fallback" w:eastAsia="Times New Roman" w:hAnsi="fkGrotesk Fallback" w:cs="Times New Roman"/>
          <w:kern w:val="0"/>
          <w14:ligatures w14:val="none"/>
        </w:rPr>
      </w:pPr>
    </w:p>
    <w:sectPr w:rsidR="00236D3F" w:rsidRPr="00386A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fkGrotesk Fallback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0722D"/>
    <w:multiLevelType w:val="multilevel"/>
    <w:tmpl w:val="EF70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A463CD"/>
    <w:multiLevelType w:val="multilevel"/>
    <w:tmpl w:val="D4F43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AD2F6D"/>
    <w:multiLevelType w:val="multilevel"/>
    <w:tmpl w:val="51548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957E4D"/>
    <w:multiLevelType w:val="multilevel"/>
    <w:tmpl w:val="6D66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3101870">
    <w:abstractNumId w:val="1"/>
  </w:num>
  <w:num w:numId="2" w16cid:durableId="2064021455">
    <w:abstractNumId w:val="2"/>
  </w:num>
  <w:num w:numId="3" w16cid:durableId="375933905">
    <w:abstractNumId w:val="0"/>
  </w:num>
  <w:num w:numId="4" w16cid:durableId="20165716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079"/>
    <w:rsid w:val="00236D3F"/>
    <w:rsid w:val="00386A45"/>
    <w:rsid w:val="00523079"/>
    <w:rsid w:val="00737805"/>
    <w:rsid w:val="0085401C"/>
    <w:rsid w:val="00B96959"/>
    <w:rsid w:val="00BB3288"/>
    <w:rsid w:val="00E8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0C367"/>
  <w15:chartTrackingRefBased/>
  <w15:docId w15:val="{49E9AF98-3EEE-144A-B4F0-E2CE3C181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D3F"/>
  </w:style>
  <w:style w:type="paragraph" w:styleId="Heading1">
    <w:name w:val="heading 1"/>
    <w:basedOn w:val="Normal"/>
    <w:next w:val="Normal"/>
    <w:link w:val="Heading1Char"/>
    <w:uiPriority w:val="9"/>
    <w:qFormat/>
    <w:rsid w:val="00523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0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0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0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0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0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0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0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0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0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0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0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Dumani Lichtinger</dc:creator>
  <cp:keywords/>
  <dc:description/>
  <cp:lastModifiedBy>Abraham Dumani Lichtinger</cp:lastModifiedBy>
  <cp:revision>3</cp:revision>
  <dcterms:created xsi:type="dcterms:W3CDTF">2025-07-20T18:09:00Z</dcterms:created>
  <dcterms:modified xsi:type="dcterms:W3CDTF">2025-07-20T18:20:00Z</dcterms:modified>
</cp:coreProperties>
</file>