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drawing>
          <wp:inline xmlns:a="http://schemas.openxmlformats.org/drawingml/2006/main" xmlns:pic="http://schemas.openxmlformats.org/drawingml/2006/picture">
            <wp:extent cx="3749039" cy="1177127"/>
            <wp:docPr id="1" name="Picture 1"/>
            <wp:cNvGraphicFramePr>
              <a:graphicFrameLocks noChangeAspect="1"/>
            </wp:cNvGraphicFramePr>
            <a:graphic>
              <a:graphicData uri="http://schemas.openxmlformats.org/drawingml/2006/picture">
                <pic:pic>
                  <pic:nvPicPr>
                    <pic:cNvPr id="0" name="vit-logo.jpeg"/>
                    <pic:cNvPicPr/>
                  </pic:nvPicPr>
                  <pic:blipFill>
                    <a:blip r:embed="rId11"/>
                    <a:stretch>
                      <a:fillRect/>
                    </a:stretch>
                  </pic:blipFill>
                  <pic:spPr>
                    <a:xfrm>
                      <a:off x="0" y="0"/>
                      <a:ext cx="3749039" cy="1177127"/>
                    </a:xfrm>
                    <a:prstGeom prst="rect"/>
                  </pic:spPr>
                </pic:pic>
              </a:graphicData>
            </a:graphic>
          </wp:inline>
        </w:drawing>
      </w:r>
    </w:p>
    <w:p>
      <w:pPr>
        <w:jc w:val="center"/>
      </w:pPr>
      <w:r>
        <w:rPr>
          <w:sz w:val="26"/>
        </w:rPr>
        <w:t>BCSE497J — PROJECT I</w:t>
      </w:r>
    </w:p>
    <w:p>
      <w:pPr>
        <w:jc w:val="center"/>
      </w:pPr>
      <w:r>
        <w:rPr>
          <w:b/>
        </w:rPr>
        <w:t>PROJECT REPORT</w:t>
      </w:r>
    </w:p>
    <w:p>
      <w:pPr>
        <w:jc w:val="center"/>
      </w:pPr>
      <w:r>
        <w:t>on</w:t>
      </w:r>
    </w:p>
    <w:p>
      <w:pPr>
        <w:spacing w:before="200" w:after="320"/>
        <w:jc w:val="center"/>
      </w:pPr>
      <w:r>
        <w:rPr>
          <w:rFonts w:ascii="Times New Roman" w:hAnsi="Times New Roman"/>
          <w:b/>
          <w:color w:val="182A55"/>
          <w:sz w:val="50"/>
        </w:rPr>
        <w:t>MEMORYSCAPE</w:t>
      </w:r>
    </w:p>
    <w:p>
      <w:pPr>
        <w:jc w:val="center"/>
      </w:pPr>
      <w:r>
        <w:rPr>
          <w:b/>
          <w:color w:val="187C78"/>
          <w:sz w:val="32"/>
        </w:rPr>
        <w:t>A Spatiotemporal Personal Knowledge Graph</w:t>
        <w:br/>
        <w:t>with Biologically Inspired Recall</w:t>
      </w:r>
    </w:p>
    <w:p>
      <w:pPr>
        <w:spacing w:before="400"/>
        <w:jc w:val="center"/>
      </w:pPr>
      <w:r>
        <w:t>Prepared by</w:t>
      </w:r>
    </w:p>
    <w:p>
      <w:pPr>
        <w:jc w:val="center"/>
      </w:pPr>
      <w:r>
        <w:t>Akil  —  25BCE2777</w:t>
      </w:r>
    </w:p>
    <w:p>
      <w:pPr>
        <w:jc w:val="center"/>
      </w:pPr>
      <w:r>
        <w:t>Syon Vijae Thyvalappil  —  25BCE2598</w:t>
      </w:r>
    </w:p>
    <w:p>
      <w:pPr>
        <w:spacing w:before="520"/>
        <w:jc w:val="center"/>
      </w:pPr>
      <w:r>
        <w:t>School of Computer Science and Engineering</w:t>
      </w:r>
    </w:p>
    <w:p>
      <w:pPr>
        <w:jc w:val="center"/>
      </w:pPr>
      <w:r>
        <w:t>Vellore Institute of Technology, Vellore</w:t>
      </w:r>
    </w:p>
    <w:p>
      <w:pPr>
        <w:jc w:val="center"/>
      </w:pPr>
      <w:r>
        <w:t>October 2026</w:t>
      </w:r>
    </w:p>
    <w:p>
      <w:r>
        <w:br w:type="page"/>
      </w:r>
    </w:p>
    <w:p>
      <w:pPr>
        <w:pStyle w:val="Heading1"/>
      </w:pPr>
      <w:r>
        <w:t>Abstract</w:t>
      </w:r>
    </w:p>
    <w:p>
      <w:r>
        <w:t>MemoryScape is a local-first personal knowledge graph that stores episodic memories with event time, geographic position, contextual tags, and explicit directed associations. It makes three database-native recall operations inspectable: PostGIS route-corridor retrieval ordered along a user-drawn path; exponential strength decay with transactional reinforcement; and bounded, cycle-safe spreading activation implemented in recursive SQL. A PostgreSQL materialized view supports review of fading memories, with pg_cron scheduling decay and refresh jobs. A TypeScript/Next.js interface exposes the algorithms through a map, timeline, graph, memory library, and review workspace. The prototype uses deterministic synthetic data and does not require machine learning, vector search, or paid services. Validation exercised PostgreSQL 16.15, PostGIS 3.6.4, 1,200 seeded records, database algorithm tests, concurrency checks, application tests, and browser workflows. Additional five-trial synthetic measurements extend to 50,000 memories. The results demonstrate functional feasibility and workload-dependent query behavior; they do not establish cognitive or biological validity, user benefit, or a general spatial-index speedup. A cross-browser run passed on Chromium and Firefox; the WebKit run had four environment/UI-test failures and is reported as incomplete.</w:t>
      </w:r>
    </w:p>
    <w:p>
      <w:r>
        <w:rPr>
          <w:b/>
        </w:rPr>
        <w:t>Keywords:</w:t>
      </w:r>
      <w:r>
        <w:t xml:space="preserve"> PostgreSQL; PostGIS; personal knowledge graph; spatiotemporal retrieval; recursive SQL; temporal decay; materialized view.</w:t>
      </w:r>
    </w:p>
    <w:p>
      <w:r>
        <w:br w:type="page"/>
      </w:r>
    </w:p>
    <w:p>
      <w:pPr>
        <w:pStyle w:val="Heading1"/>
      </w:pPr>
      <w:r>
        <w:t>Table of Contents</w:t>
      </w:r>
    </w:p>
    <w:tbl>
      <w:tblPr>
        <w:tblW w:type="auto" w:w="0"/>
        <w:jc w:val="center"/>
        <w:tblLook w:firstColumn="1" w:firstRow="1" w:lastColumn="0" w:lastRow="0" w:noHBand="0" w:noVBand="1" w:val="04A0"/>
      </w:tblPr>
      <w:tblGrid>
        <w:gridCol w:w="4586"/>
        <w:gridCol w:w="4586"/>
      </w:tblGrid>
      <w:tr>
        <w:tc>
          <w:tcPr>
            <w:tcW w:type="dxa" w:w="4586"/>
            <w:vAlign w:val="center"/>
          </w:tcPr>
          <w:p>
            <w:pPr>
              <w:spacing w:after="20"/>
            </w:pPr>
            <w:r/>
            <w:r>
              <w:rPr>
                <w:rFonts w:ascii="Times New Roman" w:hAnsi="Times New Roman"/>
                <w:b w:val="0"/>
                <w:sz w:val="20"/>
              </w:rPr>
              <w:t>Abstract</w:t>
            </w:r>
          </w:p>
        </w:tc>
        <w:tc>
          <w:tcPr>
            <w:tcW w:type="dxa" w:w="4586"/>
            <w:vAlign w:val="center"/>
          </w:tcPr>
          <w:p>
            <w:pPr>
              <w:spacing w:after="20"/>
              <w:jc w:val="right"/>
            </w:pPr>
            <w:r/>
            <w:r>
              <w:rPr>
                <w:rFonts w:ascii="Times New Roman" w:hAnsi="Times New Roman"/>
                <w:b w:val="0"/>
                <w:sz w:val="20"/>
              </w:rPr>
              <w:t>2</w:t>
            </w:r>
          </w:p>
        </w:tc>
      </w:tr>
      <w:tr>
        <w:tc>
          <w:tcPr>
            <w:tcW w:type="dxa" w:w="4586"/>
            <w:vAlign w:val="center"/>
          </w:tcPr>
          <w:p>
            <w:pPr>
              <w:spacing w:after="20"/>
            </w:pPr>
            <w:r/>
            <w:r>
              <w:rPr>
                <w:rFonts w:ascii="Times New Roman" w:hAnsi="Times New Roman"/>
                <w:b w:val="0"/>
                <w:sz w:val="20"/>
              </w:rPr>
              <w:t>1. Introduction</w:t>
            </w:r>
          </w:p>
        </w:tc>
        <w:tc>
          <w:tcPr>
            <w:tcW w:type="dxa" w:w="4586"/>
            <w:vAlign w:val="center"/>
          </w:tcPr>
          <w:p>
            <w:pPr>
              <w:spacing w:after="20"/>
              <w:jc w:val="right"/>
            </w:pPr>
            <w:r/>
            <w:r>
              <w:rPr>
                <w:rFonts w:ascii="Times New Roman" w:hAnsi="Times New Roman"/>
                <w:b w:val="0"/>
                <w:sz w:val="20"/>
              </w:rPr>
              <w:t>4</w:t>
            </w:r>
          </w:p>
        </w:tc>
      </w:tr>
      <w:tr>
        <w:tc>
          <w:tcPr>
            <w:tcW w:type="dxa" w:w="4586"/>
            <w:vAlign w:val="center"/>
          </w:tcPr>
          <w:p>
            <w:pPr>
              <w:spacing w:after="20"/>
            </w:pPr>
            <w:r/>
            <w:r>
              <w:rPr>
                <w:rFonts w:ascii="Times New Roman" w:hAnsi="Times New Roman"/>
                <w:b w:val="0"/>
                <w:sz w:val="20"/>
              </w:rPr>
              <w:t>2. Literature Study</w:t>
            </w:r>
          </w:p>
        </w:tc>
        <w:tc>
          <w:tcPr>
            <w:tcW w:type="dxa" w:w="4586"/>
            <w:vAlign w:val="center"/>
          </w:tcPr>
          <w:p>
            <w:pPr>
              <w:spacing w:after="20"/>
              <w:jc w:val="right"/>
            </w:pPr>
            <w:r/>
            <w:r>
              <w:rPr>
                <w:rFonts w:ascii="Times New Roman" w:hAnsi="Times New Roman"/>
                <w:b w:val="0"/>
                <w:sz w:val="20"/>
              </w:rPr>
              <w:t>4</w:t>
            </w:r>
          </w:p>
        </w:tc>
      </w:tr>
      <w:tr>
        <w:tc>
          <w:tcPr>
            <w:tcW w:type="dxa" w:w="4586"/>
            <w:vAlign w:val="center"/>
          </w:tcPr>
          <w:p>
            <w:pPr>
              <w:spacing w:after="20"/>
            </w:pPr>
            <w:r/>
            <w:r>
              <w:rPr>
                <w:rFonts w:ascii="Times New Roman" w:hAnsi="Times New Roman"/>
                <w:b w:val="0"/>
                <w:sz w:val="20"/>
              </w:rPr>
              <w:t>3. Objectives and Research Questions</w:t>
            </w:r>
          </w:p>
        </w:tc>
        <w:tc>
          <w:tcPr>
            <w:tcW w:type="dxa" w:w="4586"/>
            <w:vAlign w:val="center"/>
          </w:tcPr>
          <w:p>
            <w:pPr>
              <w:spacing w:after="20"/>
              <w:jc w:val="right"/>
            </w:pPr>
            <w:r/>
            <w:r>
              <w:rPr>
                <w:rFonts w:ascii="Times New Roman" w:hAnsi="Times New Roman"/>
                <w:b w:val="0"/>
                <w:sz w:val="20"/>
              </w:rPr>
              <w:t>5</w:t>
            </w:r>
          </w:p>
        </w:tc>
      </w:tr>
      <w:tr>
        <w:tc>
          <w:tcPr>
            <w:tcW w:type="dxa" w:w="4586"/>
            <w:vAlign w:val="center"/>
          </w:tcPr>
          <w:p>
            <w:pPr>
              <w:spacing w:after="20"/>
            </w:pPr>
            <w:r/>
            <w:r>
              <w:rPr>
                <w:rFonts w:ascii="Times New Roman" w:hAnsi="Times New Roman"/>
                <w:b w:val="0"/>
                <w:sz w:val="20"/>
              </w:rPr>
              <w:t>4. System Design</w:t>
            </w:r>
          </w:p>
        </w:tc>
        <w:tc>
          <w:tcPr>
            <w:tcW w:type="dxa" w:w="4586"/>
            <w:vAlign w:val="center"/>
          </w:tcPr>
          <w:p>
            <w:pPr>
              <w:spacing w:after="20"/>
              <w:jc w:val="right"/>
            </w:pPr>
            <w:r/>
            <w:r>
              <w:rPr>
                <w:rFonts w:ascii="Times New Roman" w:hAnsi="Times New Roman"/>
                <w:b w:val="0"/>
                <w:sz w:val="20"/>
              </w:rPr>
              <w:t>5</w:t>
            </w:r>
          </w:p>
        </w:tc>
      </w:tr>
      <w:tr>
        <w:tc>
          <w:tcPr>
            <w:tcW w:type="dxa" w:w="4586"/>
            <w:vAlign w:val="center"/>
          </w:tcPr>
          <w:p>
            <w:pPr>
              <w:spacing w:after="20"/>
            </w:pPr>
            <w:r/>
            <w:r>
              <w:rPr>
                <w:rFonts w:ascii="Times New Roman" w:hAnsi="Times New Roman"/>
                <w:b w:val="0"/>
                <w:sz w:val="20"/>
              </w:rPr>
              <w:t>5. Implementation and Evaluation</w:t>
            </w:r>
          </w:p>
        </w:tc>
        <w:tc>
          <w:tcPr>
            <w:tcW w:type="dxa" w:w="4586"/>
            <w:vAlign w:val="center"/>
          </w:tcPr>
          <w:p>
            <w:pPr>
              <w:spacing w:after="20"/>
              <w:jc w:val="right"/>
            </w:pPr>
            <w:r/>
            <w:r>
              <w:rPr>
                <w:rFonts w:ascii="Times New Roman" w:hAnsi="Times New Roman"/>
                <w:b w:val="0"/>
                <w:sz w:val="20"/>
              </w:rPr>
              <w:t>6</w:t>
            </w:r>
          </w:p>
        </w:tc>
      </w:tr>
      <w:tr>
        <w:tc>
          <w:tcPr>
            <w:tcW w:type="dxa" w:w="4586"/>
            <w:vAlign w:val="center"/>
          </w:tcPr>
          <w:p>
            <w:pPr>
              <w:spacing w:after="20"/>
            </w:pPr>
            <w:r/>
            <w:r>
              <w:rPr>
                <w:rFonts w:ascii="Times New Roman" w:hAnsi="Times New Roman"/>
                <w:b w:val="0"/>
                <w:sz w:val="20"/>
              </w:rPr>
              <w:t>6. Conclusion and Future Work</w:t>
            </w:r>
          </w:p>
        </w:tc>
        <w:tc>
          <w:tcPr>
            <w:tcW w:type="dxa" w:w="4586"/>
            <w:vAlign w:val="center"/>
          </w:tcPr>
          <w:p>
            <w:pPr>
              <w:spacing w:after="20"/>
              <w:jc w:val="right"/>
            </w:pPr>
            <w:r/>
            <w:r>
              <w:rPr>
                <w:rFonts w:ascii="Times New Roman" w:hAnsi="Times New Roman"/>
                <w:b w:val="0"/>
                <w:sz w:val="20"/>
              </w:rPr>
              <w:t>8</w:t>
            </w:r>
          </w:p>
        </w:tc>
      </w:tr>
      <w:tr>
        <w:tc>
          <w:tcPr>
            <w:tcW w:type="dxa" w:w="4586"/>
            <w:vAlign w:val="center"/>
          </w:tcPr>
          <w:p>
            <w:pPr>
              <w:spacing w:after="20"/>
            </w:pPr>
            <w:r/>
            <w:r>
              <w:rPr>
                <w:rFonts w:ascii="Times New Roman" w:hAnsi="Times New Roman"/>
                <w:b w:val="0"/>
                <w:sz w:val="20"/>
              </w:rPr>
              <w:t>References</w:t>
            </w:r>
          </w:p>
        </w:tc>
        <w:tc>
          <w:tcPr>
            <w:tcW w:type="dxa" w:w="4586"/>
            <w:vAlign w:val="center"/>
          </w:tcPr>
          <w:p>
            <w:pPr>
              <w:spacing w:after="20"/>
              <w:jc w:val="right"/>
            </w:pPr>
            <w:r/>
            <w:r>
              <w:rPr>
                <w:rFonts w:ascii="Times New Roman" w:hAnsi="Times New Roman"/>
                <w:b w:val="0"/>
                <w:sz w:val="20"/>
              </w:rPr>
              <w:t>8</w:t>
            </w:r>
          </w:p>
        </w:tc>
      </w:tr>
    </w:tbl>
    <w:p>
      <w:r>
        <w:br w:type="page"/>
      </w:r>
    </w:p>
    <w:p>
      <w:pPr>
        <w:pStyle w:val="Heading1"/>
      </w:pPr>
      <w:r>
        <w:t>1. Introduction</w:t>
      </w:r>
    </w:p>
    <w:p>
      <w:pPr>
        <w:pStyle w:val="Heading2"/>
      </w:pPr>
      <w:r>
        <w:t>1.1 Problem and motivation</w:t>
      </w:r>
    </w:p>
    <w:p>
      <w:r>
        <w:t>Personal notes commonly keep text while losing the context that helps a person find it again: where an episode happened, when it occurred, which people or topics were involved, and which other episodes it evokes. MemoryScape models these elements explicitly in a relational database so that recall can be queried, explained, measured, and reproduced.</w:t>
      </w:r>
    </w:p>
    <w:p>
      <w:pPr>
        <w:pStyle w:val="Heading2"/>
      </w:pPr>
      <w:r>
        <w:t>1.2 Scope and design stance</w:t>
      </w:r>
    </w:p>
    <w:p>
      <w:r>
        <w:t>The system is a research prototype for one trusted local user. Its biological language describes engineering analogies, not validated models of human cognition. No semantic embedding, machine-learning model, LLM, vector database, or remote inference API is part of retrieval. OpenStreetMap-compatible tiles provide visual context only; the memory records and retrieval computation remain local.</w:t>
      </w:r>
    </w:p>
    <w:p>
      <w:pPr>
        <w:pStyle w:val="Heading2"/>
      </w:pPr>
      <w:r>
        <w:t>1.3 Contributions</w:t>
      </w:r>
    </w:p>
    <w:p>
      <w:pPr>
        <w:pStyle w:val="ListBullet"/>
        <w:spacing w:after="40"/>
      </w:pPr>
      <w:r>
        <w:t>An integrated PostgreSQL design joining normalized episode, context, association, reinforcement, and spatial data.</w:t>
      </w:r>
    </w:p>
    <w:p>
      <w:pPr>
        <w:pStyle w:val="ListBullet"/>
        <w:spacing w:after="40"/>
      </w:pPr>
      <w:r>
        <w:t>A PostGIS route walk with meter-based proximity, temporal interval filtering, and SQL route ordering.</w:t>
      </w:r>
    </w:p>
    <w:p>
      <w:pPr>
        <w:pStyle w:val="ListBullet"/>
        <w:spacing w:after="40"/>
      </w:pPr>
      <w:r>
        <w:t>A transactional temporal model that applies elapsed decay before reinforcement and records each reinforcement event.</w:t>
      </w:r>
    </w:p>
    <w:p>
      <w:pPr>
        <w:pStyle w:val="ListBullet"/>
        <w:spacing w:after="40"/>
      </w:pPr>
      <w:r>
        <w:t>A recursive SQL spreading-activation query with bounded depth, threshold pruning, cycle prevention, and winning-path explanations.</w:t>
      </w:r>
    </w:p>
    <w:p>
      <w:pPr>
        <w:pStyle w:val="ListBullet"/>
        <w:spacing w:after="40"/>
      </w:pPr>
      <w:r>
        <w:t>A scheduled fading-memory review view plus a reproducible synthetic evaluation harness.</w:t>
      </w:r>
    </w:p>
    <w:p>
      <w:pPr>
        <w:pStyle w:val="Heading1"/>
      </w:pPr>
      <w:r>
        <w:t>2. Literature Study</w:t>
      </w:r>
    </w:p>
    <w:p>
      <w:pPr>
        <w:pStyle w:val="Heading2"/>
      </w:pPr>
      <w:r>
        <w:t>2.1 Forgetting and reinforcement as computational analogies</w:t>
      </w:r>
    </w:p>
    <w:p>
      <w:r>
        <w:t>Ebbinghaus’s experimental work established a quantitative tradition for studying retention over time. MemoryScape uses a simple exponential function as an explicit, inspectable engineering model. The chosen decay rate is per memory and configurable; it is not fitted to participants or claimed to reproduce a biological forgetting curve.</w:t>
      </w:r>
    </w:p>
    <w:p>
      <w:pPr>
        <w:pStyle w:val="Heading2"/>
      </w:pPr>
      <w:r>
        <w:t>2.2 Associative activation</w:t>
      </w:r>
    </w:p>
    <w:p>
      <w:r>
        <w:t>Collins and Loftus described semantic memory retrieval through spreading activation over associations. MemoryScape borrows the graph-traversal analogy while retaining explicit edge weights, signed valence, path traces, and deterministic pruning in SQL. The prototype’s coefficients are implementation parameters rather than cognitive constants.</w:t>
      </w:r>
    </w:p>
    <w:p>
      <w:pPr>
        <w:pStyle w:val="Heading2"/>
      </w:pPr>
      <w:r>
        <w:t>2.3 Spatial and temporal context</w:t>
      </w:r>
    </w:p>
    <w:p>
      <w:r>
        <w:t>Cognitive-map research motivates treating spatial relationships as useful cues. In this implementation, PostGIS geography and a route geometry provide a concrete query substrate: distance is measured in meters, proximity uses ST_DWithin, and ST_LineLocatePoint gives an along-route ordering key.</w:t>
      </w:r>
    </w:p>
    <w:p>
      <w:pPr>
        <w:pStyle w:val="Heading2"/>
      </w:pPr>
      <w:r>
        <w:t>2.4 Database contribution and gap</w:t>
      </w:r>
    </w:p>
    <w:p>
      <w:r>
        <w:t>PostgreSQL recursive common table expressions, transaction isolation, GiST indexes, stored routines, materialized views, and pg_cron provide the computation without a separate graph service. The contribution is the assembled, explainable database-native prototype and its evaluation workflow; this project does not claim a new cognitive theory or clinical outcome.</w:t>
      </w:r>
    </w:p>
    <w:p>
      <w:pPr>
        <w:pStyle w:val="Heading1"/>
      </w:pPr>
      <w:r>
        <w:t>3. Objectives and Research Questions</w:t>
      </w:r>
    </w:p>
    <w:p>
      <w:pPr>
        <w:pStyle w:val="ListBullet"/>
        <w:spacing w:after="40"/>
      </w:pPr>
      <w:r>
        <w:t>RQ1: Can PostGIS retrieve memories near user-drawn routes and order them deterministically along the path?</w:t>
      </w:r>
    </w:p>
    <w:p>
      <w:pPr>
        <w:pStyle w:val="ListBullet"/>
        <w:spacing w:after="40"/>
      </w:pPr>
      <w:r>
        <w:t>RQ2: Can decay and reinforcement be applied atomically and idempotently in PostgreSQL?</w:t>
      </w:r>
    </w:p>
    <w:p>
      <w:pPr>
        <w:pStyle w:val="ListBullet"/>
        <w:spacing w:after="40"/>
      </w:pPr>
      <w:r>
        <w:t>RQ3: Can recursive SQL provide bounded, explainable associative retrieval with cycles and weak paths handled in-database?</w:t>
      </w:r>
    </w:p>
    <w:p>
      <w:pPr>
        <w:pStyle w:val="ListBullet"/>
        <w:spacing w:after="40"/>
      </w:pPr>
      <w:r>
        <w:t>RQ4: How do scan strategy, route selectivity, traversal depth, and pruning affect measured work on deterministic datasets?</w:t>
      </w:r>
    </w:p>
    <w:p>
      <w:pPr>
        <w:pStyle w:val="ListBullet"/>
        <w:spacing w:after="40"/>
      </w:pPr>
      <w:r>
        <w:t>RQ5: Can a materialized view lower the cost of listing fading memories compared with recomputing review priority?</w:t>
      </w:r>
    </w:p>
    <w:p>
      <w:r>
        <w:t>The project tests software correctness and synthetic-workload behavior. Human recall effectiveness, usability, and biological validity remain open empirical questions and require a separately approved study.</w:t>
      </w:r>
    </w:p>
    <w:p>
      <w:pPr>
        <w:pStyle w:val="Heading1"/>
      </w:pPr>
      <w:r>
        <w:t>4. System Design</w:t>
      </w:r>
    </w:p>
    <w:p>
      <w:pPr>
        <w:pStyle w:val="Heading2"/>
      </w:pPr>
      <w:r>
        <w:t>4.1 Architecture</w:t>
      </w:r>
    </w:p>
    <w:p>
      <w:r>
        <w:t>The browser sends validated inputs to a TypeScript API. Parameterized SQL and database functions perform the substantive computation. The frontend renders returned records and explanations; it does not implement graph traversal, geographic filtering, or temporal strength updates.</w:t>
      </w:r>
    </w:p>
    <w:p>
      <w:r>
        <w:drawing>
          <wp:inline xmlns:a="http://schemas.openxmlformats.org/drawingml/2006/main" xmlns:pic="http://schemas.openxmlformats.org/drawingml/2006/picture">
            <wp:extent cx="5394960" cy="2366611"/>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394960" cy="2366611"/>
                    </a:xfrm>
                    <a:prstGeom prst="rect"/>
                  </pic:spPr>
                </pic:pic>
              </a:graphicData>
            </a:graphic>
          </wp:inline>
        </w:drawing>
      </w:r>
    </w:p>
    <w:p>
      <w:pPr>
        <w:spacing w:after="100"/>
        <w:jc w:val="center"/>
      </w:pPr>
      <w:r>
        <w:rPr>
          <w:i/>
          <w:color w:val="576273"/>
          <w:sz w:val="17"/>
        </w:rPr>
        <w:t>Figure 1. Implemented database-centered system architecture.</w:t>
      </w:r>
    </w:p>
    <w:p>
      <w:pPr>
        <w:pStyle w:val="Heading2"/>
      </w:pPr>
      <w:r>
        <w:t>4.2 Relational model and integrity</w:t>
      </w:r>
    </w:p>
    <w:p>
      <w:r>
        <w:t>The normalized core separates memories from reusable contexts and represents their many-to-many association in memory_contexts. Directed edges are stored in memory_edges; reinforcement changes are auditable in memory_reinforcements. UUID primary keys, foreign keys, uniqueness constraints, range checks, timestamp defaults, and purpose-specific indexes enforce core invariants. A geography(Point,4326) column and GiST index support spatial search.</w:t>
      </w:r>
    </w:p>
    <w:p>
      <w:r>
        <w:drawing>
          <wp:inline xmlns:a="http://schemas.openxmlformats.org/drawingml/2006/main" xmlns:pic="http://schemas.openxmlformats.org/drawingml/2006/picture">
            <wp:extent cx="5486400" cy="1177698"/>
            <wp:docPr id="3" name="Picture 3"/>
            <wp:cNvGraphicFramePr>
              <a:graphicFrameLocks noChangeAspect="1"/>
            </wp:cNvGraphicFramePr>
            <a:graphic>
              <a:graphicData uri="http://schemas.openxmlformats.org/drawingml/2006/picture">
                <pic:pic>
                  <pic:nvPicPr>
                    <pic:cNvPr id="0" name="er.png"/>
                    <pic:cNvPicPr/>
                  </pic:nvPicPr>
                  <pic:blipFill>
                    <a:blip r:embed="rId13"/>
                    <a:stretch>
                      <a:fillRect/>
                    </a:stretch>
                  </pic:blipFill>
                  <pic:spPr>
                    <a:xfrm>
                      <a:off x="0" y="0"/>
                      <a:ext cx="5486400" cy="1177698"/>
                    </a:xfrm>
                    <a:prstGeom prst="rect"/>
                  </pic:spPr>
                </pic:pic>
              </a:graphicData>
            </a:graphic>
          </wp:inline>
        </w:drawing>
      </w:r>
    </w:p>
    <w:p>
      <w:pPr>
        <w:spacing w:after="100"/>
        <w:jc w:val="center"/>
      </w:pPr>
      <w:r>
        <w:rPr>
          <w:i/>
          <w:color w:val="576273"/>
          <w:sz w:val="17"/>
        </w:rPr>
        <w:t>Figure 2. Core entity relationships; edge endpoints both reference memories.</w:t>
      </w:r>
    </w:p>
    <w:p>
      <w:pPr>
        <w:pStyle w:val="Heading2"/>
      </w:pPr>
      <w:r>
        <w:t>4.3 Spatial walk</w:t>
      </w:r>
    </w:p>
    <w:p>
      <w:r>
        <w:t>A validated LineString is converted to geography. The SQL routine filters with ST_DWithin(memory.location, route, radius_m), computes ST_Distance in meters, and sorts by ST_LineLocatePoint. The spatiotemporal extension additionally applies a half-open event interval: occurred_at ≥ from and occurred_at &lt; until. UUID and timestamp tie-breaks make ordering stable.</w:t>
      </w:r>
    </w:p>
    <w:p>
      <w:pPr>
        <w:pStyle w:val="Heading2"/>
      </w:pPr>
      <w:r>
        <w:t>4.4 Temporal decay and reinforcement</w:t>
      </w:r>
    </w:p>
    <w:p>
      <w:r>
        <w:t>For elapsed time expressed in days, the implementation applies S(t) = clamp(S₀ × exp(−λΔt), 0, 1). The decay routine updates eligible rows only when the supplied logical time is later than last_strength_at; the strength and timestamp advance atomically. Reinforcement locks the memory row, first applies unapplied decay, then computes S′ = min(1, S + α(1 − S)), and records before/after values in the same transaction. Linking an already-associated context does not trigger another reinforcement.</w:t>
      </w:r>
    </w:p>
    <w:p>
      <w:pPr>
        <w:pStyle w:val="Heading2"/>
      </w:pPr>
      <w:r>
        <w:t>4.5 Associative recall and fading review</w:t>
      </w:r>
    </w:p>
    <w:p>
      <w:r>
        <w:t>Recursive SQL propagates A_next = A_current × edge_weight × (0.75 + 0.25 × |valence|) × target_strength. The query prevents per-path revisits using a UUID path, prunes below threshold inside recursion, limits depth to three by default, and selects a deterministic strongest path for each destination. The fading_memories_mv materializes low-strength review candidates; pg_cron schedules daily decay and hourly view refresh.</w:t>
      </w:r>
    </w:p>
    <w:p>
      <w:pPr>
        <w:pStyle w:val="Heading1"/>
      </w:pPr>
      <w:r>
        <w:t>5. Implementation and Evaluation</w:t>
      </w:r>
    </w:p>
    <w:p>
      <w:pPr>
        <w:pStyle w:val="Heading2"/>
      </w:pPr>
      <w:r>
        <w:t>5.1 Technology and reproducibility</w:t>
      </w:r>
    </w:p>
    <w:tbl>
      <w:tblPr>
        <w:tblStyle w:val="TableGrid"/>
        <w:tblW w:type="auto" w:w="0"/>
        <w:jc w:val="center"/>
        <w:tblLook w:firstColumn="1" w:firstRow="1" w:lastColumn="0" w:lastRow="0" w:noHBand="0" w:noVBand="1" w:val="04A0"/>
      </w:tblPr>
      <w:tblGrid>
        <w:gridCol w:w="4586"/>
        <w:gridCol w:w="4586"/>
      </w:tblGrid>
      <w:tr>
        <w:tc>
          <w:tcPr>
            <w:tcW w:type="dxa" w:w="4586"/>
            <w:shd w:fill="182A55"/>
            <w:vAlign w:val="center"/>
          </w:tcPr>
          <w:p>
            <w:pPr>
              <w:spacing w:after="20"/>
            </w:pPr>
            <w:r/>
            <w:r>
              <w:rPr>
                <w:rFonts w:ascii="Times New Roman" w:hAnsi="Times New Roman"/>
                <w:b/>
                <w:color w:val="FFFFFF"/>
                <w:sz w:val="16"/>
              </w:rPr>
              <w:t>Layer</w:t>
            </w:r>
          </w:p>
        </w:tc>
        <w:tc>
          <w:tcPr>
            <w:tcW w:type="dxa" w:w="4586"/>
            <w:shd w:fill="182A55"/>
            <w:vAlign w:val="center"/>
          </w:tcPr>
          <w:p>
            <w:pPr>
              <w:spacing w:after="20"/>
            </w:pPr>
            <w:r/>
            <w:r>
              <w:rPr>
                <w:rFonts w:ascii="Times New Roman" w:hAnsi="Times New Roman"/>
                <w:b/>
                <w:color w:val="FFFFFF"/>
                <w:sz w:val="16"/>
              </w:rPr>
              <w:t>Implementation</w:t>
            </w:r>
          </w:p>
        </w:tc>
      </w:tr>
      <w:tr>
        <w:tc>
          <w:tcPr>
            <w:tcW w:type="dxa" w:w="4586"/>
            <w:vAlign w:val="center"/>
          </w:tcPr>
          <w:p>
            <w:pPr>
              <w:spacing w:after="20"/>
            </w:pPr>
            <w:r/>
            <w:r>
              <w:rPr>
                <w:rFonts w:ascii="Times New Roman" w:hAnsi="Times New Roman"/>
                <w:b w:val="0"/>
                <w:sz w:val="16"/>
              </w:rPr>
              <w:t>Database</w:t>
            </w:r>
          </w:p>
        </w:tc>
        <w:tc>
          <w:tcPr>
            <w:tcW w:type="dxa" w:w="4586"/>
            <w:vAlign w:val="center"/>
          </w:tcPr>
          <w:p>
            <w:pPr>
              <w:spacing w:after="20"/>
            </w:pPr>
            <w:r/>
            <w:r>
              <w:rPr>
                <w:rFonts w:ascii="Times New Roman" w:hAnsi="Times New Roman"/>
                <w:b w:val="0"/>
                <w:sz w:val="16"/>
              </w:rPr>
              <w:t>PostgreSQL 16.15; PostGIS 3.6.4; pg_cron; visible SQL migrations and stored functions</w:t>
            </w:r>
          </w:p>
        </w:tc>
      </w:tr>
      <w:tr>
        <w:tc>
          <w:tcPr>
            <w:tcW w:type="dxa" w:w="4586"/>
            <w:vAlign w:val="center"/>
          </w:tcPr>
          <w:p>
            <w:pPr>
              <w:spacing w:after="20"/>
            </w:pPr>
            <w:r/>
            <w:r>
              <w:rPr>
                <w:rFonts w:ascii="Times New Roman" w:hAnsi="Times New Roman"/>
                <w:b w:val="0"/>
                <w:sz w:val="16"/>
              </w:rPr>
              <w:t>API</w:t>
            </w:r>
          </w:p>
        </w:tc>
        <w:tc>
          <w:tcPr>
            <w:tcW w:type="dxa" w:w="4586"/>
            <w:vAlign w:val="center"/>
          </w:tcPr>
          <w:p>
            <w:pPr>
              <w:spacing w:after="20"/>
            </w:pPr>
            <w:r/>
            <w:r>
              <w:rPr>
                <w:rFonts w:ascii="Times New Roman" w:hAnsi="Times New Roman"/>
                <w:b w:val="0"/>
                <w:sz w:val="16"/>
              </w:rPr>
              <w:t>Node.js, TypeScript, node-postgres, runtime validation, parameterized SQL</w:t>
            </w:r>
          </w:p>
        </w:tc>
      </w:tr>
      <w:tr>
        <w:tc>
          <w:tcPr>
            <w:tcW w:type="dxa" w:w="4586"/>
            <w:vAlign w:val="center"/>
          </w:tcPr>
          <w:p>
            <w:pPr>
              <w:spacing w:after="20"/>
            </w:pPr>
            <w:r/>
            <w:r>
              <w:rPr>
                <w:rFonts w:ascii="Times New Roman" w:hAnsi="Times New Roman"/>
                <w:b w:val="0"/>
                <w:sz w:val="16"/>
              </w:rPr>
              <w:t>Interface</w:t>
            </w:r>
          </w:p>
        </w:tc>
        <w:tc>
          <w:tcPr>
            <w:tcW w:type="dxa" w:w="4586"/>
            <w:vAlign w:val="center"/>
          </w:tcPr>
          <w:p>
            <w:pPr>
              <w:spacing w:after="20"/>
            </w:pPr>
            <w:r/>
            <w:r>
              <w:rPr>
                <w:rFonts w:ascii="Times New Roman" w:hAnsi="Times New Roman"/>
                <w:b w:val="0"/>
                <w:sz w:val="16"/>
              </w:rPr>
              <w:t>Next.js 16, React 19, Tailwind CSS, Leaflet, Cytoscape.js</w:t>
            </w:r>
          </w:p>
        </w:tc>
      </w:tr>
      <w:tr>
        <w:tc>
          <w:tcPr>
            <w:tcW w:type="dxa" w:w="4586"/>
            <w:vAlign w:val="center"/>
          </w:tcPr>
          <w:p>
            <w:pPr>
              <w:spacing w:after="20"/>
            </w:pPr>
            <w:r/>
            <w:r>
              <w:rPr>
                <w:rFonts w:ascii="Times New Roman" w:hAnsi="Times New Roman"/>
                <w:b w:val="0"/>
                <w:sz w:val="16"/>
              </w:rPr>
              <w:t>Quality/evaluation</w:t>
            </w:r>
          </w:p>
        </w:tc>
        <w:tc>
          <w:tcPr>
            <w:tcW w:type="dxa" w:w="4586"/>
            <w:vAlign w:val="center"/>
          </w:tcPr>
          <w:p>
            <w:pPr>
              <w:spacing w:after="20"/>
            </w:pPr>
            <w:r/>
            <w:r>
              <w:rPr>
                <w:rFonts w:ascii="Times New Roman" w:hAnsi="Times New Roman"/>
                <w:b w:val="0"/>
                <w:sz w:val="16"/>
              </w:rPr>
              <w:t>Vitest, PostgreSQL integration tests, Playwright, deterministic seed and EXPLAIN (ANALYZE, BUFFERS) runners</w:t>
            </w:r>
          </w:p>
        </w:tc>
      </w:tr>
      <w:tr>
        <w:tc>
          <w:tcPr>
            <w:tcW w:type="dxa" w:w="4586"/>
            <w:vAlign w:val="center"/>
          </w:tcPr>
          <w:p>
            <w:pPr>
              <w:spacing w:after="20"/>
            </w:pPr>
            <w:r/>
            <w:r>
              <w:rPr>
                <w:rFonts w:ascii="Times New Roman" w:hAnsi="Times New Roman"/>
                <w:b w:val="0"/>
                <w:sz w:val="16"/>
              </w:rPr>
              <w:t>Synthetic data</w:t>
            </w:r>
          </w:p>
        </w:tc>
        <w:tc>
          <w:tcPr>
            <w:tcW w:type="dxa" w:w="4586"/>
            <w:vAlign w:val="center"/>
          </w:tcPr>
          <w:p>
            <w:pPr>
              <w:spacing w:after="20"/>
            </w:pPr>
            <w:r/>
            <w:r>
              <w:rPr>
                <w:rFonts w:ascii="Times New Roman" w:hAnsi="Times New Roman"/>
                <w:b w:val="0"/>
                <w:sz w:val="16"/>
              </w:rPr>
              <w:t>1,200 memory validation seed; benchmark artifacts at 10,000 and 50,000 records</w:t>
            </w:r>
          </w:p>
        </w:tc>
      </w:tr>
    </w:tbl>
    <w:p>
      <w:pPr>
        <w:spacing w:after="20"/>
      </w:pPr>
    </w:p>
    <w:p>
      <w:pPr>
        <w:pStyle w:val="Heading2"/>
      </w:pPr>
      <w:r>
        <w:t>5.2 Verification performed</w:t>
      </w:r>
    </w:p>
    <w:tbl>
      <w:tblPr>
        <w:tblStyle w:val="TableGrid"/>
        <w:tblW w:type="auto" w:w="0"/>
        <w:jc w:val="center"/>
        <w:tblLook w:firstColumn="1" w:firstRow="1" w:lastColumn="0" w:lastRow="0" w:noHBand="0" w:noVBand="1" w:val="04A0"/>
      </w:tblPr>
      <w:tblGrid>
        <w:gridCol w:w="4586"/>
        <w:gridCol w:w="4586"/>
      </w:tblGrid>
      <w:tr>
        <w:tc>
          <w:tcPr>
            <w:tcW w:type="dxa" w:w="4586"/>
            <w:shd w:fill="182A55"/>
            <w:vAlign w:val="center"/>
          </w:tcPr>
          <w:p>
            <w:pPr>
              <w:spacing w:after="20"/>
            </w:pPr>
            <w:r/>
            <w:r>
              <w:rPr>
                <w:rFonts w:ascii="Times New Roman" w:hAnsi="Times New Roman"/>
                <w:b/>
                <w:color w:val="FFFFFF"/>
                <w:sz w:val="16"/>
              </w:rPr>
              <w:t>Check</w:t>
            </w:r>
          </w:p>
        </w:tc>
        <w:tc>
          <w:tcPr>
            <w:tcW w:type="dxa" w:w="4586"/>
            <w:shd w:fill="182A55"/>
            <w:vAlign w:val="center"/>
          </w:tcPr>
          <w:p>
            <w:pPr>
              <w:spacing w:after="20"/>
            </w:pPr>
            <w:r/>
            <w:r>
              <w:rPr>
                <w:rFonts w:ascii="Times New Roman" w:hAnsi="Times New Roman"/>
                <w:b/>
                <w:color w:val="FFFFFF"/>
                <w:sz w:val="16"/>
              </w:rPr>
              <w:t>Observed result</w:t>
            </w:r>
          </w:p>
        </w:tc>
      </w:tr>
      <w:tr>
        <w:tc>
          <w:tcPr>
            <w:tcW w:type="dxa" w:w="4586"/>
            <w:vAlign w:val="center"/>
          </w:tcPr>
          <w:p>
            <w:pPr>
              <w:spacing w:after="20"/>
            </w:pPr>
            <w:r/>
            <w:r>
              <w:rPr>
                <w:rFonts w:ascii="Times New Roman" w:hAnsi="Times New Roman"/>
                <w:b w:val="0"/>
                <w:sz w:val="16"/>
              </w:rPr>
              <w:t>Vitest application/unit suite</w:t>
            </w:r>
          </w:p>
        </w:tc>
        <w:tc>
          <w:tcPr>
            <w:tcW w:type="dxa" w:w="4586"/>
            <w:vAlign w:val="center"/>
          </w:tcPr>
          <w:p>
            <w:pPr>
              <w:spacing w:after="20"/>
            </w:pPr>
            <w:r/>
            <w:r>
              <w:rPr>
                <w:rFonts w:ascii="Times New Roman" w:hAnsi="Times New Roman"/>
                <w:b w:val="0"/>
                <w:sz w:val="16"/>
              </w:rPr>
              <w:t>72 tests passed across 18 files</w:t>
            </w:r>
          </w:p>
        </w:tc>
      </w:tr>
      <w:tr>
        <w:tc>
          <w:tcPr>
            <w:tcW w:type="dxa" w:w="4586"/>
            <w:vAlign w:val="center"/>
          </w:tcPr>
          <w:p>
            <w:pPr>
              <w:spacing w:after="20"/>
            </w:pPr>
            <w:r/>
            <w:r>
              <w:rPr>
                <w:rFonts w:ascii="Times New Roman" w:hAnsi="Times New Roman"/>
                <w:b w:val="0"/>
                <w:sz w:val="16"/>
              </w:rPr>
              <w:t>TypeScript / production build</w:t>
            </w:r>
          </w:p>
        </w:tc>
        <w:tc>
          <w:tcPr>
            <w:tcW w:type="dxa" w:w="4586"/>
            <w:vAlign w:val="center"/>
          </w:tcPr>
          <w:p>
            <w:pPr>
              <w:spacing w:after="20"/>
            </w:pPr>
            <w:r/>
            <w:r>
              <w:rPr>
                <w:rFonts w:ascii="Times New Roman" w:hAnsi="Times New Roman"/>
                <w:b w:val="0"/>
                <w:sz w:val="16"/>
              </w:rPr>
              <w:t>tsc --noEmit passed; Next.js production build completed</w:t>
            </w:r>
          </w:p>
        </w:tc>
      </w:tr>
      <w:tr>
        <w:tc>
          <w:tcPr>
            <w:tcW w:type="dxa" w:w="4586"/>
            <w:vAlign w:val="center"/>
          </w:tcPr>
          <w:p>
            <w:pPr>
              <w:spacing w:after="20"/>
            </w:pPr>
            <w:r/>
            <w:r>
              <w:rPr>
                <w:rFonts w:ascii="Times New Roman" w:hAnsi="Times New Roman"/>
                <w:b w:val="0"/>
                <w:sz w:val="16"/>
              </w:rPr>
              <w:t>Database initialization</w:t>
            </w:r>
          </w:p>
        </w:tc>
        <w:tc>
          <w:tcPr>
            <w:tcW w:type="dxa" w:w="4586"/>
            <w:vAlign w:val="center"/>
          </w:tcPr>
          <w:p>
            <w:pPr>
              <w:spacing w:after="20"/>
            </w:pPr>
            <w:r/>
            <w:r>
              <w:rPr>
                <w:rFonts w:ascii="Times New Roman" w:hAnsi="Times New Roman"/>
                <w:b w:val="0"/>
                <w:sz w:val="16"/>
              </w:rPr>
              <w:t>Migrations 001–013; PostGIS/pg_cron routines verified; deterministic 1,200-memory seed</w:t>
            </w:r>
          </w:p>
        </w:tc>
      </w:tr>
      <w:tr>
        <w:tc>
          <w:tcPr>
            <w:tcW w:type="dxa" w:w="4586"/>
            <w:vAlign w:val="center"/>
          </w:tcPr>
          <w:p>
            <w:pPr>
              <w:spacing w:after="20"/>
            </w:pPr>
            <w:r/>
            <w:r>
              <w:rPr>
                <w:rFonts w:ascii="Times New Roman" w:hAnsi="Times New Roman"/>
                <w:b w:val="0"/>
                <w:sz w:val="16"/>
              </w:rPr>
              <w:t>SQL correctness and research database tests</w:t>
            </w:r>
          </w:p>
        </w:tc>
        <w:tc>
          <w:tcPr>
            <w:tcW w:type="dxa" w:w="4586"/>
            <w:vAlign w:val="center"/>
          </w:tcPr>
          <w:p>
            <w:pPr>
              <w:spacing w:after="20"/>
            </w:pPr>
            <w:r/>
            <w:r>
              <w:rPr>
                <w:rFonts w:ascii="Times New Roman" w:hAnsi="Times New Roman"/>
                <w:b w:val="0"/>
                <w:sz w:val="16"/>
              </w:rPr>
              <w:t>Research SQL contract passed; algorithm SQL assertions passed; rollback preserved fixture state</w:t>
            </w:r>
          </w:p>
        </w:tc>
      </w:tr>
      <w:tr>
        <w:tc>
          <w:tcPr>
            <w:tcW w:type="dxa" w:w="4586"/>
            <w:vAlign w:val="center"/>
          </w:tcPr>
          <w:p>
            <w:pPr>
              <w:spacing w:after="20"/>
            </w:pPr>
            <w:r/>
            <w:r>
              <w:rPr>
                <w:rFonts w:ascii="Times New Roman" w:hAnsi="Times New Roman"/>
                <w:b w:val="0"/>
                <w:sz w:val="16"/>
              </w:rPr>
              <w:t>Concurrency and service checks</w:t>
            </w:r>
          </w:p>
        </w:tc>
        <w:tc>
          <w:tcPr>
            <w:tcW w:type="dxa" w:w="4586"/>
            <w:vAlign w:val="center"/>
          </w:tcPr>
          <w:p>
            <w:pPr>
              <w:spacing w:after="20"/>
            </w:pPr>
            <w:r/>
            <w:r>
              <w:rPr>
                <w:rFonts w:ascii="Times New Roman" w:hAnsi="Times New Roman"/>
                <w:b w:val="0"/>
                <w:sz w:val="16"/>
              </w:rPr>
              <w:t>8-session reinforcement concurrency passed; push-delivery checks passed</w:t>
            </w:r>
          </w:p>
        </w:tc>
      </w:tr>
      <w:tr>
        <w:tc>
          <w:tcPr>
            <w:tcW w:type="dxa" w:w="4586"/>
            <w:vAlign w:val="center"/>
          </w:tcPr>
          <w:p>
            <w:pPr>
              <w:spacing w:after="20"/>
            </w:pPr>
            <w:r/>
            <w:r>
              <w:rPr>
                <w:rFonts w:ascii="Times New Roman" w:hAnsi="Times New Roman"/>
                <w:b w:val="0"/>
                <w:sz w:val="16"/>
              </w:rPr>
              <w:t>Study/evaluation tooling</w:t>
            </w:r>
          </w:p>
        </w:tc>
        <w:tc>
          <w:tcPr>
            <w:tcW w:type="dxa" w:w="4586"/>
            <w:vAlign w:val="center"/>
          </w:tcPr>
          <w:p>
            <w:pPr>
              <w:spacing w:after="20"/>
            </w:pPr>
            <w:r/>
            <w:r>
              <w:rPr>
                <w:rFonts w:ascii="Times New Roman" w:hAnsi="Times New Roman"/>
                <w:b w:val="0"/>
                <w:sz w:val="16"/>
              </w:rPr>
              <w:t>Study validation and DB verification passed; synthetic research evaluation completed</w:t>
            </w:r>
          </w:p>
        </w:tc>
      </w:tr>
      <w:tr>
        <w:tc>
          <w:tcPr>
            <w:tcW w:type="dxa" w:w="4586"/>
            <w:vAlign w:val="center"/>
          </w:tcPr>
          <w:p>
            <w:pPr>
              <w:spacing w:after="20"/>
            </w:pPr>
            <w:r/>
            <w:r>
              <w:rPr>
                <w:rFonts w:ascii="Times New Roman" w:hAnsi="Times New Roman"/>
                <w:b w:val="0"/>
                <w:sz w:val="16"/>
              </w:rPr>
              <w:t>Playwright Chromium + Firefox</w:t>
            </w:r>
          </w:p>
        </w:tc>
        <w:tc>
          <w:tcPr>
            <w:tcW w:type="dxa" w:w="4586"/>
            <w:vAlign w:val="center"/>
          </w:tcPr>
          <w:p>
            <w:pPr>
              <w:spacing w:after="20"/>
            </w:pPr>
            <w:r/>
            <w:r>
              <w:rPr>
                <w:rFonts w:ascii="Times New Roman" w:hAnsi="Times New Roman"/>
                <w:b w:val="0"/>
                <w:sz w:val="16"/>
              </w:rPr>
              <w:t>75/75 passed in each browser (150 total)</w:t>
            </w:r>
          </w:p>
        </w:tc>
      </w:tr>
      <w:tr>
        <w:tc>
          <w:tcPr>
            <w:tcW w:type="dxa" w:w="4586"/>
            <w:vAlign w:val="center"/>
          </w:tcPr>
          <w:p>
            <w:pPr>
              <w:spacing w:after="20"/>
            </w:pPr>
            <w:r/>
            <w:r>
              <w:rPr>
                <w:rFonts w:ascii="Times New Roman" w:hAnsi="Times New Roman"/>
                <w:b w:val="0"/>
                <w:sz w:val="16"/>
              </w:rPr>
              <w:t>Playwright WebKit</w:t>
            </w:r>
          </w:p>
        </w:tc>
        <w:tc>
          <w:tcPr>
            <w:tcW w:type="dxa" w:w="4586"/>
            <w:vAlign w:val="center"/>
          </w:tcPr>
          <w:p>
            <w:pPr>
              <w:spacing w:after="20"/>
            </w:pPr>
            <w:r/>
            <w:r>
              <w:rPr>
                <w:rFonts w:ascii="Times New Roman" w:hAnsi="Times New Roman"/>
                <w:b w:val="0"/>
                <w:sz w:val="16"/>
              </w:rPr>
              <w:t>72/75 passed; 3 Daily-page checks still fail in the WebKit browser runner</w:t>
            </w:r>
          </w:p>
        </w:tc>
      </w:tr>
      <w:tr>
        <w:tc>
          <w:tcPr>
            <w:tcW w:type="dxa" w:w="4586"/>
            <w:vAlign w:val="center"/>
          </w:tcPr>
          <w:p>
            <w:pPr>
              <w:spacing w:after="20"/>
            </w:pPr>
            <w:r/>
            <w:r>
              <w:rPr>
                <w:rFonts w:ascii="Times New Roman" w:hAnsi="Times New Roman"/>
                <w:b w:val="0"/>
                <w:sz w:val="16"/>
              </w:rPr>
              <w:t>Authenticated browser check</w:t>
            </w:r>
          </w:p>
        </w:tc>
        <w:tc>
          <w:tcPr>
            <w:tcW w:type="dxa" w:w="4586"/>
            <w:vAlign w:val="center"/>
          </w:tcPr>
          <w:p>
            <w:pPr>
              <w:spacing w:after="20"/>
            </w:pPr>
            <w:r/>
            <w:r>
              <w:rPr>
                <w:rFonts w:ascii="Times New Roman" w:hAnsi="Times New Roman"/>
                <w:b w:val="0"/>
                <w:sz w:val="16"/>
              </w:rPr>
              <w:t>1/1 passed with an ephemeral test password</w:t>
            </w:r>
          </w:p>
        </w:tc>
      </w:tr>
    </w:tbl>
    <w:p>
      <w:pPr>
        <w:spacing w:after="20"/>
      </w:pPr>
    </w:p>
    <w:p>
      <w:r>
        <w:t>After storage cleanup, docker compose up --build -d web started successfully against the existing PostgreSQL volume. The health endpoint reported PostgreSQL 16.15 and PostGIS 3.6.4; both pg_cron jobs were registered, and the existing 1,200 memory rows remained unchanged. No demo reseed was run.</w:t>
      </w:r>
    </w:p>
    <w:p>
      <w:pPr>
        <w:pStyle w:val="Heading2"/>
      </w:pPr>
      <w:r>
        <w:t>5.3 Synthetic correctness and research measurements</w:t>
      </w:r>
    </w:p>
    <w:p>
      <w:r>
        <w:t>The deterministic eight-memory ground-truth fixture produced an associative baseline F1 of 0.909 and recall of 1.000 across the labeled target set. These values describe the constructed fixture, not people. The application’s SQL tests additionally cover boundaries, cycles, negative valence, depth caps, and transaction behavior.</w:t>
      </w:r>
    </w:p>
    <w:p>
      <w:pPr>
        <w:pStyle w:val="Heading2"/>
      </w:pPr>
      <w:r>
        <w:t>5.4 Five-restart, 50,000-memory query measurements</w:t>
      </w:r>
    </w:p>
    <w:p>
      <w:r>
        <w:t>Each observation is a one-repetition query after a PostgreSQL restart; five sequential trials were summarized by medians. Restarting resets PostgreSQL shared_buffers but does not clear the operating-system cache. The workload uses a synthetic dense campus route and should not be generalized to other distributions.</w:t>
      </w:r>
    </w:p>
    <w:tbl>
      <w:tblPr>
        <w:tblStyle w:val="TableGrid"/>
        <w:tblW w:type="auto" w:w="0"/>
        <w:jc w:val="center"/>
        <w:tblLook w:firstColumn="1" w:firstRow="1" w:lastColumn="0" w:lastRow="0" w:noHBand="0" w:noVBand="1" w:val="04A0"/>
      </w:tblPr>
      <w:tblGrid>
        <w:gridCol w:w="3058"/>
        <w:gridCol w:w="3058"/>
        <w:gridCol w:w="3058"/>
      </w:tblGrid>
      <w:tr>
        <w:tc>
          <w:tcPr>
            <w:tcW w:type="dxa" w:w="3058"/>
            <w:shd w:fill="182A55"/>
            <w:vAlign w:val="center"/>
          </w:tcPr>
          <w:p>
            <w:pPr>
              <w:spacing w:after="20"/>
            </w:pPr>
            <w:r/>
            <w:r>
              <w:rPr>
                <w:rFonts w:ascii="Times New Roman" w:hAnsi="Times New Roman"/>
                <w:b/>
                <w:color w:val="FFFFFF"/>
                <w:sz w:val="16"/>
              </w:rPr>
              <w:t>Query</w:t>
            </w:r>
          </w:p>
        </w:tc>
        <w:tc>
          <w:tcPr>
            <w:tcW w:type="dxa" w:w="3058"/>
            <w:shd w:fill="182A55"/>
            <w:vAlign w:val="center"/>
          </w:tcPr>
          <w:p>
            <w:pPr>
              <w:spacing w:after="20"/>
            </w:pPr>
            <w:r/>
            <w:r>
              <w:rPr>
                <w:rFonts w:ascii="Times New Roman" w:hAnsi="Times New Roman"/>
                <w:b/>
                <w:color w:val="FFFFFF"/>
                <w:sz w:val="16"/>
              </w:rPr>
              <w:t>Median execution (ms)</w:t>
            </w:r>
          </w:p>
        </w:tc>
        <w:tc>
          <w:tcPr>
            <w:tcW w:type="dxa" w:w="3058"/>
            <w:shd w:fill="182A55"/>
            <w:vAlign w:val="center"/>
          </w:tcPr>
          <w:p>
            <w:pPr>
              <w:spacing w:after="20"/>
            </w:pPr>
            <w:r/>
            <w:r>
              <w:rPr>
                <w:rFonts w:ascii="Times New Roman" w:hAnsi="Times New Roman"/>
                <w:b/>
                <w:color w:val="FFFFFF"/>
                <w:sz w:val="16"/>
              </w:rPr>
              <w:t>Shared reads median</w:t>
            </w:r>
          </w:p>
        </w:tc>
      </w:tr>
      <w:tr>
        <w:tc>
          <w:tcPr>
            <w:tcW w:type="dxa" w:w="3058"/>
            <w:vAlign w:val="center"/>
          </w:tcPr>
          <w:p>
            <w:pPr>
              <w:spacing w:after="20"/>
            </w:pPr>
            <w:r/>
            <w:r>
              <w:rPr>
                <w:rFonts w:ascii="Times New Roman" w:hAnsi="Times New Roman"/>
                <w:b w:val="0"/>
                <w:sz w:val="16"/>
              </w:rPr>
              <w:t>Spatial index candidate, 150 m</w:t>
            </w:r>
          </w:p>
        </w:tc>
        <w:tc>
          <w:tcPr>
            <w:tcW w:type="dxa" w:w="3058"/>
            <w:vAlign w:val="center"/>
          </w:tcPr>
          <w:p>
            <w:pPr>
              <w:spacing w:after="20"/>
            </w:pPr>
            <w:r/>
            <w:r>
              <w:rPr>
                <w:rFonts w:ascii="Times New Roman" w:hAnsi="Times New Roman"/>
                <w:b w:val="0"/>
                <w:sz w:val="16"/>
              </w:rPr>
              <w:t>58.784</w:t>
            </w:r>
          </w:p>
        </w:tc>
        <w:tc>
          <w:tcPr>
            <w:tcW w:type="dxa" w:w="3058"/>
            <w:vAlign w:val="center"/>
          </w:tcPr>
          <w:p>
            <w:pPr>
              <w:spacing w:after="20"/>
            </w:pPr>
            <w:r/>
            <w:r>
              <w:rPr>
                <w:rFonts w:ascii="Times New Roman" w:hAnsi="Times New Roman"/>
                <w:b w:val="0"/>
                <w:sz w:val="16"/>
              </w:rPr>
              <w:t>354</w:t>
            </w:r>
          </w:p>
        </w:tc>
      </w:tr>
      <w:tr>
        <w:tc>
          <w:tcPr>
            <w:tcW w:type="dxa" w:w="3058"/>
            <w:vAlign w:val="center"/>
          </w:tcPr>
          <w:p>
            <w:pPr>
              <w:spacing w:after="20"/>
            </w:pPr>
            <w:r/>
            <w:r>
              <w:rPr>
                <w:rFonts w:ascii="Times New Roman" w:hAnsi="Times New Roman"/>
                <w:b w:val="0"/>
                <w:sz w:val="16"/>
              </w:rPr>
              <w:t>Controlled sequential plan</w:t>
            </w:r>
          </w:p>
        </w:tc>
        <w:tc>
          <w:tcPr>
            <w:tcW w:type="dxa" w:w="3058"/>
            <w:vAlign w:val="center"/>
          </w:tcPr>
          <w:p>
            <w:pPr>
              <w:spacing w:after="20"/>
            </w:pPr>
            <w:r/>
            <w:r>
              <w:rPr>
                <w:rFonts w:ascii="Times New Roman" w:hAnsi="Times New Roman"/>
                <w:b w:val="0"/>
                <w:sz w:val="16"/>
              </w:rPr>
              <w:t>49.212</w:t>
            </w:r>
          </w:p>
        </w:tc>
        <w:tc>
          <w:tcPr>
            <w:tcW w:type="dxa" w:w="3058"/>
            <w:vAlign w:val="center"/>
          </w:tcPr>
          <w:p>
            <w:pPr>
              <w:spacing w:after="20"/>
            </w:pPr>
            <w:r/>
            <w:r>
              <w:rPr>
                <w:rFonts w:ascii="Times New Roman" w:hAnsi="Times New Roman"/>
                <w:b w:val="0"/>
                <w:sz w:val="16"/>
              </w:rPr>
              <w:t>213</w:t>
            </w:r>
          </w:p>
        </w:tc>
      </w:tr>
      <w:tr>
        <w:tc>
          <w:tcPr>
            <w:tcW w:type="dxa" w:w="3058"/>
            <w:vAlign w:val="center"/>
          </w:tcPr>
          <w:p>
            <w:pPr>
              <w:spacing w:after="20"/>
            </w:pPr>
            <w:r/>
            <w:r>
              <w:rPr>
                <w:rFonts w:ascii="Times New Roman" w:hAnsi="Times New Roman"/>
                <w:b w:val="0"/>
                <w:sz w:val="16"/>
              </w:rPr>
              <w:t>Associative recall, depth 1</w:t>
            </w:r>
          </w:p>
        </w:tc>
        <w:tc>
          <w:tcPr>
            <w:tcW w:type="dxa" w:w="3058"/>
            <w:vAlign w:val="center"/>
          </w:tcPr>
          <w:p>
            <w:pPr>
              <w:spacing w:after="20"/>
            </w:pPr>
            <w:r/>
            <w:r>
              <w:rPr>
                <w:rFonts w:ascii="Times New Roman" w:hAnsi="Times New Roman"/>
                <w:b w:val="0"/>
                <w:sz w:val="16"/>
              </w:rPr>
              <w:t>0.190</w:t>
            </w:r>
          </w:p>
        </w:tc>
        <w:tc>
          <w:tcPr>
            <w:tcW w:type="dxa" w:w="3058"/>
            <w:vAlign w:val="center"/>
          </w:tcPr>
          <w:p>
            <w:pPr>
              <w:spacing w:after="20"/>
            </w:pPr>
            <w:r/>
            <w:r>
              <w:rPr>
                <w:rFonts w:ascii="Times New Roman" w:hAnsi="Times New Roman"/>
                <w:b w:val="0"/>
                <w:sz w:val="16"/>
              </w:rPr>
              <w:t>6</w:t>
            </w:r>
          </w:p>
        </w:tc>
      </w:tr>
      <w:tr>
        <w:tc>
          <w:tcPr>
            <w:tcW w:type="dxa" w:w="3058"/>
            <w:vAlign w:val="center"/>
          </w:tcPr>
          <w:p>
            <w:pPr>
              <w:spacing w:after="20"/>
            </w:pPr>
            <w:r/>
            <w:r>
              <w:rPr>
                <w:rFonts w:ascii="Times New Roman" w:hAnsi="Times New Roman"/>
                <w:b w:val="0"/>
                <w:sz w:val="16"/>
              </w:rPr>
              <w:t>Associative recall, depth 2</w:t>
            </w:r>
          </w:p>
        </w:tc>
        <w:tc>
          <w:tcPr>
            <w:tcW w:type="dxa" w:w="3058"/>
            <w:vAlign w:val="center"/>
          </w:tcPr>
          <w:p>
            <w:pPr>
              <w:spacing w:after="20"/>
            </w:pPr>
            <w:r/>
            <w:r>
              <w:rPr>
                <w:rFonts w:ascii="Times New Roman" w:hAnsi="Times New Roman"/>
                <w:b w:val="0"/>
                <w:sz w:val="16"/>
              </w:rPr>
              <w:t>0.166</w:t>
            </w:r>
          </w:p>
        </w:tc>
        <w:tc>
          <w:tcPr>
            <w:tcW w:type="dxa" w:w="3058"/>
            <w:vAlign w:val="center"/>
          </w:tcPr>
          <w:p>
            <w:pPr>
              <w:spacing w:after="20"/>
            </w:pPr>
            <w:r/>
            <w:r>
              <w:rPr>
                <w:rFonts w:ascii="Times New Roman" w:hAnsi="Times New Roman"/>
                <w:b w:val="0"/>
                <w:sz w:val="16"/>
              </w:rPr>
              <w:t>4</w:t>
            </w:r>
          </w:p>
        </w:tc>
      </w:tr>
      <w:tr>
        <w:tc>
          <w:tcPr>
            <w:tcW w:type="dxa" w:w="3058"/>
            <w:vAlign w:val="center"/>
          </w:tcPr>
          <w:p>
            <w:pPr>
              <w:spacing w:after="20"/>
            </w:pPr>
            <w:r/>
            <w:r>
              <w:rPr>
                <w:rFonts w:ascii="Times New Roman" w:hAnsi="Times New Roman"/>
                <w:b w:val="0"/>
                <w:sz w:val="16"/>
              </w:rPr>
              <w:t>Associative recall, depth 3</w:t>
            </w:r>
          </w:p>
        </w:tc>
        <w:tc>
          <w:tcPr>
            <w:tcW w:type="dxa" w:w="3058"/>
            <w:vAlign w:val="center"/>
          </w:tcPr>
          <w:p>
            <w:pPr>
              <w:spacing w:after="20"/>
            </w:pPr>
            <w:r/>
            <w:r>
              <w:rPr>
                <w:rFonts w:ascii="Times New Roman" w:hAnsi="Times New Roman"/>
                <w:b w:val="0"/>
                <w:sz w:val="16"/>
              </w:rPr>
              <w:t>0.198</w:t>
            </w:r>
          </w:p>
        </w:tc>
        <w:tc>
          <w:tcPr>
            <w:tcW w:type="dxa" w:w="3058"/>
            <w:vAlign w:val="center"/>
          </w:tcPr>
          <w:p>
            <w:pPr>
              <w:spacing w:after="20"/>
            </w:pPr>
            <w:r/>
            <w:r>
              <w:rPr>
                <w:rFonts w:ascii="Times New Roman" w:hAnsi="Times New Roman"/>
                <w:b w:val="0"/>
                <w:sz w:val="16"/>
              </w:rPr>
              <w:t>5</w:t>
            </w:r>
          </w:p>
        </w:tc>
      </w:tr>
      <w:tr>
        <w:tc>
          <w:tcPr>
            <w:tcW w:type="dxa" w:w="3058"/>
            <w:vAlign w:val="center"/>
          </w:tcPr>
          <w:p>
            <w:pPr>
              <w:spacing w:after="20"/>
            </w:pPr>
            <w:r/>
            <w:r>
              <w:rPr>
                <w:rFonts w:ascii="Times New Roman" w:hAnsi="Times New Roman"/>
                <w:b w:val="0"/>
                <w:sz w:val="16"/>
              </w:rPr>
              <w:t>Fading materialized-view query</w:t>
            </w:r>
          </w:p>
        </w:tc>
        <w:tc>
          <w:tcPr>
            <w:tcW w:type="dxa" w:w="3058"/>
            <w:vAlign w:val="center"/>
          </w:tcPr>
          <w:p>
            <w:pPr>
              <w:spacing w:after="20"/>
            </w:pPr>
            <w:r/>
            <w:r>
              <w:rPr>
                <w:rFonts w:ascii="Times New Roman" w:hAnsi="Times New Roman"/>
                <w:b w:val="0"/>
                <w:sz w:val="16"/>
              </w:rPr>
              <w:t>7.493</w:t>
            </w:r>
          </w:p>
        </w:tc>
        <w:tc>
          <w:tcPr>
            <w:tcW w:type="dxa" w:w="3058"/>
            <w:vAlign w:val="center"/>
          </w:tcPr>
          <w:p>
            <w:pPr>
              <w:spacing w:after="20"/>
            </w:pPr>
            <w:r/>
            <w:r>
              <w:rPr>
                <w:rFonts w:ascii="Times New Roman" w:hAnsi="Times New Roman"/>
                <w:b w:val="0"/>
                <w:sz w:val="16"/>
              </w:rPr>
              <w:t>960</w:t>
            </w:r>
          </w:p>
        </w:tc>
      </w:tr>
      <w:tr>
        <w:tc>
          <w:tcPr>
            <w:tcW w:type="dxa" w:w="3058"/>
            <w:vAlign w:val="center"/>
          </w:tcPr>
          <w:p>
            <w:pPr>
              <w:spacing w:after="20"/>
            </w:pPr>
            <w:r/>
            <w:r>
              <w:rPr>
                <w:rFonts w:ascii="Times New Roman" w:hAnsi="Times New Roman"/>
                <w:b w:val="0"/>
                <w:sz w:val="16"/>
              </w:rPr>
              <w:t>Equivalent direct fading query</w:t>
            </w:r>
          </w:p>
        </w:tc>
        <w:tc>
          <w:tcPr>
            <w:tcW w:type="dxa" w:w="3058"/>
            <w:vAlign w:val="center"/>
          </w:tcPr>
          <w:p>
            <w:pPr>
              <w:spacing w:after="20"/>
            </w:pPr>
            <w:r/>
            <w:r>
              <w:rPr>
                <w:rFonts w:ascii="Times New Roman" w:hAnsi="Times New Roman"/>
                <w:b w:val="0"/>
                <w:sz w:val="16"/>
              </w:rPr>
              <w:t>205.908</w:t>
            </w:r>
          </w:p>
        </w:tc>
        <w:tc>
          <w:tcPr>
            <w:tcW w:type="dxa" w:w="3058"/>
            <w:vAlign w:val="center"/>
          </w:tcPr>
          <w:p>
            <w:pPr>
              <w:spacing w:after="20"/>
            </w:pPr>
            <w:r/>
            <w:r>
              <w:rPr>
                <w:rFonts w:ascii="Times New Roman" w:hAnsi="Times New Roman"/>
                <w:b w:val="0"/>
                <w:sz w:val="16"/>
              </w:rPr>
              <w:t>0</w:t>
            </w:r>
          </w:p>
        </w:tc>
      </w:tr>
      <w:tr>
        <w:tc>
          <w:tcPr>
            <w:tcW w:type="dxa" w:w="3058"/>
            <w:vAlign w:val="center"/>
          </w:tcPr>
          <w:p>
            <w:pPr>
              <w:spacing w:after="20"/>
            </w:pPr>
            <w:r/>
            <w:r>
              <w:rPr>
                <w:rFonts w:ascii="Times New Roman" w:hAnsi="Times New Roman"/>
                <w:b w:val="0"/>
                <w:sz w:val="16"/>
              </w:rPr>
              <w:t>Timeline query</w:t>
            </w:r>
          </w:p>
        </w:tc>
        <w:tc>
          <w:tcPr>
            <w:tcW w:type="dxa" w:w="3058"/>
            <w:vAlign w:val="center"/>
          </w:tcPr>
          <w:p>
            <w:pPr>
              <w:spacing w:after="20"/>
            </w:pPr>
            <w:r/>
            <w:r>
              <w:rPr>
                <w:rFonts w:ascii="Times New Roman" w:hAnsi="Times New Roman"/>
                <w:b w:val="0"/>
                <w:sz w:val="16"/>
              </w:rPr>
              <w:t>0.091</w:t>
            </w:r>
          </w:p>
        </w:tc>
        <w:tc>
          <w:tcPr>
            <w:tcW w:type="dxa" w:w="3058"/>
            <w:vAlign w:val="center"/>
          </w:tcPr>
          <w:p>
            <w:pPr>
              <w:spacing w:after="20"/>
            </w:pPr>
            <w:r/>
            <w:r>
              <w:rPr>
                <w:rFonts w:ascii="Times New Roman" w:hAnsi="Times New Roman"/>
                <w:b w:val="0"/>
                <w:sz w:val="16"/>
              </w:rPr>
              <w:t>0</w:t>
            </w:r>
          </w:p>
        </w:tc>
      </w:tr>
    </w:tbl>
    <w:p>
      <w:pPr>
        <w:spacing w:after="20"/>
      </w:pPr>
    </w:p>
    <w:p>
      <w:r>
        <w:t>At this workload, the selected bitmap index candidate was slower than the controlled sequential plan; this is evidence against claiming a general spatial-index speedup for the tested broad corridor. The materialized-view lookup was faster than recomputing the direct review query in these trials, while view creation and refresh had separate maintenance cost.</w:t>
      </w:r>
    </w:p>
    <w:p>
      <w:pPr>
        <w:pStyle w:val="Heading2"/>
      </w:pPr>
      <w:r>
        <w:t>5.5 Spatial selectivity sweep</w:t>
      </w:r>
    </w:p>
    <w:tbl>
      <w:tblPr>
        <w:tblStyle w:val="TableGrid"/>
        <w:tblW w:type="auto" w:w="0"/>
        <w:jc w:val="center"/>
        <w:tblLook w:firstColumn="1" w:firstRow="1" w:lastColumn="0" w:lastRow="0" w:noHBand="0" w:noVBand="1" w:val="04A0"/>
      </w:tblPr>
      <w:tblGrid>
        <w:gridCol w:w="1835"/>
        <w:gridCol w:w="1835"/>
        <w:gridCol w:w="1835"/>
        <w:gridCol w:w="1835"/>
        <w:gridCol w:w="1835"/>
      </w:tblGrid>
      <w:tr>
        <w:tc>
          <w:tcPr>
            <w:tcW w:type="dxa" w:w="1835"/>
            <w:shd w:fill="182A55"/>
            <w:vAlign w:val="center"/>
          </w:tcPr>
          <w:p>
            <w:pPr>
              <w:spacing w:after="20"/>
            </w:pPr>
            <w:r/>
            <w:r>
              <w:rPr>
                <w:rFonts w:ascii="Times New Roman" w:hAnsi="Times New Roman"/>
                <w:b/>
                <w:color w:val="FFFFFF"/>
                <w:sz w:val="16"/>
              </w:rPr>
              <w:t>Radius</w:t>
            </w:r>
          </w:p>
        </w:tc>
        <w:tc>
          <w:tcPr>
            <w:tcW w:type="dxa" w:w="1835"/>
            <w:shd w:fill="182A55"/>
            <w:vAlign w:val="center"/>
          </w:tcPr>
          <w:p>
            <w:pPr>
              <w:spacing w:after="20"/>
            </w:pPr>
            <w:r/>
            <w:r>
              <w:rPr>
                <w:rFonts w:ascii="Times New Roman" w:hAnsi="Times New Roman"/>
                <w:b/>
                <w:color w:val="FFFFFF"/>
                <w:sz w:val="16"/>
              </w:rPr>
              <w:t>Returned rows (50K)</w:t>
            </w:r>
          </w:p>
        </w:tc>
        <w:tc>
          <w:tcPr>
            <w:tcW w:type="dxa" w:w="1835"/>
            <w:shd w:fill="182A55"/>
            <w:vAlign w:val="center"/>
          </w:tcPr>
          <w:p>
            <w:pPr>
              <w:spacing w:after="20"/>
            </w:pPr>
            <w:r/>
            <w:r>
              <w:rPr>
                <w:rFonts w:ascii="Times New Roman" w:hAnsi="Times New Roman"/>
                <w:b/>
                <w:color w:val="FFFFFF"/>
                <w:sz w:val="16"/>
              </w:rPr>
              <w:t>Share</w:t>
            </w:r>
          </w:p>
        </w:tc>
        <w:tc>
          <w:tcPr>
            <w:tcW w:type="dxa" w:w="1835"/>
            <w:shd w:fill="182A55"/>
            <w:vAlign w:val="center"/>
          </w:tcPr>
          <w:p>
            <w:pPr>
              <w:spacing w:after="20"/>
            </w:pPr>
            <w:r/>
            <w:r>
              <w:rPr>
                <w:rFonts w:ascii="Times New Roman" w:hAnsi="Times New Roman"/>
                <w:b/>
                <w:color w:val="FFFFFF"/>
                <w:sz w:val="16"/>
              </w:rPr>
              <w:t>Planner candidate median</w:t>
            </w:r>
          </w:p>
        </w:tc>
        <w:tc>
          <w:tcPr>
            <w:tcW w:type="dxa" w:w="1835"/>
            <w:shd w:fill="182A55"/>
            <w:vAlign w:val="center"/>
          </w:tcPr>
          <w:p>
            <w:pPr>
              <w:spacing w:after="20"/>
            </w:pPr>
            <w:r/>
            <w:r>
              <w:rPr>
                <w:rFonts w:ascii="Times New Roman" w:hAnsi="Times New Roman"/>
                <w:b/>
                <w:color w:val="FFFFFF"/>
                <w:sz w:val="16"/>
              </w:rPr>
              <w:t>Candidate plan</w:t>
            </w:r>
          </w:p>
        </w:tc>
      </w:tr>
      <w:tr>
        <w:tc>
          <w:tcPr>
            <w:tcW w:type="dxa" w:w="1835"/>
            <w:vAlign w:val="center"/>
          </w:tcPr>
          <w:p>
            <w:pPr>
              <w:spacing w:after="20"/>
            </w:pPr>
            <w:r/>
            <w:r>
              <w:rPr>
                <w:rFonts w:ascii="Times New Roman" w:hAnsi="Times New Roman"/>
                <w:b w:val="0"/>
                <w:sz w:val="16"/>
              </w:rPr>
              <w:t>25 m</w:t>
            </w:r>
          </w:p>
        </w:tc>
        <w:tc>
          <w:tcPr>
            <w:tcW w:type="dxa" w:w="1835"/>
            <w:vAlign w:val="center"/>
          </w:tcPr>
          <w:p>
            <w:pPr>
              <w:spacing w:after="20"/>
            </w:pPr>
            <w:r/>
            <w:r>
              <w:rPr>
                <w:rFonts w:ascii="Times New Roman" w:hAnsi="Times New Roman"/>
                <w:b w:val="0"/>
                <w:sz w:val="16"/>
              </w:rPr>
              <w:t>2,025</w:t>
            </w:r>
          </w:p>
        </w:tc>
        <w:tc>
          <w:tcPr>
            <w:tcW w:type="dxa" w:w="1835"/>
            <w:vAlign w:val="center"/>
          </w:tcPr>
          <w:p>
            <w:pPr>
              <w:spacing w:after="20"/>
            </w:pPr>
            <w:r/>
            <w:r>
              <w:rPr>
                <w:rFonts w:ascii="Times New Roman" w:hAnsi="Times New Roman"/>
                <w:b w:val="0"/>
                <w:sz w:val="16"/>
              </w:rPr>
              <w:t>4.05%</w:t>
            </w:r>
          </w:p>
        </w:tc>
        <w:tc>
          <w:tcPr>
            <w:tcW w:type="dxa" w:w="1835"/>
            <w:vAlign w:val="center"/>
          </w:tcPr>
          <w:p>
            <w:pPr>
              <w:spacing w:after="20"/>
            </w:pPr>
            <w:r/>
            <w:r>
              <w:rPr>
                <w:rFonts w:ascii="Times New Roman" w:hAnsi="Times New Roman"/>
                <w:b w:val="0"/>
                <w:sz w:val="16"/>
              </w:rPr>
              <w:t>129.883 ms</w:t>
            </w:r>
          </w:p>
        </w:tc>
        <w:tc>
          <w:tcPr>
            <w:tcW w:type="dxa" w:w="1835"/>
            <w:vAlign w:val="center"/>
          </w:tcPr>
          <w:p>
            <w:pPr>
              <w:spacing w:after="20"/>
            </w:pPr>
            <w:r/>
            <w:r>
              <w:rPr>
                <w:rFonts w:ascii="Times New Roman" w:hAnsi="Times New Roman"/>
                <w:b w:val="0"/>
                <w:sz w:val="16"/>
              </w:rPr>
              <w:t>Bitmap index + heap scan</w:t>
            </w:r>
          </w:p>
        </w:tc>
      </w:tr>
      <w:tr>
        <w:tc>
          <w:tcPr>
            <w:tcW w:type="dxa" w:w="1835"/>
            <w:vAlign w:val="center"/>
          </w:tcPr>
          <w:p>
            <w:pPr>
              <w:spacing w:after="20"/>
            </w:pPr>
            <w:r/>
            <w:r>
              <w:rPr>
                <w:rFonts w:ascii="Times New Roman" w:hAnsi="Times New Roman"/>
                <w:b w:val="0"/>
                <w:sz w:val="16"/>
              </w:rPr>
              <w:t>150 m</w:t>
            </w:r>
          </w:p>
        </w:tc>
        <w:tc>
          <w:tcPr>
            <w:tcW w:type="dxa" w:w="1835"/>
            <w:vAlign w:val="center"/>
          </w:tcPr>
          <w:p>
            <w:pPr>
              <w:spacing w:after="20"/>
            </w:pPr>
            <w:r/>
            <w:r>
              <w:rPr>
                <w:rFonts w:ascii="Times New Roman" w:hAnsi="Times New Roman"/>
                <w:b w:val="0"/>
                <w:sz w:val="16"/>
              </w:rPr>
              <w:t>14,375</w:t>
            </w:r>
          </w:p>
        </w:tc>
        <w:tc>
          <w:tcPr>
            <w:tcW w:type="dxa" w:w="1835"/>
            <w:vAlign w:val="center"/>
          </w:tcPr>
          <w:p>
            <w:pPr>
              <w:spacing w:after="20"/>
            </w:pPr>
            <w:r/>
            <w:r>
              <w:rPr>
                <w:rFonts w:ascii="Times New Roman" w:hAnsi="Times New Roman"/>
                <w:b w:val="0"/>
                <w:sz w:val="16"/>
              </w:rPr>
              <w:t>28.75%</w:t>
            </w:r>
          </w:p>
        </w:tc>
        <w:tc>
          <w:tcPr>
            <w:tcW w:type="dxa" w:w="1835"/>
            <w:vAlign w:val="center"/>
          </w:tcPr>
          <w:p>
            <w:pPr>
              <w:spacing w:after="20"/>
            </w:pPr>
            <w:r/>
            <w:r>
              <w:rPr>
                <w:rFonts w:ascii="Times New Roman" w:hAnsi="Times New Roman"/>
                <w:b w:val="0"/>
                <w:sz w:val="16"/>
              </w:rPr>
              <w:t>134.925 ms</w:t>
            </w:r>
          </w:p>
        </w:tc>
        <w:tc>
          <w:tcPr>
            <w:tcW w:type="dxa" w:w="1835"/>
            <w:vAlign w:val="center"/>
          </w:tcPr>
          <w:p>
            <w:pPr>
              <w:spacing w:after="20"/>
            </w:pPr>
            <w:r/>
            <w:r>
              <w:rPr>
                <w:rFonts w:ascii="Times New Roman" w:hAnsi="Times New Roman"/>
                <w:b w:val="0"/>
                <w:sz w:val="16"/>
              </w:rPr>
              <w:t>Bitmap index + heap scan</w:t>
            </w:r>
          </w:p>
        </w:tc>
      </w:tr>
      <w:tr>
        <w:tc>
          <w:tcPr>
            <w:tcW w:type="dxa" w:w="1835"/>
            <w:vAlign w:val="center"/>
          </w:tcPr>
          <w:p>
            <w:pPr>
              <w:spacing w:after="20"/>
            </w:pPr>
            <w:r/>
            <w:r>
              <w:rPr>
                <w:rFonts w:ascii="Times New Roman" w:hAnsi="Times New Roman"/>
                <w:b w:val="0"/>
                <w:sz w:val="16"/>
              </w:rPr>
              <w:t>1,000 m</w:t>
            </w:r>
          </w:p>
        </w:tc>
        <w:tc>
          <w:tcPr>
            <w:tcW w:type="dxa" w:w="1835"/>
            <w:vAlign w:val="center"/>
          </w:tcPr>
          <w:p>
            <w:pPr>
              <w:spacing w:after="20"/>
            </w:pPr>
            <w:r/>
            <w:r>
              <w:rPr>
                <w:rFonts w:ascii="Times New Roman" w:hAnsi="Times New Roman"/>
                <w:b w:val="0"/>
                <w:sz w:val="16"/>
              </w:rPr>
              <w:t>49,725</w:t>
            </w:r>
          </w:p>
        </w:tc>
        <w:tc>
          <w:tcPr>
            <w:tcW w:type="dxa" w:w="1835"/>
            <w:vAlign w:val="center"/>
          </w:tcPr>
          <w:p>
            <w:pPr>
              <w:spacing w:after="20"/>
            </w:pPr>
            <w:r/>
            <w:r>
              <w:rPr>
                <w:rFonts w:ascii="Times New Roman" w:hAnsi="Times New Roman"/>
                <w:b w:val="0"/>
                <w:sz w:val="16"/>
              </w:rPr>
              <w:t>99.45%</w:t>
            </w:r>
          </w:p>
        </w:tc>
        <w:tc>
          <w:tcPr>
            <w:tcW w:type="dxa" w:w="1835"/>
            <w:vAlign w:val="center"/>
          </w:tcPr>
          <w:p>
            <w:pPr>
              <w:spacing w:after="20"/>
            </w:pPr>
            <w:r/>
            <w:r>
              <w:rPr>
                <w:rFonts w:ascii="Times New Roman" w:hAnsi="Times New Roman"/>
                <w:b w:val="0"/>
                <w:sz w:val="16"/>
              </w:rPr>
              <w:t>159.016 ms</w:t>
            </w:r>
          </w:p>
        </w:tc>
        <w:tc>
          <w:tcPr>
            <w:tcW w:type="dxa" w:w="1835"/>
            <w:vAlign w:val="center"/>
          </w:tcPr>
          <w:p>
            <w:pPr>
              <w:spacing w:after="20"/>
            </w:pPr>
            <w:r/>
            <w:r>
              <w:rPr>
                <w:rFonts w:ascii="Times New Roman" w:hAnsi="Times New Roman"/>
                <w:b w:val="0"/>
                <w:sz w:val="16"/>
              </w:rPr>
              <w:t>Parallel sequential scan</w:t>
            </w:r>
          </w:p>
        </w:tc>
      </w:tr>
    </w:tbl>
    <w:p>
      <w:pPr>
        <w:spacing w:after="20"/>
      </w:pPr>
    </w:p>
    <w:p>
      <w:r>
        <w:t>The five-trial confidence intervals for planner-candidate and controlled sequential means overlap at each radius. Scan selection changed as route selectivity rose, but this experiment does not establish a reliable causal benefit from the index. It uses one route and one synthetic cluster; operating-system cache was uncontrolled.</w:t>
      </w:r>
    </w:p>
    <w:p>
      <w:pPr>
        <w:pStyle w:val="Heading2"/>
      </w:pPr>
      <w:r>
        <w:t>5.6 Threats to validity and limitations</w:t>
      </w:r>
    </w:p>
    <w:p>
      <w:pPr>
        <w:pStyle w:val="ListBullet"/>
        <w:spacing w:after="40"/>
      </w:pPr>
      <w:r>
        <w:t>Synthetic records and labels do not represent personal diaries or user recall.</w:t>
      </w:r>
    </w:p>
    <w:p>
      <w:pPr>
        <w:pStyle w:val="ListBullet"/>
        <w:spacing w:after="40"/>
      </w:pPr>
      <w:r>
        <w:t>No human-participant study has been conducted; cognitive validity, usefulness, accessibility outcomes, and privacy perceptions are not measured.</w:t>
      </w:r>
    </w:p>
    <w:p>
      <w:pPr>
        <w:pStyle w:val="ListBullet"/>
        <w:spacing w:after="40"/>
      </w:pPr>
      <w:r>
        <w:t>Five sequential restart trials on one host have limited statistical power and no independent machine replication.</w:t>
      </w:r>
    </w:p>
    <w:p>
      <w:pPr>
        <w:pStyle w:val="ListBullet"/>
        <w:spacing w:after="40"/>
      </w:pPr>
      <w:r>
        <w:t>The spatial workload is clustered and broad; selectivity and scan choices can differ on real data.</w:t>
      </w:r>
    </w:p>
    <w:p>
      <w:pPr>
        <w:pStyle w:val="ListBullet"/>
        <w:spacing w:after="40"/>
      </w:pPr>
      <w:r>
        <w:t>The WebKit suite is incomplete (72/75); three Daily-page browser checks time out. Chromium and Firefox passed.</w:t>
      </w:r>
    </w:p>
    <w:p>
      <w:pPr>
        <w:pStyle w:val="ListBullet"/>
        <w:spacing w:after="40"/>
      </w:pPr>
      <w:r>
        <w:t>The local Compose restart was blocked by host storage exhaustion, so a disposable PostgreSQL instance was used for integration validation.</w:t>
      </w:r>
    </w:p>
    <w:p>
      <w:pPr>
        <w:pStyle w:val="Heading1"/>
      </w:pPr>
      <w:r>
        <w:t>6. Conclusion and Future Work</w:t>
      </w:r>
    </w:p>
    <w:p>
      <w:r>
        <w:t>MemoryScape demonstrates a reproducible, database-centered implementation that combines spatial route recall, temporal decay and reinforcement, associative graph traversal, and fading-memory review. Its main strength is that the query logic is explicit in PostgreSQL and the interface can expose result paths, distances, timestamps, and strength changes. Current evidence supports functional correctness on the tested fixtures and measured query behavior on synthetic data; it does not establish biological plausibility, real-world usefulness, or a general performance advantage.</w:t>
      </w:r>
    </w:p>
    <w:p>
      <w:r>
        <w:t>Next steps are to restore the local storage environment, complete the WebKit failures, test with larger varied spatial distributions and more independent hosts, and conduct a usability/recall study only after institutional ethics review and informed-consent preparation. Any tuning of decay or activation parameters should be treated as an empirical research question, not inferred from synthetic calibration.</w:t>
      </w:r>
    </w:p>
    <w:p>
      <w:pPr>
        <w:pStyle w:val="Heading1"/>
      </w:pPr>
      <w:r>
        <w:t>References</w:t>
      </w:r>
    </w:p>
    <w:p>
      <w:pPr>
        <w:spacing w:after="100"/>
        <w:ind w:left="360" w:hanging="360"/>
      </w:pPr>
      <w:r>
        <w:t>[1] Ebbinghaus, H. (1885/1913). Memory: A Contribution to Experimental Psychology. Translated by H. A. Ruger and C. E. Bussenius. Teachers College, Columbia University. (Historical work; used here as context for quantitative forgetting models.)</w:t>
      </w:r>
    </w:p>
    <w:p>
      <w:pPr>
        <w:spacing w:after="100"/>
        <w:ind w:left="360" w:hanging="360"/>
      </w:pPr>
      <w:r>
        <w:t>[2] Collins, A. M., &amp; Loftus, E. F. (1975). A spreading-activation theory of semantic processing. Psychological Review, 82(6), 407–428. https://doi.org/10.1037/0033-295X.82.6.407</w:t>
      </w:r>
    </w:p>
    <w:p>
      <w:pPr>
        <w:spacing w:after="100"/>
        <w:ind w:left="360" w:hanging="360"/>
      </w:pPr>
      <w:r>
        <w:t>[3] O’Keefe, J., &amp; Nadel, L. (1978). The Hippocampus as a Cognitive Map. Clarendon Press, Oxford.</w:t>
      </w:r>
    </w:p>
    <w:p>
      <w:pPr>
        <w:spacing w:after="100"/>
        <w:ind w:left="360" w:hanging="360"/>
      </w:pPr>
      <w:r>
        <w:t>[4] PostgreSQL Global Development Group. PostgreSQL 16 Documentation: WITH Queries (Common Table Expressions). https://www.postgresql.org/docs/16/queries-with.html</w:t>
      </w:r>
    </w:p>
    <w:p>
      <w:pPr>
        <w:spacing w:after="100"/>
        <w:ind w:left="360" w:hanging="360"/>
      </w:pPr>
      <w:r>
        <w:t>[5] PostGIS Project Steering Committee. PostGIS Documentation: ST_DWithin; ST_LineLocatePoint; Using PostGIS: Spatial Indexes. https://postgis.net/docs/manual-dev/en/ST_DWithin.html ; https://postgis.net/docs/manual-3.7/en/ST_LineLocatePoint.html ; https://postgis.net/docs/using_postgis_dbmanagement.html</w:t>
      </w:r>
    </w:p>
    <w:p>
      <w:pPr>
        <w:spacing w:after="100"/>
        <w:ind w:left="360" w:hanging="360"/>
      </w:pPr>
      <w:r>
        <w:t>[6] MemoryScape project artifacts. Database schema, algorithm notes, implementation status, evaluation methodology, raw benchmark plans and deterministic research results. Repository documentation, captured 2026.</w:t>
      </w:r>
    </w:p>
    <w:sectPr w:rsidR="00FC693F" w:rsidRPr="0006063C" w:rsidSect="00034616">
      <w:headerReference w:type="default" r:id="rId9"/>
      <w:footerReference w:type="default" r:id="rId10"/>
      <w:pgSz w:w="11909" w:h="16834"/>
      <w:pgMar w:top="1181" w:right="1296" w:bottom="112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76273"/>
        <w:sz w:val="16"/>
      </w:rPr>
      <w:t xml:space="preserve">VIT  ·  MemoryScape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76273"/>
        <w:sz w:val="16"/>
      </w:rPr>
      <w:t>MEMORYSCAPE  ·  BCSE497J PROJECT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color w:val="23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Times New Roman"/>
      <w:b/>
      <w:bCs/>
      <w:color w:val="182A55"/>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82A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82A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82A5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Times New Roman" w:hAnsi="Times New Roman" w:eastAsia="Times New Roman"/>
      <w:color w:val="232A35"/>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MemoryScape: A Spatiotemporal Personal Knowledge Graph with Biologically Inspired Recall</dc:title>
  <dc:subject>BCSE497J Project I — implementation-based report</dc:subject>
  <dc:creator>Akil; Syon Vijae Thyvalappil</dc:creator>
  <cp:keywords/>
  <dc:description>generated by python-docx</dc:description>
  <cp:lastModifiedBy/>
  <cp:revision>1</cp:revision>
  <dcterms:created xsi:type="dcterms:W3CDTF">2013-12-23T23:15:00Z</dcterms:created>
  <dcterms:modified xsi:type="dcterms:W3CDTF">2013-12-23T23:15:00Z</dcterms:modified>
  <cp:category/>
</cp:coreProperties>
</file>