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20"/>
        <w:jc w:val="center"/>
      </w:pPr>
      <w:r>
        <w:rPr>
          <w:rFonts w:ascii="Times New Roman" w:hAnsi="Times New Roman"/>
          <w:b/>
          <w:i w:val="0"/>
          <w:sz w:val="36"/>
        </w:rPr>
        <w:t>Sentio: A Critical Evaluation of an EEG-Driven Wearable LED System</w:t>
      </w:r>
    </w:p>
    <w:p>
      <w:pPr>
        <w:spacing w:after="40"/>
        <w:jc w:val="center"/>
      </w:pPr>
      <w:r>
        <w:rPr>
          <w:rFonts w:ascii="Times New Roman" w:hAnsi="Times New Roman"/>
          <w:b w:val="0"/>
          <w:i/>
          <w:color w:val="646464"/>
          <w:sz w:val="22"/>
        </w:rPr>
        <w:t>Critical Academic Report</w:t>
      </w:r>
    </w:p>
    <w:p>
      <w:pPr>
        <w:spacing w:after="400"/>
        <w:jc w:val="center"/>
      </w:pPr>
      <w:r>
        <w:rPr>
          <w:rFonts w:ascii="Times New Roman" w:hAnsi="Times New Roman"/>
          <w:b w:val="0"/>
          <w:i w:val="0"/>
          <w:color w:val="828282"/>
          <w:sz w:val="20"/>
        </w:rPr>
        <w:t>Sentio Project  |  WS2812B Arduino Version  |  2026</w:t>
      </w:r>
    </w:p>
    <w:p>
      <w:pPr>
        <w:spacing w:after="40" w:before="40"/>
        <w:pBdr>
          <w:bottom w:val="single" w:sz="6" w:space="1" w:color="AAAAAA"/>
        </w:pBdr>
      </w:pPr>
    </w:p>
    <w:p>
      <w:pPr>
        <w:keepNext/>
        <w:spacing w:before="360" w:after="80"/>
      </w:pPr>
      <w:r>
        <w:rPr>
          <w:rFonts w:ascii="Times New Roman" w:hAnsi="Times New Roman"/>
          <w:b/>
          <w:i w:val="0"/>
          <w:sz w:val="26"/>
        </w:rPr>
        <w:t>Hardware Specification Summary</w:t>
      </w:r>
    </w:p>
    <w:p>
      <w:pPr>
        <w:spacing w:after="160"/>
        <w:jc w:val="both"/>
      </w:pPr>
      <w:r>
        <w:rPr>
          <w:rFonts w:ascii="Times New Roman" w:hAnsi="Times New Roman"/>
          <w:b w:val="0"/>
          <w:i w:val="0"/>
          <w:sz w:val="24"/>
        </w:rPr>
        <w:t>The physical LED garment is built according to the WS2812B LED T-Shirt Technical Documentation &amp; Assembly Manual. Key parameters are summarised below and referenced throughout this report.</w:t>
      </w:r>
    </w:p>
    <w:tbl>
      <w:tblPr>
        <w:tblStyle w:val="TableGrid"/>
        <w:tblW w:type="auto" w:w="0"/>
        <w:tblLook w:firstColumn="1" w:firstRow="1" w:lastColumn="0" w:lastRow="0" w:noHBand="0" w:noVBand="1" w:val="04A0"/>
      </w:tblPr>
      <w:tblGrid>
        <w:gridCol w:w="4561"/>
        <w:gridCol w:w="4561"/>
      </w:tblGrid>
      <w:tr>
        <w:tc>
          <w:tcPr>
            <w:tcW w:type="dxa" w:w="4561"/>
          </w:tcPr>
          <w:p>
            <w:r>
              <w:rPr>
                <w:rFonts w:ascii="Times New Roman" w:hAnsi="Times New Roman"/>
                <w:b/>
                <w:i w:val="0"/>
                <w:sz w:val="20"/>
              </w:rPr>
              <w:t>Parameter</w:t>
            </w:r>
          </w:p>
        </w:tc>
        <w:tc>
          <w:tcPr>
            <w:tcW w:type="dxa" w:w="4561"/>
          </w:tcPr>
          <w:p>
            <w:r>
              <w:rPr>
                <w:rFonts w:ascii="Times New Roman" w:hAnsi="Times New Roman"/>
                <w:b/>
                <w:i w:val="0"/>
                <w:sz w:val="20"/>
              </w:rPr>
              <w:t>Value</w:t>
            </w:r>
          </w:p>
        </w:tc>
      </w:tr>
      <w:tr>
        <w:tc>
          <w:tcPr>
            <w:tcW w:type="dxa" w:w="4561"/>
          </w:tcPr>
          <w:p>
            <w:r>
              <w:rPr>
                <w:rFonts w:ascii="Times New Roman" w:hAnsi="Times New Roman"/>
                <w:b w:val="0"/>
                <w:i/>
                <w:sz w:val="20"/>
              </w:rPr>
              <w:t>LED type</w:t>
            </w:r>
          </w:p>
        </w:tc>
        <w:tc>
          <w:tcPr>
            <w:tcW w:type="dxa" w:w="4561"/>
          </w:tcPr>
          <w:p>
            <w:r>
              <w:rPr>
                <w:rFonts w:ascii="Times New Roman" w:hAnsi="Times New Roman"/>
                <w:b w:val="0"/>
                <w:i w:val="0"/>
                <w:sz w:val="20"/>
              </w:rPr>
              <w:t>WS2812B (individually addressable RGB)</w:t>
            </w:r>
          </w:p>
        </w:tc>
      </w:tr>
      <w:tr>
        <w:tc>
          <w:tcPr>
            <w:tcW w:type="dxa" w:w="4561"/>
          </w:tcPr>
          <w:p>
            <w:r>
              <w:rPr>
                <w:rFonts w:ascii="Times New Roman" w:hAnsi="Times New Roman"/>
                <w:b w:val="0"/>
                <w:i/>
                <w:sz w:val="20"/>
              </w:rPr>
              <w:t>Matrix layout</w:t>
            </w:r>
          </w:p>
        </w:tc>
        <w:tc>
          <w:tcPr>
            <w:tcW w:type="dxa" w:w="4561"/>
          </w:tcPr>
          <w:p>
            <w:r>
              <w:rPr>
                <w:rFonts w:ascii="Times New Roman" w:hAnsi="Times New Roman"/>
                <w:b w:val="0"/>
                <w:i w:val="0"/>
                <w:sz w:val="20"/>
              </w:rPr>
              <w:t>10 rows x 20 columns = 200 LEDs (serpentine)</w:t>
            </w:r>
          </w:p>
        </w:tc>
      </w:tr>
      <w:tr>
        <w:tc>
          <w:tcPr>
            <w:tcW w:type="dxa" w:w="4561"/>
          </w:tcPr>
          <w:p>
            <w:r>
              <w:rPr>
                <w:rFonts w:ascii="Times New Roman" w:hAnsi="Times New Roman"/>
                <w:b w:val="0"/>
                <w:i/>
                <w:sz w:val="20"/>
              </w:rPr>
              <w:t>Active panel area</w:t>
            </w:r>
          </w:p>
        </w:tc>
        <w:tc>
          <w:tcPr>
            <w:tcW w:type="dxa" w:w="4561"/>
          </w:tcPr>
          <w:p>
            <w:r>
              <w:rPr>
                <w:rFonts w:ascii="Times New Roman" w:hAnsi="Times New Roman"/>
                <w:b w:val="0"/>
                <w:i w:val="0"/>
                <w:sz w:val="20"/>
              </w:rPr>
              <w:t>40 cm x 55 cm</w:t>
            </w:r>
          </w:p>
        </w:tc>
      </w:tr>
      <w:tr>
        <w:tc>
          <w:tcPr>
            <w:tcW w:type="dxa" w:w="4561"/>
          </w:tcPr>
          <w:p>
            <w:r>
              <w:rPr>
                <w:rFonts w:ascii="Times New Roman" w:hAnsi="Times New Roman"/>
                <w:b w:val="0"/>
                <w:i/>
                <w:sz w:val="20"/>
              </w:rPr>
              <w:t>Base panel</w:t>
            </w:r>
          </w:p>
        </w:tc>
        <w:tc>
          <w:tcPr>
            <w:tcW w:type="dxa" w:w="4561"/>
          </w:tcPr>
          <w:p>
            <w:r>
              <w:rPr>
                <w:rFonts w:ascii="Times New Roman" w:hAnsi="Times New Roman"/>
                <w:b w:val="0"/>
                <w:i w:val="0"/>
                <w:sz w:val="20"/>
              </w:rPr>
              <w:t>42 x 57 cm felt or cotton (includes margin)</w:t>
            </w:r>
          </w:p>
        </w:tc>
      </w:tr>
      <w:tr>
        <w:tc>
          <w:tcPr>
            <w:tcW w:type="dxa" w:w="4561"/>
          </w:tcPr>
          <w:p>
            <w:r>
              <w:rPr>
                <w:rFonts w:ascii="Times New Roman" w:hAnsi="Times New Roman"/>
                <w:b w:val="0"/>
                <w:i/>
                <w:sz w:val="20"/>
              </w:rPr>
              <w:t>Diffusion layer</w:t>
            </w:r>
          </w:p>
        </w:tc>
        <w:tc>
          <w:tcPr>
            <w:tcW w:type="dxa" w:w="4561"/>
          </w:tcPr>
          <w:p>
            <w:r>
              <w:rPr>
                <w:rFonts w:ascii="Times New Roman" w:hAnsi="Times New Roman"/>
                <w:b w:val="0"/>
                <w:i w:val="0"/>
                <w:sz w:val="20"/>
              </w:rPr>
              <w:t>Thin white fabric, lightly stitched over panel</w:t>
            </w:r>
          </w:p>
        </w:tc>
      </w:tr>
      <w:tr>
        <w:tc>
          <w:tcPr>
            <w:tcW w:type="dxa" w:w="4561"/>
          </w:tcPr>
          <w:p>
            <w:r>
              <w:rPr>
                <w:rFonts w:ascii="Times New Roman" w:hAnsi="Times New Roman"/>
                <w:b w:val="0"/>
                <w:i/>
                <w:sz w:val="20"/>
              </w:rPr>
              <w:t>Supply voltage</w:t>
            </w:r>
          </w:p>
        </w:tc>
        <w:tc>
          <w:tcPr>
            <w:tcW w:type="dxa" w:w="4561"/>
          </w:tcPr>
          <w:p>
            <w:r>
              <w:rPr>
                <w:rFonts w:ascii="Times New Roman" w:hAnsi="Times New Roman"/>
                <w:b w:val="0"/>
                <w:i w:val="0"/>
                <w:sz w:val="20"/>
              </w:rPr>
              <w:t>5V DC regulated</w:t>
            </w:r>
          </w:p>
        </w:tc>
      </w:tr>
      <w:tr>
        <w:tc>
          <w:tcPr>
            <w:tcW w:type="dxa" w:w="4561"/>
          </w:tcPr>
          <w:p>
            <w:r>
              <w:rPr>
                <w:rFonts w:ascii="Times New Roman" w:hAnsi="Times New Roman"/>
                <w:b w:val="0"/>
                <w:i/>
                <w:sz w:val="20"/>
              </w:rPr>
              <w:t>Max current (peak)</w:t>
            </w:r>
          </w:p>
        </w:tc>
        <w:tc>
          <w:tcPr>
            <w:tcW w:type="dxa" w:w="4561"/>
          </w:tcPr>
          <w:p>
            <w:r>
              <w:rPr>
                <w:rFonts w:ascii="Times New Roman" w:hAnsi="Times New Roman"/>
                <w:b w:val="0"/>
                <w:i w:val="0"/>
                <w:sz w:val="20"/>
              </w:rPr>
              <w:t>200 x 60 mA = 12 A (full white)</w:t>
            </w:r>
          </w:p>
        </w:tc>
      </w:tr>
      <w:tr>
        <w:tc>
          <w:tcPr>
            <w:tcW w:type="dxa" w:w="4561"/>
          </w:tcPr>
          <w:p>
            <w:r>
              <w:rPr>
                <w:rFonts w:ascii="Times New Roman" w:hAnsi="Times New Roman"/>
                <w:b w:val="0"/>
                <w:i/>
                <w:sz w:val="20"/>
              </w:rPr>
              <w:t>Recommended current</w:t>
            </w:r>
          </w:p>
        </w:tc>
        <w:tc>
          <w:tcPr>
            <w:tcW w:type="dxa" w:w="4561"/>
          </w:tcPr>
          <w:p>
            <w:r>
              <w:rPr>
                <w:rFonts w:ascii="Times New Roman" w:hAnsi="Times New Roman"/>
                <w:b w:val="0"/>
                <w:i w:val="0"/>
                <w:sz w:val="20"/>
              </w:rPr>
              <w:t>200 x 20 mA = 4 A (animated patterns)</w:t>
            </w:r>
          </w:p>
        </w:tc>
      </w:tr>
      <w:tr>
        <w:tc>
          <w:tcPr>
            <w:tcW w:type="dxa" w:w="4561"/>
          </w:tcPr>
          <w:p>
            <w:r>
              <w:rPr>
                <w:rFonts w:ascii="Times New Roman" w:hAnsi="Times New Roman"/>
                <w:b w:val="0"/>
                <w:i/>
                <w:sz w:val="20"/>
              </w:rPr>
              <w:t>Recommended supply</w:t>
            </w:r>
          </w:p>
        </w:tc>
        <w:tc>
          <w:tcPr>
            <w:tcW w:type="dxa" w:w="4561"/>
          </w:tcPr>
          <w:p>
            <w:r>
              <w:rPr>
                <w:rFonts w:ascii="Times New Roman" w:hAnsi="Times New Roman"/>
                <w:b w:val="0"/>
                <w:i w:val="0"/>
                <w:sz w:val="20"/>
              </w:rPr>
              <w:t>5V / 5-10 A external battery pack</w:t>
            </w:r>
          </w:p>
        </w:tc>
      </w:tr>
      <w:tr>
        <w:tc>
          <w:tcPr>
            <w:tcW w:type="dxa" w:w="4561"/>
          </w:tcPr>
          <w:p>
            <w:r>
              <w:rPr>
                <w:rFonts w:ascii="Times New Roman" w:hAnsi="Times New Roman"/>
                <w:b w:val="0"/>
                <w:i/>
                <w:sz w:val="20"/>
              </w:rPr>
              <w:t>Data line</w:t>
            </w:r>
          </w:p>
        </w:tc>
        <w:tc>
          <w:tcPr>
            <w:tcW w:type="dxa" w:w="4561"/>
          </w:tcPr>
          <w:p>
            <w:r>
              <w:rPr>
                <w:rFonts w:ascii="Times New Roman" w:hAnsi="Times New Roman"/>
                <w:b w:val="0"/>
                <w:i w:val="0"/>
                <w:sz w:val="20"/>
              </w:rPr>
              <w:t>Arduino/ESP32 GPIO -&gt; 330 ohm resistor -&gt; DIN</w:t>
            </w:r>
          </w:p>
        </w:tc>
      </w:tr>
      <w:tr>
        <w:tc>
          <w:tcPr>
            <w:tcW w:type="dxa" w:w="4561"/>
          </w:tcPr>
          <w:p>
            <w:r>
              <w:rPr>
                <w:rFonts w:ascii="Times New Roman" w:hAnsi="Times New Roman"/>
                <w:b w:val="0"/>
                <w:i/>
                <w:sz w:val="20"/>
              </w:rPr>
              <w:t>Power injection</w:t>
            </w:r>
          </w:p>
        </w:tc>
        <w:tc>
          <w:tcPr>
            <w:tcW w:type="dxa" w:w="4561"/>
          </w:tcPr>
          <w:p>
            <w:r>
              <w:rPr>
                <w:rFonts w:ascii="Times New Roman" w:hAnsi="Times New Roman"/>
                <w:b w:val="0"/>
                <w:i w:val="0"/>
                <w:sz w:val="20"/>
              </w:rPr>
              <w:t>4 points: Row 1, Row 4, Row 7, Row 10</w:t>
            </w:r>
          </w:p>
        </w:tc>
      </w:tr>
      <w:tr>
        <w:tc>
          <w:tcPr>
            <w:tcW w:type="dxa" w:w="4561"/>
          </w:tcPr>
          <w:p>
            <w:r>
              <w:rPr>
                <w:rFonts w:ascii="Times New Roman" w:hAnsi="Times New Roman"/>
                <w:b w:val="0"/>
                <w:i/>
                <w:sz w:val="20"/>
              </w:rPr>
              <w:t>Decoupling cap</w:t>
            </w:r>
          </w:p>
        </w:tc>
        <w:tc>
          <w:tcPr>
            <w:tcW w:type="dxa" w:w="4561"/>
          </w:tcPr>
          <w:p>
            <w:r>
              <w:rPr>
                <w:rFonts w:ascii="Times New Roman" w:hAnsi="Times New Roman"/>
                <w:b w:val="0"/>
                <w:i w:val="0"/>
                <w:sz w:val="20"/>
              </w:rPr>
              <w:t>1000 uF across 5V / GND near first LED</w:t>
            </w:r>
          </w:p>
        </w:tc>
      </w:tr>
      <w:tr>
        <w:tc>
          <w:tcPr>
            <w:tcW w:type="dxa" w:w="4561"/>
          </w:tcPr>
          <w:p>
            <w:r>
              <w:rPr>
                <w:rFonts w:ascii="Times New Roman" w:hAnsi="Times New Roman"/>
                <w:b w:val="0"/>
                <w:i/>
                <w:sz w:val="20"/>
              </w:rPr>
              <w:t>Wiring gauge</w:t>
            </w:r>
          </w:p>
        </w:tc>
        <w:tc>
          <w:tcPr>
            <w:tcW w:type="dxa" w:w="4561"/>
          </w:tcPr>
          <w:p>
            <w:r>
              <w:rPr>
                <w:rFonts w:ascii="Times New Roman" w:hAnsi="Times New Roman"/>
                <w:b w:val="0"/>
                <w:i w:val="0"/>
                <w:sz w:val="20"/>
              </w:rPr>
              <w:t>Silicone 22-26 AWG</w:t>
            </w:r>
          </w:p>
        </w:tc>
      </w:tr>
      <w:tr>
        <w:tc>
          <w:tcPr>
            <w:tcW w:type="dxa" w:w="4561"/>
          </w:tcPr>
          <w:p>
            <w:r>
              <w:rPr>
                <w:rFonts w:ascii="Times New Roman" w:hAnsi="Times New Roman"/>
                <w:b w:val="0"/>
                <w:i/>
                <w:sz w:val="20"/>
              </w:rPr>
              <w:t>Software brightness</w:t>
            </w:r>
          </w:p>
        </w:tc>
        <w:tc>
          <w:tcPr>
            <w:tcW w:type="dxa" w:w="4561"/>
          </w:tcPr>
          <w:p>
            <w:r>
              <w:rPr>
                <w:rFonts w:ascii="Times New Roman" w:hAnsi="Times New Roman"/>
                <w:b w:val="0"/>
                <w:i w:val="0"/>
                <w:sz w:val="20"/>
              </w:rPr>
              <w:t>Capped at 50-100 (out of 255) per manual</w:t>
            </w:r>
          </w:p>
        </w:tc>
      </w:tr>
      <w:tr>
        <w:tc>
          <w:tcPr>
            <w:tcW w:type="dxa" w:w="4561"/>
          </w:tcPr>
          <w:p>
            <w:r>
              <w:rPr>
                <w:rFonts w:ascii="Times New Roman" w:hAnsi="Times New Roman"/>
                <w:b w:val="0"/>
                <w:i/>
                <w:sz w:val="20"/>
              </w:rPr>
              <w:t>Controller</w:t>
            </w:r>
          </w:p>
        </w:tc>
        <w:tc>
          <w:tcPr>
            <w:tcW w:type="dxa" w:w="4561"/>
          </w:tcPr>
          <w:p>
            <w:r>
              <w:rPr>
                <w:rFonts w:ascii="Times New Roman" w:hAnsi="Times New Roman"/>
                <w:b w:val="0"/>
                <w:i w:val="0"/>
                <w:sz w:val="20"/>
              </w:rPr>
              <w:t>Arduino Nano or compatible (ESP32 in Sentio)</w:t>
            </w:r>
          </w:p>
        </w:tc>
      </w:tr>
    </w:tbl>
    <w:p>
      <w:pPr>
        <w:spacing w:after="160"/>
      </w:pPr>
    </w:p>
    <w:p>
      <w:pPr>
        <w:spacing w:after="40" w:before="40"/>
        <w:pBdr>
          <w:bottom w:val="single" w:sz="6" w:space="1" w:color="AAAAAA"/>
        </w:pBdr>
      </w:pPr>
    </w:p>
    <w:p>
      <w:pPr>
        <w:keepNext/>
        <w:spacing w:before="360" w:after="80"/>
      </w:pPr>
      <w:r>
        <w:rPr>
          <w:rFonts w:ascii="Times New Roman" w:hAnsi="Times New Roman"/>
          <w:b/>
          <w:i w:val="0"/>
          <w:sz w:val="26"/>
        </w:rPr>
        <w:t>System Architecture</w:t>
      </w:r>
    </w:p>
    <w:p>
      <w:pPr>
        <w:spacing w:before="240" w:after="80"/>
        <w:jc w:val="center"/>
      </w:pPr>
      <w:r>
        <w:drawing>
          <wp:inline xmlns:a="http://schemas.openxmlformats.org/drawingml/2006/main" xmlns:pic="http://schemas.openxmlformats.org/drawingml/2006/picture">
            <wp:extent cx="5486400" cy="3107575"/>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86400" cy="3107575"/>
                    </a:xfrm>
                    <a:prstGeom prst="rect"/>
                  </pic:spPr>
                </pic:pic>
              </a:graphicData>
            </a:graphic>
          </wp:inline>
        </w:drawing>
      </w:r>
    </w:p>
    <w:p>
      <w:pPr>
        <w:spacing w:after="280" w:before="40"/>
        <w:jc w:val="center"/>
      </w:pPr>
      <w:r>
        <w:rPr>
          <w:rFonts w:ascii="Times New Roman" w:hAnsi="Times New Roman"/>
          <w:b w:val="0"/>
          <w:i/>
          <w:color w:val="646464"/>
          <w:sz w:val="18"/>
        </w:rPr>
        <w:t>Figure 0 — Sentio system architecture: Muse 2 EEG headband to 10x20 WS2812B LED matrix (200 LEDs) via ESP32 WebSocket, with React monitoring dashboard as secondary operator output.</w:t>
      </w:r>
    </w:p>
    <w:p>
      <w:pPr>
        <w:spacing w:after="40" w:before="40"/>
        <w:pBdr>
          <w:bottom w:val="single" w:sz="6" w:space="1" w:color="AAAAAA"/>
        </w:pBdr>
      </w:pPr>
    </w:p>
    <w:p>
      <w:pPr>
        <w:keepNext/>
        <w:spacing w:before="360" w:after="80"/>
      </w:pPr>
      <w:r>
        <w:rPr>
          <w:rFonts w:ascii="Times New Roman" w:hAnsi="Times New Roman"/>
          <w:b/>
          <w:i w:val="0"/>
          <w:sz w:val="26"/>
        </w:rPr>
        <w:t>1. Introduction</w:t>
      </w:r>
    </w:p>
    <w:p>
      <w:pPr>
        <w:spacing w:after="160"/>
        <w:jc w:val="both"/>
      </w:pPr>
      <w:r>
        <w:rPr>
          <w:rFonts w:ascii="Times New Roman" w:hAnsi="Times New Roman"/>
          <w:b w:val="0"/>
          <w:i w:val="0"/>
          <w:sz w:val="24"/>
        </w:rPr>
        <w:t>Sentio is an emotion-driven wearable interactive system that translates real-time electroencephalography (EEG) data into generative visual patterns rendered on a physical LED panel worn on a t-shirt chest. The hardware substrate -- specified in the WS2812B LED T-Shirt Assembly Manual -- comprises 200 individually addressable WS2812B LEDs arranged in a 10x20 serpentine matrix across a 40 x 55 cm active area, mounted on a 42 x 57 cm felt base panel and covered with a thin white diffusion fabric to smooth light output. A Muse 2 EEG headband streams brainwave data to a Python backend that classifies five emotional states -- calm, focused, stressed, relaxed, and excited -- and transmits results wirelessly via WebSocket to an ESP32 microcontroller driving the matrix through four visual patterns: Ondas Fluidas, Padrao Geometrico, Pulsos Ritmicos, and Estrelas e Particulas. A React web dashboard (Figure 5) provides real-time operator monitoring. This report critically evaluates Sentio's effectiveness as an interactive system, examining usability, interaction design principles, and system-level thinking to assess how successfully it bridges complex neurological data and a meaningful wearable experience.</w:t>
      </w:r>
    </w:p>
    <w:p>
      <w:pPr>
        <w:spacing w:before="160" w:after="80"/>
        <w:jc w:val="center"/>
      </w:pPr>
      <w:r>
        <w:rPr>
          <w:rFonts w:ascii="Times New Roman" w:hAnsi="Times New Roman"/>
          <w:b w:val="0"/>
          <w:i/>
          <w:color w:val="A0A0A0"/>
          <w:sz w:val="20"/>
        </w:rPr>
        <w:t>[Screenshot not found — save as docs/screenshots/led_patterns_tshirt.png]</w:t>
      </w:r>
    </w:p>
    <w:p>
      <w:pPr>
        <w:spacing w:after="280" w:before="40"/>
        <w:jc w:val="center"/>
      </w:pPr>
      <w:r>
        <w:rPr>
          <w:rFonts w:ascii="Times New Roman" w:hAnsi="Times New Roman"/>
          <w:b w:val="0"/>
          <w:i/>
          <w:color w:val="646464"/>
          <w:sz w:val="18"/>
        </w:rPr>
        <w:t>Figure 6 — The four emotion-driven LED patterns rendered on the physical WS2812B t-shirt garment (200 LEDs, 10x20 serpentine matrix, 40x55 cm active area): (1) Ondas Fluidas — calm/relaxed; (2) Padrao Geometrico — focused; (3) Pulsos Ritmicos — stressed/excited; (4) Estrelas e Particulas — neutral.</w:t>
      </w:r>
    </w:p>
    <w:p>
      <w:pPr>
        <w:spacing w:before="160" w:after="80"/>
        <w:jc w:val="center"/>
      </w:pPr>
      <w:r>
        <w:rPr>
          <w:rFonts w:ascii="Times New Roman" w:hAnsi="Times New Roman"/>
          <w:b w:val="0"/>
          <w:i/>
          <w:color w:val="A0A0A0"/>
          <w:sz w:val="20"/>
        </w:rPr>
        <w:t>[Screenshot not found — save as docs/screenshots/01_config_screen.png]</w:t>
      </w:r>
    </w:p>
    <w:p>
      <w:pPr>
        <w:spacing w:after="280" w:before="40"/>
        <w:jc w:val="center"/>
      </w:pPr>
      <w:r>
        <w:rPr>
          <w:rFonts w:ascii="Times New Roman" w:hAnsi="Times New Roman"/>
          <w:b w:val="0"/>
          <w:i/>
          <w:color w:val="646464"/>
          <w:sz w:val="18"/>
        </w:rPr>
        <w:t>Figure 1 — Configuration screen: pattern type selection (2x2 card grid) and signal sensitivity slider.</w:t>
      </w:r>
    </w:p>
    <w:p>
      <w:pPr>
        <w:keepNext/>
        <w:spacing w:before="360" w:after="80"/>
      </w:pPr>
      <w:r>
        <w:rPr>
          <w:rFonts w:ascii="Times New Roman" w:hAnsi="Times New Roman"/>
          <w:b/>
          <w:i w:val="0"/>
          <w:sz w:val="26"/>
        </w:rPr>
        <w:t>2. Usability and Interaction Analysis</w:t>
      </w:r>
    </w:p>
    <w:p>
      <w:pPr>
        <w:spacing w:after="160"/>
        <w:jc w:val="both"/>
      </w:pPr>
      <w:r>
        <w:rPr>
          <w:rFonts w:ascii="Times New Roman" w:hAnsi="Times New Roman"/>
          <w:b/>
          <w:i w:val="0"/>
          <w:sz w:val="24"/>
        </w:rPr>
        <w:t xml:space="preserve">Effectiveness.  </w:t>
      </w:r>
      <w:r>
        <w:rPr>
          <w:rFonts w:ascii="Times New Roman" w:hAnsi="Times New Roman"/>
          <w:b w:val="0"/>
          <w:i w:val="0"/>
          <w:sz w:val="24"/>
        </w:rPr>
        <w:t xml:space="preserve">Sentio achieves its primary goal through a clearly defined five-stage pipeline: session configuration, device connection, calibration, real-time monitoring, and LED pattern output (Figures 1-3). The configuration screen (Figure 1) presents pattern type as a 2x2 card grid with inline SVG previews, reducing the abstraction gap between label and visual output. This decision supports task completion by providing </w:t>
      </w:r>
      <w:r>
        <w:rPr>
          <w:rFonts w:ascii="Times New Roman" w:hAnsi="Times New Roman"/>
          <w:b w:val="0"/>
          <w:i/>
          <w:sz w:val="24"/>
        </w:rPr>
        <w:t>recognition over recall</w:t>
      </w:r>
      <w:r>
        <w:rPr>
          <w:rFonts w:ascii="Times New Roman" w:hAnsi="Times New Roman"/>
          <w:b w:val="0"/>
          <w:i w:val="0"/>
          <w:sz w:val="24"/>
        </w:rPr>
        <w:t xml:space="preserve"> (Nielsen, 1994). However, hardware reliability is a critical dependency: Bluetooth connectivity between the Muse headband and the processing machine constitutes a single point of failure. Additionally, the physical garment introduces a second hardware dependency chain -- power supply integrity, 330-ohm data resistor, 1000 uF decoupling capacitor, and four power injection points -- any of which, if misconfigured, will produce partial or complete LED failure without any software-visible error.</w:t>
      </w:r>
    </w:p>
    <w:p>
      <w:pPr>
        <w:spacing w:after="160"/>
        <w:jc w:val="both"/>
      </w:pPr>
      <w:r>
        <w:rPr>
          <w:rFonts w:ascii="Times New Roman" w:hAnsi="Times New Roman"/>
          <w:b/>
          <w:i w:val="0"/>
          <w:sz w:val="24"/>
        </w:rPr>
        <w:t xml:space="preserve">Efficiency.  </w:t>
      </w:r>
      <w:r>
        <w:rPr>
          <w:rFonts w:ascii="Times New Roman" w:hAnsi="Times New Roman"/>
          <w:b w:val="0"/>
          <w:i w:val="0"/>
          <w:sz w:val="24"/>
        </w:rPr>
        <w:t xml:space="preserve">The Device Settings panel (Figure 2) allows operators to configure the backend API URL and Muse MAC address in the field without redeploying the application -- a pragmatic wearable deployment affordance. Calibration (Figure 3) completes automatically, requiring no active input. However, the animated progress bar runs independently of actual backend processing, violating Nielsen's </w:t>
      </w:r>
      <w:r>
        <w:rPr>
          <w:rFonts w:ascii="Times New Roman" w:hAnsi="Times New Roman"/>
          <w:b w:val="0"/>
          <w:i/>
          <w:sz w:val="24"/>
        </w:rPr>
        <w:t>visibility of system status</w:t>
      </w:r>
      <w:r>
        <w:rPr>
          <w:rFonts w:ascii="Times New Roman" w:hAnsi="Times New Roman"/>
          <w:b w:val="0"/>
          <w:i w:val="0"/>
          <w:sz w:val="24"/>
        </w:rPr>
        <w:t xml:space="preserve"> heuristic. The Assembly Manual recommends testing each of the 10 strip segments individually before full integration; however, Sentio provides no built-in LED diagnostic mode, requiring external test firmware and increasing pre-deployment setup time.</w:t>
      </w:r>
    </w:p>
    <w:p>
      <w:pPr>
        <w:spacing w:before="160" w:after="80"/>
        <w:jc w:val="center"/>
      </w:pPr>
      <w:r>
        <w:rPr>
          <w:rFonts w:ascii="Times New Roman" w:hAnsi="Times New Roman"/>
          <w:b w:val="0"/>
          <w:i/>
          <w:color w:val="A0A0A0"/>
          <w:sz w:val="20"/>
        </w:rPr>
        <w:t>[Screenshot not found — save as docs/screenshots/02_device_settings.png]</w:t>
      </w:r>
    </w:p>
    <w:p>
      <w:pPr>
        <w:spacing w:after="280" w:before="40"/>
        <w:jc w:val="center"/>
      </w:pPr>
      <w:r>
        <w:rPr>
          <w:rFonts w:ascii="Times New Roman" w:hAnsi="Times New Roman"/>
          <w:b w:val="0"/>
          <w:i/>
          <w:color w:val="646464"/>
          <w:sz w:val="18"/>
        </w:rPr>
        <w:t>Figure 2 — Device Settings panel: backend API URL and Muse 2 MAC address configuration without redeployment.</w:t>
      </w:r>
    </w:p>
    <w:p>
      <w:pPr>
        <w:spacing w:before="160" w:after="80"/>
        <w:jc w:val="center"/>
      </w:pPr>
      <w:r>
        <w:rPr>
          <w:rFonts w:ascii="Times New Roman" w:hAnsi="Times New Roman"/>
          <w:b w:val="0"/>
          <w:i/>
          <w:color w:val="A0A0A0"/>
          <w:sz w:val="20"/>
        </w:rPr>
        <w:t>[Screenshot not found — save as docs/screenshots/03_calibration_screen.png]</w:t>
      </w:r>
    </w:p>
    <w:p>
      <w:pPr>
        <w:spacing w:after="280" w:before="40"/>
        <w:jc w:val="center"/>
      </w:pPr>
      <w:r>
        <w:rPr>
          <w:rFonts w:ascii="Times New Roman" w:hAnsi="Times New Roman"/>
          <w:b w:val="0"/>
          <w:i/>
          <w:color w:val="646464"/>
          <w:sz w:val="18"/>
        </w:rPr>
        <w:t>Figure 3 — Calibration screen: animated Muse 2 Headband connection sequence with step-by-step progress indicator.</w:t>
      </w:r>
    </w:p>
    <w:p>
      <w:pPr>
        <w:spacing w:after="160"/>
        <w:jc w:val="both"/>
      </w:pPr>
      <w:r>
        <w:rPr>
          <w:rFonts w:ascii="Times New Roman" w:hAnsi="Times New Roman"/>
          <w:b/>
          <w:i w:val="0"/>
          <w:sz w:val="24"/>
        </w:rPr>
        <w:t xml:space="preserve">Satisfaction.  </w:t>
      </w:r>
      <w:r>
        <w:rPr>
          <w:rFonts w:ascii="Times New Roman" w:hAnsi="Times New Roman"/>
          <w:b w:val="0"/>
          <w:i w:val="0"/>
          <w:sz w:val="24"/>
        </w:rPr>
        <w:t>The wearable form factor -- a 40 x 55 cm illuminated chest panel covered by a diffusion layer -- creates a compelling experiential proposition visible to surrounding observers. The diffusion fabric specified in the Assembly Manual smooths individual LED hotspots into a continuous colour field, improving perceived quality at the cost of some pattern resolution. The four patterns are perceptually differentiated by hue, morphology, and animation speed. A significant satisfaction weakness, however, is the observer-wearer asymmetry: the output medium faces outward, and the wearer has no direct channel -- haptic, auditory, or visual -- through which to perceive their own emotional output, limiting personal experiential engagement.</w:t>
      </w:r>
    </w:p>
    <w:p>
      <w:pPr>
        <w:spacing w:after="160"/>
        <w:jc w:val="both"/>
      </w:pPr>
      <w:r>
        <w:rPr>
          <w:rFonts w:ascii="Times New Roman" w:hAnsi="Times New Roman"/>
          <w:b/>
          <w:i w:val="0"/>
          <w:sz w:val="24"/>
        </w:rPr>
        <w:t xml:space="preserve">Interaction Principles.  </w:t>
      </w:r>
      <w:r>
        <w:rPr>
          <w:rFonts w:ascii="Times New Roman" w:hAnsi="Times New Roman"/>
          <w:b w:val="0"/>
          <w:i w:val="0"/>
          <w:sz w:val="24"/>
        </w:rPr>
        <w:t xml:space="preserve">The Signal Lost modal (Figure 4) demonstrates considered error recovery: it presents a numbered three-step checklist with specific recovery commands, an auto-retry countdown, and a dismiss option, satisfying Nielsen's heuristic of </w:t>
      </w:r>
      <w:r>
        <w:rPr>
          <w:rFonts w:ascii="Times New Roman" w:hAnsi="Times New Roman"/>
          <w:b w:val="0"/>
          <w:i/>
          <w:sz w:val="24"/>
        </w:rPr>
        <w:t>help users recognise, diagnose, and recover from errors</w:t>
      </w:r>
      <w:r>
        <w:rPr>
          <w:rFonts w:ascii="Times New Roman" w:hAnsi="Times New Roman"/>
          <w:b w:val="0"/>
          <w:i w:val="0"/>
          <w:sz w:val="24"/>
        </w:rPr>
        <w:t xml:space="preserve">. The signal_quality metric (0-100 scale) modulates LED brightness in software, with the Assembly Manual recommending a hard cap of 50-100 (out of 255) to limit power draw to the safe 4 A operating envelope. This coupling of EEG confidence to physical output intensity creates an intuitive transparency: poor signal produces a dim garment, communicating system uncertainty without explicit error messaging. However, pattern transitions remain instantaneous on emotion change. The absence of morphing between states violates </w:t>
      </w:r>
      <w:r>
        <w:rPr>
          <w:rFonts w:ascii="Times New Roman" w:hAnsi="Times New Roman"/>
          <w:b w:val="0"/>
          <w:i/>
          <w:sz w:val="24"/>
        </w:rPr>
        <w:t>smooth continuity</w:t>
      </w:r>
      <w:r>
        <w:rPr>
          <w:rFonts w:ascii="Times New Roman" w:hAnsi="Times New Roman"/>
          <w:b w:val="0"/>
          <w:i w:val="0"/>
          <w:sz w:val="24"/>
        </w:rPr>
        <w:t xml:space="preserve"> principles and produces jarring visual discontinuities that undermine the organic emotional narrative the system intends to convey.</w:t>
      </w:r>
    </w:p>
    <w:p>
      <w:pPr>
        <w:spacing w:before="160" w:after="80"/>
        <w:jc w:val="center"/>
      </w:pPr>
      <w:r>
        <w:rPr>
          <w:rFonts w:ascii="Times New Roman" w:hAnsi="Times New Roman"/>
          <w:b w:val="0"/>
          <w:i/>
          <w:color w:val="A0A0A0"/>
          <w:sz w:val="20"/>
        </w:rPr>
        <w:t>[Screenshot not found — save as docs/screenshots/04_signal_lost.png]</w:t>
      </w:r>
    </w:p>
    <w:p>
      <w:pPr>
        <w:spacing w:after="280" w:before="40"/>
        <w:jc w:val="center"/>
      </w:pPr>
      <w:r>
        <w:rPr>
          <w:rFonts w:ascii="Times New Roman" w:hAnsi="Times New Roman"/>
          <w:b w:val="0"/>
          <w:i/>
          <w:color w:val="646464"/>
          <w:sz w:val="18"/>
        </w:rPr>
        <w:t>Figure 4 — Signal Lost modal: graceful Bluetooth disconnect handling with numbered recovery checklist and auto-retry countdown.</w:t>
      </w:r>
    </w:p>
    <w:p>
      <w:pPr>
        <w:keepNext/>
        <w:spacing w:before="360" w:after="80"/>
      </w:pPr>
      <w:r>
        <w:rPr>
          <w:rFonts w:ascii="Times New Roman" w:hAnsi="Times New Roman"/>
          <w:b/>
          <w:i w:val="0"/>
          <w:sz w:val="26"/>
        </w:rPr>
        <w:t>3. System Thinking Perspective</w:t>
      </w:r>
    </w:p>
    <w:p>
      <w:pPr>
        <w:spacing w:after="160"/>
        <w:jc w:val="both"/>
      </w:pPr>
      <w:r>
        <w:rPr>
          <w:rFonts w:ascii="Times New Roman" w:hAnsi="Times New Roman"/>
          <w:b/>
          <w:i w:val="0"/>
          <w:sz w:val="24"/>
        </w:rPr>
        <w:t xml:space="preserve">Activity Theory.  </w:t>
      </w:r>
      <w:r>
        <w:rPr>
          <w:rFonts w:ascii="Times New Roman" w:hAnsi="Times New Roman"/>
          <w:b w:val="0"/>
          <w:i w:val="0"/>
          <w:sz w:val="24"/>
        </w:rPr>
        <w:t xml:space="preserve">Analysed through Activity Theory (Engestrom, 1987), Sentio situates the wearer as both </w:t>
      </w:r>
      <w:r>
        <w:rPr>
          <w:rFonts w:ascii="Times New Roman" w:hAnsi="Times New Roman"/>
          <w:b w:val="0"/>
          <w:i/>
          <w:sz w:val="24"/>
        </w:rPr>
        <w:t>subject</w:t>
      </w:r>
      <w:r>
        <w:rPr>
          <w:rFonts w:ascii="Times New Roman" w:hAnsi="Times New Roman"/>
          <w:b w:val="0"/>
          <w:i w:val="0"/>
          <w:sz w:val="24"/>
        </w:rPr>
        <w:t xml:space="preserve"> and primary data source, employing the full EEG-to-LED pipeline as </w:t>
      </w:r>
      <w:r>
        <w:rPr>
          <w:rFonts w:ascii="Times New Roman" w:hAnsi="Times New Roman"/>
          <w:b w:val="0"/>
          <w:i/>
          <w:sz w:val="24"/>
        </w:rPr>
        <w:t>tool</w:t>
      </w:r>
      <w:r>
        <w:rPr>
          <w:rFonts w:ascii="Times New Roman" w:hAnsi="Times New Roman"/>
          <w:b w:val="0"/>
          <w:i w:val="0"/>
          <w:sz w:val="24"/>
        </w:rPr>
        <w:t xml:space="preserve"> to externalise emotional state as </w:t>
      </w:r>
      <w:r>
        <w:rPr>
          <w:rFonts w:ascii="Times New Roman" w:hAnsi="Times New Roman"/>
          <w:b w:val="0"/>
          <w:i/>
          <w:sz w:val="24"/>
        </w:rPr>
        <w:t>object</w:t>
      </w:r>
      <w:r>
        <w:rPr>
          <w:rFonts w:ascii="Times New Roman" w:hAnsi="Times New Roman"/>
          <w:b w:val="0"/>
          <w:i w:val="0"/>
          <w:sz w:val="24"/>
        </w:rPr>
        <w:t>. A fundamental tension emerges: the output medium faces outward, most visible to external observers rather than the wearer. This inversion of the subject-object relationship is unacknowledged in the interface design, creating an experiential mismatch that limits personal agency and introspective utility.</w:t>
      </w:r>
    </w:p>
    <w:p>
      <w:pPr>
        <w:spacing w:after="160"/>
        <w:jc w:val="both"/>
      </w:pPr>
      <w:r>
        <w:rPr>
          <w:rFonts w:ascii="Times New Roman" w:hAnsi="Times New Roman"/>
          <w:b/>
          <w:i w:val="0"/>
          <w:sz w:val="24"/>
        </w:rPr>
        <w:t xml:space="preserve">Cognitive Ergonomics.  </w:t>
      </w:r>
      <w:r>
        <w:rPr>
          <w:rFonts w:ascii="Times New Roman" w:hAnsi="Times New Roman"/>
          <w:b w:val="0"/>
          <w:i w:val="0"/>
          <w:sz w:val="24"/>
        </w:rPr>
        <w:t>The monitoring dashboard (Figure 5) presents EEG band powers, signal quality, visual parameters, and an AI Guidance panel simultaneously. From a cognitive ergonomics perspective (Wickens et al., 2004), this density serves expert operators but risks overloading novice exhibition users. The physical garment introduces additional operator cognitive load: the Assembly Manual specifies a seven-step testing procedure (individual segment test, full chain test, 30% brightness test, check for flickering, colour errors, and dead pixels) before mounting -- a process requiring technical competence not accounted for in the interaction design. The absence of a software-driven hardware diagnostic mode transfers this cognitive burden entirely to the fabrication team.</w:t>
      </w:r>
    </w:p>
    <w:p>
      <w:pPr>
        <w:spacing w:after="160"/>
        <w:jc w:val="both"/>
      </w:pPr>
      <w:r>
        <w:rPr>
          <w:rFonts w:ascii="Times New Roman" w:hAnsi="Times New Roman"/>
          <w:b/>
          <w:i w:val="0"/>
          <w:sz w:val="24"/>
        </w:rPr>
        <w:t xml:space="preserve">Distributed Cognition.  </w:t>
      </w:r>
      <w:r>
        <w:rPr>
          <w:rFonts w:ascii="Times New Roman" w:hAnsi="Times New Roman"/>
          <w:b w:val="0"/>
          <w:i w:val="0"/>
          <w:sz w:val="24"/>
        </w:rPr>
        <w:t>Hutchins' (1995) framework provides the strongest theoretical justification for Sentio's value: the system externalises an invisible internal emotional state into a shared, perceptible artefact worn on the body. The diffusion layer -- thin white fabric stitched over the 200-LED panel -- physically mediates this externalisation, transforming discrete pixel data into a continuous colour field legible to observers without EEG literacy. However, the five-emotion discrete classification model imposes a reductive taxonomy onto a continuous neurological spectrum, and misclassification -- a stressed signal rendered as focused -- breaks the perceived authenticity central to the garment's meaning. The rule-based classifier offers no individual calibration mechanism.</w:t>
      </w:r>
    </w:p>
    <w:p>
      <w:pPr>
        <w:spacing w:after="160"/>
        <w:jc w:val="both"/>
      </w:pPr>
      <w:r>
        <w:rPr>
          <w:rFonts w:ascii="Times New Roman" w:hAnsi="Times New Roman"/>
          <w:b/>
          <w:i w:val="0"/>
          <w:sz w:val="24"/>
        </w:rPr>
        <w:t xml:space="preserve">System Failure Propagation.  </w:t>
      </w:r>
      <w:r>
        <w:rPr>
          <w:rFonts w:ascii="Times New Roman" w:hAnsi="Times New Roman"/>
          <w:b w:val="0"/>
          <w:i w:val="0"/>
          <w:sz w:val="24"/>
        </w:rPr>
        <w:t>Sentio's multi-layer hardware stack creates compounded failure risk. At the software level: Bluetooth dropout stops EEG data -&gt; backend emits heartbeat-only frames -&gt; ESP32 falls back to idle animation -&gt; garment dims. At the hardware level: insufficient power supply (below the recommended 5V / 5A minimum) causes voltage sag across the 200-LED chain, producing colour distortion and flickering even when the software pipeline is fully functional. The Assembly Manual's recommendation to inject power at four points (Rows 1, 4, 7, 10) mitigates voltage drop across the serpentine chain, but this requirement is invisible to the software interface -- a missed opportunity for hardware-software status integration.</w:t>
      </w:r>
    </w:p>
    <w:p>
      <w:pPr>
        <w:spacing w:before="160" w:after="80"/>
        <w:jc w:val="center"/>
      </w:pPr>
      <w:r>
        <w:rPr>
          <w:rFonts w:ascii="Times New Roman" w:hAnsi="Times New Roman"/>
          <w:b w:val="0"/>
          <w:i/>
          <w:color w:val="A0A0A0"/>
          <w:sz w:val="20"/>
        </w:rPr>
        <w:t>[Screenshot not found — save as docs/screenshots/05_monitoring_screen.png]</w:t>
      </w:r>
    </w:p>
    <w:p>
      <w:pPr>
        <w:spacing w:after="280" w:before="40"/>
        <w:jc w:val="center"/>
      </w:pPr>
      <w:r>
        <w:rPr>
          <w:rFonts w:ascii="Times New Roman" w:hAnsi="Times New Roman"/>
          <w:b w:val="0"/>
          <w:i/>
          <w:color w:val="646464"/>
          <w:sz w:val="18"/>
        </w:rPr>
        <w:t>Figure 5 — Live Monitoring dashboard: emotion orb, real-time EEG band power chart, Visual Parameters panel, and AI Guidance pane.</w:t>
      </w:r>
    </w:p>
    <w:p>
      <w:pPr>
        <w:keepNext/>
        <w:spacing w:before="360" w:after="80"/>
      </w:pPr>
      <w:r>
        <w:rPr>
          <w:rFonts w:ascii="Times New Roman" w:hAnsi="Times New Roman"/>
          <w:b/>
          <w:i w:val="0"/>
          <w:sz w:val="26"/>
        </w:rPr>
        <w:t>4. Connection to User Research and Heuristics</w:t>
      </w:r>
    </w:p>
    <w:p>
      <w:pPr>
        <w:spacing w:after="160"/>
        <w:jc w:val="both"/>
      </w:pPr>
      <w:r>
        <w:rPr>
          <w:rFonts w:ascii="Times New Roman" w:hAnsi="Times New Roman"/>
          <w:b w:val="0"/>
          <w:i w:val="0"/>
          <w:sz w:val="24"/>
        </w:rPr>
        <w:t>Sentio targets an exhibition or live performance context with novice users who have no EEG literacy. The automated calibration, guided sequential flow, and pattern type cards (Figure 1) align with Nielsen's error prevention heuristic by removing technical complexity from user control. The emotion-to-pattern colour mapping -- red/pulse for stressed, cyan/wave for calm -- applies established colour-emotion associations (Kaya &amp; Epps, 2004), reinforcing intuitive readability without prior instruction.</w:t>
      </w:r>
    </w:p>
    <w:p>
      <w:pPr>
        <w:spacing w:after="160"/>
        <w:jc w:val="both"/>
      </w:pPr>
      <w:r>
        <w:rPr>
          <w:rFonts w:ascii="Times New Roman" w:hAnsi="Times New Roman"/>
          <w:b w:val="0"/>
          <w:i w:val="0"/>
          <w:sz w:val="24"/>
        </w:rPr>
        <w:t>The Assembly Manual's brightness cap (50-100 out of 255) has a direct interaction design consequence: at these levels the 200-LED panel operates within the safe 4 A operating envelope, but perceived luminance in brightly-lit exhibition environments may be insufficient for the patterns to read clearly at distance. This represents a tension between electrical safety constraints and the perceptual requirements of the exhibition context -- a conflict not addressed by the current software design, which applies a single global brightness value without environment-adaptive compensation.</w:t>
      </w:r>
    </w:p>
    <w:p>
      <w:pPr>
        <w:spacing w:after="160"/>
        <w:jc w:val="both"/>
      </w:pPr>
      <w:r>
        <w:rPr>
          <w:rFonts w:ascii="Times New Roman" w:hAnsi="Times New Roman"/>
          <w:b w:val="0"/>
          <w:i w:val="0"/>
          <w:sz w:val="24"/>
        </w:rPr>
        <w:t>The monitoring dashboard (Figure 5) exposes band powers, signal quality, visual parameters, and a guidance panel simultaneously. While this satisfies Nielsen's visibility of system status for expert operators, the density risks cognitive overload for the exhibition audience. Progressive disclosure -- hiding technical band-power metrics unless explicitly requested -- would better serve this user profile. The manual override mode supports Nielsen's user control and freedom heuristic (Nielsen, 1994) by providing an escape route when the EEG pipeline fails, but it is accessible only after a successful session start, limiting its utility as a standalone fallback during hardware failure.</w:t>
      </w:r>
    </w:p>
    <w:p>
      <w:pPr>
        <w:keepNext/>
        <w:spacing w:before="360" w:after="80"/>
      </w:pPr>
      <w:r>
        <w:rPr>
          <w:rFonts w:ascii="Times New Roman" w:hAnsi="Times New Roman"/>
          <w:b/>
          <w:i w:val="0"/>
          <w:sz w:val="26"/>
        </w:rPr>
        <w:t>5. Conclusion</w:t>
      </w:r>
    </w:p>
    <w:p>
      <w:pPr>
        <w:spacing w:after="160"/>
        <w:jc w:val="both"/>
      </w:pPr>
      <w:r>
        <w:rPr>
          <w:rFonts w:ascii="Times New Roman" w:hAnsi="Times New Roman"/>
          <w:b w:val="0"/>
          <w:i w:val="0"/>
          <w:sz w:val="24"/>
        </w:rPr>
        <w:t>Sentio demonstrates technical and experiential feasibility in translating EEG data into a wearable LED garment. The physical build -- 200 WS2812B LEDs across a 40 x 55 cm serpentine matrix, diffusion-filtered and power-injected at four points -- provides a robust hardware substrate for emotion-reactive wearable display. Its sequential interaction flow, signal-quality-driven brightness, perceptually distinct patterns, and well-designed error recovery (Figure 4) constitute a coherent interactive system with clear exhibition value.</w:t>
      </w:r>
    </w:p>
    <w:p>
      <w:pPr>
        <w:spacing w:after="160"/>
        <w:jc w:val="both"/>
      </w:pPr>
      <w:r>
        <w:rPr>
          <w:rFonts w:ascii="Times New Roman" w:hAnsi="Times New Roman"/>
          <w:b w:val="0"/>
          <w:i w:val="0"/>
          <w:sz w:val="24"/>
        </w:rPr>
        <w:t>Critical weaknesses remain: calibration feedback opacity; the observer-wearer asymmetry; discrete emotion classification without individual calibration; instantaneous pattern transitions; dashboard information overload; the absence of a software-driven LED diagnostic mode; and a brightness-versus-visibility tension in high-ambient-light exhibition environments. Future iterations should prioritise: (1) pattern morphing interpolation for smooth emotional transitions; (2) secondary feedback for the wearer via audio or a mirrored mobile display; (3) a continuous valence-arousal model replacing discrete emotion labels; (4) a user-adaptive classifier trained on individual EEG baselines; and (5) environment-adaptive brightness scaling that respects the 4 A power envelope while compensating for ambient light conditions. These developments would move Sentio from a technically accomplished demonstrator towards a genuinely personalised and deployment-robust wearable emotional communication system.</w:t>
      </w:r>
    </w:p>
    <w:p>
      <w:pPr>
        <w:spacing w:after="40" w:before="40"/>
        <w:pBdr>
          <w:bottom w:val="single" w:sz="6" w:space="1" w:color="AAAAAA"/>
        </w:pBdr>
      </w:pPr>
    </w:p>
    <w:p>
      <w:pPr>
        <w:spacing w:after="320"/>
        <w:jc w:val="right"/>
      </w:pPr>
      <w:r>
        <w:rPr>
          <w:rFonts w:ascii="Times New Roman" w:hAnsi="Times New Roman"/>
          <w:b w:val="0"/>
          <w:i/>
          <w:color w:val="828282"/>
          <w:sz w:val="20"/>
        </w:rPr>
        <w:t>Word count: approximately 1000 words (body text, excluding table, captions, and references).</w:t>
      </w:r>
    </w:p>
    <w:p>
      <w:pPr>
        <w:keepNext/>
        <w:spacing w:before="360" w:after="80"/>
      </w:pPr>
      <w:r>
        <w:rPr>
          <w:rFonts w:ascii="Times New Roman" w:hAnsi="Times New Roman"/>
          <w:b/>
          <w:i w:val="0"/>
          <w:sz w:val="26"/>
        </w:rPr>
        <w:t>References</w:t>
      </w:r>
    </w:p>
    <w:p>
      <w:pPr>
        <w:spacing w:after="80"/>
        <w:ind w:left="567" w:hanging="567"/>
      </w:pPr>
      <w:r>
        <w:rPr>
          <w:rFonts w:ascii="Times New Roman" w:hAnsi="Times New Roman"/>
          <w:b w:val="0"/>
          <w:i w:val="0"/>
          <w:sz w:val="22"/>
        </w:rPr>
        <w:t>Engestrom, Y. (1987). Learning by Expanding: An Activity-Theoretical Approach to Developmental Research. Orienta-Konsultit.</w:t>
      </w:r>
    </w:p>
    <w:p>
      <w:pPr>
        <w:spacing w:after="80"/>
        <w:ind w:left="567" w:hanging="567"/>
      </w:pPr>
      <w:r>
        <w:rPr>
          <w:rFonts w:ascii="Times New Roman" w:hAnsi="Times New Roman"/>
          <w:b w:val="0"/>
          <w:i w:val="0"/>
          <w:sz w:val="22"/>
        </w:rPr>
        <w:t>Hutchins, E. (1995). Cognition in the Wild. MIT Press.</w:t>
      </w:r>
    </w:p>
    <w:p>
      <w:pPr>
        <w:spacing w:after="80"/>
        <w:ind w:left="567" w:hanging="567"/>
      </w:pPr>
      <w:r>
        <w:rPr>
          <w:rFonts w:ascii="Times New Roman" w:hAnsi="Times New Roman"/>
          <w:b w:val="0"/>
          <w:i w:val="0"/>
          <w:sz w:val="22"/>
        </w:rPr>
        <w:t>Kaya, N., &amp; Epps, H. H. (2004). Relationship between colour and emotion: A study of college students. College Student Journal, 38(3), 396-405.</w:t>
      </w:r>
    </w:p>
    <w:p>
      <w:pPr>
        <w:spacing w:after="80"/>
        <w:ind w:left="567" w:hanging="567"/>
      </w:pPr>
      <w:r>
        <w:rPr>
          <w:rFonts w:ascii="Times New Roman" w:hAnsi="Times New Roman"/>
          <w:b w:val="0"/>
          <w:i w:val="0"/>
          <w:sz w:val="22"/>
        </w:rPr>
        <w:t>Nielsen, J. (1994). Usability Engineering. Academic Press.</w:t>
      </w:r>
    </w:p>
    <w:p>
      <w:pPr>
        <w:spacing w:after="80"/>
        <w:ind w:left="567" w:hanging="567"/>
      </w:pPr>
      <w:r>
        <w:rPr>
          <w:rFonts w:ascii="Times New Roman" w:hAnsi="Times New Roman"/>
          <w:b w:val="0"/>
          <w:i w:val="0"/>
          <w:sz w:val="22"/>
        </w:rPr>
        <w:t>Norman, D. A. (2013). The Design of Everyday Things (Revised ed.). Basic Books.</w:t>
      </w:r>
    </w:p>
    <w:p>
      <w:pPr>
        <w:spacing w:after="80"/>
        <w:ind w:left="567" w:hanging="567"/>
      </w:pPr>
      <w:r>
        <w:rPr>
          <w:rFonts w:ascii="Times New Roman" w:hAnsi="Times New Roman"/>
          <w:b w:val="0"/>
          <w:i w:val="0"/>
          <w:sz w:val="22"/>
        </w:rPr>
        <w:t>Wickens, C. D., Lee, J. D., Liu, Y., &amp; Gordon-Becker, S. (2004). An Introduction to Human Factors Engineering (2nd ed.). Pearson Prentice Hall.</w:t>
      </w:r>
    </w:p>
    <w:p>
      <w:pPr>
        <w:spacing w:after="80"/>
        <w:ind w:left="567" w:hanging="567"/>
      </w:pPr>
      <w:r>
        <w:rPr>
          <w:rFonts w:ascii="Times New Roman" w:hAnsi="Times New Roman"/>
          <w:b w:val="0"/>
          <w:i w:val="0"/>
          <w:sz w:val="22"/>
        </w:rPr>
        <w:t>WS2812B LED T-Shirt -- Technical Documentation &amp; Assembly Manual. (2026). Engineering &amp; Fabrication Team, Sentio Project. [Internal technical document].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