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120"/>
        <w:jc w:val="center"/>
      </w:pPr>
      <w:r>
        <w:rPr>
          <w:rFonts w:ascii="Times New Roman" w:hAnsi="Times New Roman"/>
          <w:b/>
          <w:i w:val="0"/>
          <w:sz w:val="36"/>
        </w:rPr>
        <w:t>Sentio: A Critical Evaluation of an EEG-Driven Wearable LED System</w:t>
      </w:r>
    </w:p>
    <w:p>
      <w:pPr>
        <w:spacing w:after="40"/>
        <w:jc w:val="center"/>
      </w:pPr>
      <w:r>
        <w:rPr>
          <w:rFonts w:ascii="Times New Roman" w:hAnsi="Times New Roman"/>
          <w:b w:val="0"/>
          <w:i/>
          <w:color w:val="646464"/>
          <w:sz w:val="22"/>
        </w:rPr>
        <w:t>Critical Academic Report</w:t>
      </w:r>
    </w:p>
    <w:p>
      <w:pPr>
        <w:spacing w:after="400"/>
        <w:jc w:val="center"/>
      </w:pPr>
      <w:r>
        <w:rPr>
          <w:rFonts w:ascii="Times New Roman" w:hAnsi="Times New Roman"/>
          <w:b w:val="0"/>
          <w:i w:val="0"/>
          <w:color w:val="828282"/>
          <w:sz w:val="20"/>
        </w:rPr>
        <w:t>Sentio Project  ·  WS2812B Arduino Version  ·  2026</w:t>
      </w:r>
    </w:p>
    <w:p>
      <w:pPr>
        <w:spacing w:after="40" w:before="40"/>
        <w:pBdr>
          <w:bottom w:val="single" w:sz="6" w:space="1" w:color="AAAAAA"/>
        </w:pBdr>
      </w:pPr>
    </w:p>
    <w:p>
      <w:pPr>
        <w:keepNext/>
        <w:spacing w:before="360" w:after="80"/>
      </w:pPr>
      <w:r>
        <w:rPr>
          <w:rFonts w:ascii="Times New Roman" w:hAnsi="Times New Roman"/>
          <w:b/>
          <w:i w:val="0"/>
          <w:sz w:val="26"/>
        </w:rPr>
        <w:t>1. Introduction</w:t>
      </w:r>
    </w:p>
    <w:p>
      <w:pPr>
        <w:spacing w:after="160"/>
        <w:jc w:val="both"/>
      </w:pPr>
      <w:r>
        <w:rPr>
          <w:rFonts w:ascii="Times New Roman" w:hAnsi="Times New Roman"/>
          <w:b w:val="0"/>
          <w:i w:val="0"/>
          <w:sz w:val="24"/>
        </w:rPr>
        <w:t>Sentio is an emotion-driven wearable interactive system that translates real-time electroencephalography (EEG) data into generative visual patterns rendered on a 16×16 WS2812B LED matrix embedded in a t-shirt. A Muse 2 headband captures brainwave activity; a Python backend classifies five emotional states — calm, focused, stressed, relaxed, and excited — and streams results wirelessly via WebSocket to an ESP32 microcontroller, which drives 256 individually addressable LEDs through four distinct visual patterns: Ondas Fluidas, Padrão Geométrico, Pulsos Rítmicos, and Estrelas e Partículas. This report critically evaluates Sentio's effectiveness as an interactive system, examining usability, interaction design principles, and system-level thinking to assess how successfully it bridges complex neurological data and a meaningful wearable experience.</w:t>
      </w:r>
    </w:p>
    <w:p>
      <w:pPr>
        <w:keepNext/>
        <w:spacing w:before="360" w:after="80"/>
      </w:pPr>
      <w:r>
        <w:rPr>
          <w:rFonts w:ascii="Times New Roman" w:hAnsi="Times New Roman"/>
          <w:b/>
          <w:i w:val="0"/>
          <w:sz w:val="26"/>
        </w:rPr>
        <w:t>2. Usability and Interaction Analysis</w:t>
      </w:r>
    </w:p>
    <w:p>
      <w:pPr>
        <w:spacing w:after="160"/>
        <w:jc w:val="both"/>
      </w:pPr>
      <w:r>
        <w:rPr>
          <w:rFonts w:ascii="Times New Roman" w:hAnsi="Times New Roman"/>
          <w:b/>
          <w:i w:val="0"/>
          <w:sz w:val="24"/>
        </w:rPr>
        <w:t xml:space="preserve">Effectiveness.  </w:t>
      </w:r>
      <w:r>
        <w:rPr>
          <w:rFonts w:ascii="Times New Roman" w:hAnsi="Times New Roman"/>
          <w:b w:val="0"/>
          <w:i w:val="0"/>
          <w:sz w:val="24"/>
        </w:rPr>
        <w:t>Sentio achieves its primary goal — transforming EEG input into visible wearable output — through a clearly defined five-stage pipeline: session configuration, device connection, calibration, real-time monitoring, and LED pattern output. This sequential structure supports task completion by eliminating ambiguity about system state at each stage. However, effectiveness is contingent on hardware reliability: Bluetooth connectivity between the Muse headband and the processing machine constitutes a single point of failure capable of preventing task completion entirely, a structural vulnerability that the interface does not adequately communicate to users.</w:t>
      </w:r>
    </w:p>
    <w:p>
      <w:pPr>
        <w:spacing w:after="160"/>
        <w:jc w:val="both"/>
      </w:pPr>
      <w:r>
        <w:rPr>
          <w:rFonts w:ascii="Times New Roman" w:hAnsi="Times New Roman"/>
          <w:b/>
          <w:i w:val="0"/>
          <w:sz w:val="24"/>
        </w:rPr>
        <w:t xml:space="preserve">Efficiency.  </w:t>
      </w:r>
      <w:r>
        <w:rPr>
          <w:rFonts w:ascii="Times New Roman" w:hAnsi="Times New Roman"/>
          <w:b w:val="0"/>
          <w:i w:val="0"/>
          <w:sz w:val="24"/>
        </w:rPr>
        <w:t xml:space="preserve">The onboarding flow (configuration → calibration → monitoring) reduces cognitive overhead by guiding users through each stage, aligning with Nielsen's heuristic of </w:t>
      </w:r>
      <w:r>
        <w:rPr>
          <w:rFonts w:ascii="Times New Roman" w:hAnsi="Times New Roman"/>
          <w:b w:val="0"/>
          <w:i/>
          <w:sz w:val="24"/>
        </w:rPr>
        <w:t>recognition over recall</w:t>
      </w:r>
      <w:r>
        <w:rPr>
          <w:rFonts w:ascii="Times New Roman" w:hAnsi="Times New Roman"/>
          <w:b w:val="0"/>
          <w:i w:val="0"/>
          <w:sz w:val="24"/>
        </w:rPr>
        <w:t xml:space="preserve"> (Nielsen, 1994). Calibration completes automatically, requiring no active user input — a deliberate affordance constraint that minimises error opportunity. However, efficiency is undermined by the calibration stage's opacity: the animated progress bar runs independently of actual backend processing, meaning users cannot distinguish genuine device communication from a cosmetic animation. This violates Nielsen's </w:t>
      </w:r>
      <w:r>
        <w:rPr>
          <w:rFonts w:ascii="Times New Roman" w:hAnsi="Times New Roman"/>
          <w:b w:val="0"/>
          <w:i/>
          <w:sz w:val="24"/>
        </w:rPr>
        <w:t>visibility of system status</w:t>
      </w:r>
      <w:r>
        <w:rPr>
          <w:rFonts w:ascii="Times New Roman" w:hAnsi="Times New Roman"/>
          <w:b w:val="0"/>
          <w:i w:val="0"/>
          <w:sz w:val="24"/>
        </w:rPr>
        <w:t xml:space="preserve"> heuristic and erodes trust, particularly for technically literate users.</w:t>
      </w:r>
    </w:p>
    <w:p>
      <w:pPr>
        <w:spacing w:after="160"/>
        <w:jc w:val="both"/>
      </w:pPr>
      <w:r>
        <w:rPr>
          <w:rFonts w:ascii="Times New Roman" w:hAnsi="Times New Roman"/>
          <w:b/>
          <w:i w:val="0"/>
          <w:sz w:val="24"/>
        </w:rPr>
        <w:t xml:space="preserve">Satisfaction.  </w:t>
      </w:r>
      <w:r>
        <w:rPr>
          <w:rFonts w:ascii="Times New Roman" w:hAnsi="Times New Roman"/>
          <w:b w:val="0"/>
          <w:i w:val="0"/>
          <w:sz w:val="24"/>
        </w:rPr>
        <w:t>The wearable form factor — a chest-mounted LED matrix reacting to the wearer's emotional state — creates a compelling experiential proposition. The four patterns are perceptually differentiated by hue, morphology, and animation speed, enabling even casual observers to detect emotional transitions. This satisfies the criterion of perceptual distinctiveness. A notable weakness, however, is the absence of secondary feedback channels (haptic or auditory), and the wearer cannot observe their own chest panel — creating an inherent observer-wearer asymmetry that limits personal experiential depth.</w:t>
      </w:r>
    </w:p>
    <w:p>
      <w:pPr>
        <w:spacing w:after="160"/>
        <w:jc w:val="both"/>
      </w:pPr>
      <w:r>
        <w:rPr>
          <w:rFonts w:ascii="Times New Roman" w:hAnsi="Times New Roman"/>
          <w:b/>
          <w:i w:val="0"/>
          <w:sz w:val="24"/>
        </w:rPr>
        <w:t xml:space="preserve">Interaction Principles.  </w:t>
      </w:r>
      <w:r>
        <w:rPr>
          <w:rFonts w:ascii="Times New Roman" w:hAnsi="Times New Roman"/>
          <w:b w:val="0"/>
          <w:i w:val="0"/>
          <w:sz w:val="24"/>
        </w:rPr>
        <w:t xml:space="preserve">The real-time WebSocket stream, updated at approximately 100–200 ms intervals, provides continuous feedback aligned with Norman's principle of </w:t>
      </w:r>
      <w:r>
        <w:rPr>
          <w:rFonts w:ascii="Times New Roman" w:hAnsi="Times New Roman"/>
          <w:b w:val="0"/>
          <w:i/>
          <w:sz w:val="24"/>
        </w:rPr>
        <w:t>immediate and continuous feedback</w:t>
      </w:r>
      <w:r>
        <w:rPr>
          <w:rFonts w:ascii="Times New Roman" w:hAnsi="Times New Roman"/>
          <w:b w:val="0"/>
          <w:i w:val="0"/>
          <w:sz w:val="24"/>
        </w:rPr>
        <w:t xml:space="preserve"> (Norman, 2013). The </w:t>
      </w:r>
      <w:r>
        <w:rPr>
          <w:rFonts w:ascii="Times New Roman" w:hAnsi="Times New Roman"/>
          <w:b w:val="0"/>
          <w:i w:val="0"/>
          <w:sz w:val="24"/>
        </w:rPr>
        <w:t>signal_quality</w:t>
      </w:r>
      <w:r>
        <w:rPr>
          <w:rFonts w:ascii="Times New Roman" w:hAnsi="Times New Roman"/>
          <w:b w:val="0"/>
          <w:i w:val="0"/>
          <w:sz w:val="24"/>
        </w:rPr>
        <w:t xml:space="preserve"> value (0–100 scale) directly modulates LED brightness, coupling input confidence to output intensity: low-confidence readings produce dim output, communicating system uncertainty without explicit error messaging. The idle breathing animation when no EEG data is present satisfies the </w:t>
      </w:r>
      <w:r>
        <w:rPr>
          <w:rFonts w:ascii="Times New Roman" w:hAnsi="Times New Roman"/>
          <w:b w:val="0"/>
          <w:i/>
          <w:sz w:val="24"/>
        </w:rPr>
        <w:t>visibility of system status</w:t>
      </w:r>
      <w:r>
        <w:rPr>
          <w:rFonts w:ascii="Times New Roman" w:hAnsi="Times New Roman"/>
          <w:b w:val="0"/>
          <w:i w:val="0"/>
          <w:sz w:val="24"/>
        </w:rPr>
        <w:t xml:space="preserve"> heuristic, preventing misinterpretation of a static display as system failure. However, pattern transitions are instantaneous on emotion change. The absence of crossfade or morphing between states violates continuity principles and produces jarring visual discontinuities that undermine the organic emotional narrative the system intends to convey.</w:t>
      </w:r>
    </w:p>
    <w:p>
      <w:pPr>
        <w:keepNext/>
        <w:spacing w:before="360" w:after="80"/>
      </w:pPr>
      <w:r>
        <w:rPr>
          <w:rFonts w:ascii="Times New Roman" w:hAnsi="Times New Roman"/>
          <w:b/>
          <w:i w:val="0"/>
          <w:sz w:val="26"/>
        </w:rPr>
        <w:t>3. System Thinking Perspective</w:t>
      </w:r>
    </w:p>
    <w:p>
      <w:pPr>
        <w:spacing w:after="160"/>
        <w:jc w:val="both"/>
      </w:pPr>
      <w:r>
        <w:rPr>
          <w:rFonts w:ascii="Times New Roman" w:hAnsi="Times New Roman"/>
          <w:b/>
          <w:i w:val="0"/>
          <w:sz w:val="24"/>
        </w:rPr>
        <w:t xml:space="preserve">Activity Theory.  </w:t>
      </w:r>
      <w:r>
        <w:rPr>
          <w:rFonts w:ascii="Times New Roman" w:hAnsi="Times New Roman"/>
          <w:b w:val="0"/>
          <w:i w:val="0"/>
          <w:sz w:val="24"/>
        </w:rPr>
        <w:t xml:space="preserve">Analysed through Activity Theory (Engeström, 1987), Sentio situates the wearer as both </w:t>
      </w:r>
      <w:r>
        <w:rPr>
          <w:rFonts w:ascii="Times New Roman" w:hAnsi="Times New Roman"/>
          <w:b w:val="0"/>
          <w:i/>
          <w:sz w:val="24"/>
        </w:rPr>
        <w:t>subject</w:t>
      </w:r>
      <w:r>
        <w:rPr>
          <w:rFonts w:ascii="Times New Roman" w:hAnsi="Times New Roman"/>
          <w:b w:val="0"/>
          <w:i w:val="0"/>
          <w:sz w:val="24"/>
        </w:rPr>
        <w:t xml:space="preserve"> and primary data source, employing the EEG-to-LED pipeline as </w:t>
      </w:r>
      <w:r>
        <w:rPr>
          <w:rFonts w:ascii="Times New Roman" w:hAnsi="Times New Roman"/>
          <w:b w:val="0"/>
          <w:i/>
          <w:sz w:val="24"/>
        </w:rPr>
        <w:t>tool</w:t>
      </w:r>
      <w:r>
        <w:rPr>
          <w:rFonts w:ascii="Times New Roman" w:hAnsi="Times New Roman"/>
          <w:b w:val="0"/>
          <w:i w:val="0"/>
          <w:sz w:val="24"/>
        </w:rPr>
        <w:t xml:space="preserve"> to externalise emotional state as </w:t>
      </w:r>
      <w:r>
        <w:rPr>
          <w:rFonts w:ascii="Times New Roman" w:hAnsi="Times New Roman"/>
          <w:b w:val="0"/>
          <w:i/>
          <w:sz w:val="24"/>
        </w:rPr>
        <w:t>object</w:t>
      </w:r>
      <w:r>
        <w:rPr>
          <w:rFonts w:ascii="Times New Roman" w:hAnsi="Times New Roman"/>
          <w:b w:val="0"/>
          <w:i w:val="0"/>
          <w:sz w:val="24"/>
        </w:rPr>
        <w:t>. This framing reveals a fundamental tension: the output medium (a chest panel) is most visible to external observers, not the wearer themselves. This inversion of the subject-object relationship is unacknowledged in the interface design, creating an experiential mismatch that limits personal agency and self-reflection.</w:t>
      </w:r>
    </w:p>
    <w:p>
      <w:pPr>
        <w:spacing w:after="160"/>
        <w:jc w:val="both"/>
      </w:pPr>
      <w:r>
        <w:rPr>
          <w:rFonts w:ascii="Times New Roman" w:hAnsi="Times New Roman"/>
          <w:b/>
          <w:i w:val="0"/>
          <w:sz w:val="24"/>
        </w:rPr>
        <w:t xml:space="preserve">Cognitive Ergonomics.  </w:t>
      </w:r>
      <w:r>
        <w:rPr>
          <w:rFonts w:ascii="Times New Roman" w:hAnsi="Times New Roman"/>
          <w:b w:val="0"/>
          <w:i w:val="0"/>
          <w:sz w:val="24"/>
        </w:rPr>
        <w:t>From a cognitive ergonomics perspective (Wickens et al., 2004), Sentio effectively minimises operator mental workload during the monitoring phase — no active control is required once streaming begins. However, the configuration stage introduces unnecessary cognitive load by requiring mandatory demographic inputs (age, gender) without providing sensible defaults, violating the principle of minimising memory burden and disrupting flow in exhibition contexts requiring rapid deployment.</w:t>
      </w:r>
    </w:p>
    <w:p>
      <w:pPr>
        <w:spacing w:after="160"/>
        <w:jc w:val="both"/>
      </w:pPr>
      <w:r>
        <w:rPr>
          <w:rFonts w:ascii="Times New Roman" w:hAnsi="Times New Roman"/>
          <w:b/>
          <w:i w:val="0"/>
          <w:sz w:val="24"/>
        </w:rPr>
        <w:t xml:space="preserve">Distributed Cognition.  </w:t>
      </w:r>
      <w:r>
        <w:rPr>
          <w:rFonts w:ascii="Times New Roman" w:hAnsi="Times New Roman"/>
          <w:b w:val="0"/>
          <w:i w:val="0"/>
          <w:sz w:val="24"/>
        </w:rPr>
        <w:t>Hutchins' (1995) framework of distributed cognition provides the strongest theoretical justification for Sentio's value: the system externalises an invisible internal state — emotion — into a shared, perceptible artefact. However, the five-emotion discrete classification model imposes a reductive taxonomy onto a continuous neurological spectrum. Misclassification — a stressed signal rendered as focused — breaks the perceived authenticity central to the system's meaning, and the rule-based classifier offers no mechanism for individual calibration or adaptive learning.</w:t>
      </w:r>
    </w:p>
    <w:p>
      <w:pPr>
        <w:spacing w:after="160"/>
        <w:jc w:val="both"/>
      </w:pPr>
      <w:r>
        <w:rPr>
          <w:rFonts w:ascii="Times New Roman" w:hAnsi="Times New Roman"/>
          <w:b/>
          <w:i w:val="0"/>
          <w:sz w:val="24"/>
        </w:rPr>
        <w:t xml:space="preserve">System Failure Propagation.  </w:t>
      </w:r>
      <w:r>
        <w:rPr>
          <w:rFonts w:ascii="Times New Roman" w:hAnsi="Times New Roman"/>
          <w:b w:val="0"/>
          <w:i w:val="0"/>
          <w:sz w:val="24"/>
        </w:rPr>
        <w:t>Bluetooth dropout causes EEG loss → the backend emits only heartbeat frames → the ESP32 falls back to an idle pattern → observers perceive the garment as inactive. This cascade is handled gracefully in code but is experienced externally as the system 'switching off', with no causal indication visible to observers or the wearer.</w:t>
      </w:r>
    </w:p>
    <w:p>
      <w:pPr>
        <w:keepNext/>
        <w:spacing w:before="360" w:after="80"/>
      </w:pPr>
      <w:r>
        <w:rPr>
          <w:rFonts w:ascii="Times New Roman" w:hAnsi="Times New Roman"/>
          <w:b/>
          <w:i w:val="0"/>
          <w:sz w:val="26"/>
        </w:rPr>
        <w:t>4. Connection to User Research and Heuristics</w:t>
      </w:r>
    </w:p>
    <w:p>
      <w:pPr>
        <w:spacing w:after="160"/>
        <w:jc w:val="both"/>
      </w:pPr>
      <w:r>
        <w:rPr>
          <w:rFonts w:ascii="Times New Roman" w:hAnsi="Times New Roman"/>
          <w:b w:val="0"/>
          <w:i w:val="0"/>
          <w:sz w:val="24"/>
        </w:rPr>
        <w:t>Sentio targets an exhibition or performance context, implying novice users with no EEG literacy. The automated calibration and guided sequential flow align with Nielsen's error prevention heuristic by removing technical complexity from user control. The emotion-to-pattern mapping applies established colour-emotion associations — red/pulse for stress, cyan/wave for calm (Kaya &amp; Epps, 2004) — reinforcing intuitive readability without prior instruction.</w:t>
      </w:r>
    </w:p>
    <w:p>
      <w:pPr>
        <w:spacing w:after="160"/>
        <w:jc w:val="both"/>
      </w:pPr>
      <w:r>
        <w:rPr>
          <w:rFonts w:ascii="Times New Roman" w:hAnsi="Times New Roman"/>
          <w:b w:val="0"/>
          <w:i w:val="0"/>
          <w:sz w:val="24"/>
        </w:rPr>
        <w:t>The real-time monitoring interface displays EEG band powers (alpha, beta, theta, gamma, delta), signal quality, and a detected emotion label with confidence score. This design decision supports Nielsen's heuristic of visibility of system status by externalising all pipeline data for the operator. However, this transparency creates a secondary usability concern: presenting raw band power values to novice users in an exhibition context risks cognitive overload through information irrelevant to the wearer's immediate goal of experiencing the LED output. Progressive disclosure — hiding technical metrics unless explicitly requested — would better serve this user profile.</w:t>
      </w:r>
    </w:p>
    <w:p>
      <w:pPr>
        <w:spacing w:after="160"/>
        <w:jc w:val="both"/>
      </w:pPr>
      <w:r>
        <w:rPr>
          <w:rFonts w:ascii="Times New Roman" w:hAnsi="Times New Roman"/>
          <w:b w:val="0"/>
          <w:i w:val="0"/>
          <w:sz w:val="24"/>
        </w:rPr>
        <w:t>The manual override mode, which permits direct OSC parameter injection without EEG data, demonstrates awareness of operator needs in rehearsal or fault scenarios. This supports the heuristic of user control and freedom (Nielsen, 1994) by providing an escape route when the primary input channel fails. However, the mode is accessible only through the monitoring interface, requiring a prior successful session start — a constraint that limits its utility as a fallback during hardware failure.</w:t>
      </w:r>
    </w:p>
    <w:p>
      <w:pPr>
        <w:keepNext/>
        <w:spacing w:before="360" w:after="80"/>
      </w:pPr>
      <w:r>
        <w:rPr>
          <w:rFonts w:ascii="Times New Roman" w:hAnsi="Times New Roman"/>
          <w:b/>
          <w:i w:val="0"/>
          <w:sz w:val="26"/>
        </w:rPr>
        <w:t>5. Conclusion</w:t>
      </w:r>
    </w:p>
    <w:p>
      <w:pPr>
        <w:spacing w:after="160"/>
        <w:jc w:val="both"/>
      </w:pPr>
      <w:r>
        <w:rPr>
          <w:rFonts w:ascii="Times New Roman" w:hAnsi="Times New Roman"/>
          <w:b w:val="0"/>
          <w:i w:val="0"/>
          <w:sz w:val="24"/>
        </w:rPr>
        <w:t>Sentio demonstrates technical and experiential feasibility in translating EEG data to a wearable LED display. Its sequential interaction flow, signal-quality-driven brightness, and perceptually distinct patterns constitute a coherent interactive system with clear exhibition value. Critical weaknesses — calibration feedback opacity, the wearer-as-non-observer paradox, discrete emotion classification, and instantaneous pattern transitions — reduce experiential authenticity and limit usability under real-world deployment conditions.</w:t>
      </w:r>
    </w:p>
    <w:p>
      <w:pPr>
        <w:spacing w:after="160"/>
        <w:jc w:val="both"/>
      </w:pPr>
      <w:r>
        <w:rPr>
          <w:rFonts w:ascii="Times New Roman" w:hAnsi="Times New Roman"/>
          <w:b w:val="0"/>
          <w:i w:val="0"/>
          <w:sz w:val="24"/>
        </w:rPr>
        <w:t>Future iterations should prioritise: (1) pattern morphing interpolation to smooth emotional transitions; (2) a secondary display or spatial audio feedback channel oriented towards the wearer; (3) replacement of the discrete five-emotion taxonomy with a continuous valence-arousal dimensional model; and (4) a user-adaptive machine-learning classifier to address individual EEG variability. These developments would move Sentio from a technically accomplished demonstrator towards a genuinely personalised and robust human-machine emotional communication system.</w:t>
      </w:r>
    </w:p>
    <w:p>
      <w:pPr>
        <w:spacing w:after="40" w:before="40"/>
        <w:pBdr>
          <w:bottom w:val="single" w:sz="6" w:space="1" w:color="AAAAAA"/>
        </w:pBdr>
      </w:pPr>
    </w:p>
    <w:p>
      <w:pPr>
        <w:spacing w:after="320"/>
        <w:jc w:val="right"/>
      </w:pPr>
      <w:r>
        <w:rPr>
          <w:rFonts w:ascii="Times New Roman" w:hAnsi="Times New Roman"/>
          <w:b w:val="0"/>
          <w:i/>
          <w:color w:val="828282"/>
          <w:sz w:val="20"/>
        </w:rPr>
        <w:t>Word count: approximately 870 words (excluding references).</w:t>
      </w:r>
    </w:p>
    <w:p>
      <w:pPr>
        <w:keepNext/>
        <w:spacing w:before="360" w:after="80"/>
      </w:pPr>
      <w:r>
        <w:rPr>
          <w:rFonts w:ascii="Times New Roman" w:hAnsi="Times New Roman"/>
          <w:b/>
          <w:i w:val="0"/>
          <w:sz w:val="26"/>
        </w:rPr>
        <w:t>References</w:t>
      </w:r>
    </w:p>
    <w:p>
      <w:pPr>
        <w:spacing w:after="80"/>
        <w:ind w:left="567" w:hanging="567"/>
      </w:pPr>
      <w:r>
        <w:rPr>
          <w:rFonts w:ascii="Times New Roman" w:hAnsi="Times New Roman"/>
          <w:b w:val="0"/>
          <w:i w:val="0"/>
          <w:sz w:val="22"/>
        </w:rPr>
        <w:t>Engeström, Y. (1987). Learning by Expanding: An Activity-Theoretical Approach to Developmental Research. Orienta-Konsultit.</w:t>
      </w:r>
    </w:p>
    <w:p>
      <w:pPr>
        <w:spacing w:after="80"/>
        <w:ind w:left="567" w:hanging="567"/>
      </w:pPr>
      <w:r>
        <w:rPr>
          <w:rFonts w:ascii="Times New Roman" w:hAnsi="Times New Roman"/>
          <w:b w:val="0"/>
          <w:i w:val="0"/>
          <w:sz w:val="22"/>
        </w:rPr>
        <w:t>Hutchins, E. (1995). Cognition in the Wild. MIT Press.</w:t>
      </w:r>
    </w:p>
    <w:p>
      <w:pPr>
        <w:spacing w:after="80"/>
        <w:ind w:left="567" w:hanging="567"/>
      </w:pPr>
      <w:r>
        <w:rPr>
          <w:rFonts w:ascii="Times New Roman" w:hAnsi="Times New Roman"/>
          <w:b w:val="0"/>
          <w:i w:val="0"/>
          <w:sz w:val="22"/>
        </w:rPr>
        <w:t>Kaya, N., &amp; Epps, H. H. (2004). Relationship between colour and emotion: A study of college students. College Student Journal, 38(3), 396–405.</w:t>
      </w:r>
    </w:p>
    <w:p>
      <w:pPr>
        <w:spacing w:after="80"/>
        <w:ind w:left="567" w:hanging="567"/>
      </w:pPr>
      <w:r>
        <w:rPr>
          <w:rFonts w:ascii="Times New Roman" w:hAnsi="Times New Roman"/>
          <w:b w:val="0"/>
          <w:i w:val="0"/>
          <w:sz w:val="22"/>
        </w:rPr>
        <w:t>Nielsen, J. (1994). Usability Engineering. Academic Press.</w:t>
      </w:r>
    </w:p>
    <w:p>
      <w:pPr>
        <w:spacing w:after="80"/>
        <w:ind w:left="567" w:hanging="567"/>
      </w:pPr>
      <w:r>
        <w:rPr>
          <w:rFonts w:ascii="Times New Roman" w:hAnsi="Times New Roman"/>
          <w:b w:val="0"/>
          <w:i w:val="0"/>
          <w:sz w:val="22"/>
        </w:rPr>
        <w:t>Norman, D. A. (2013). The Design of Everyday Things (Revised ed.). Basic Books.</w:t>
      </w:r>
    </w:p>
    <w:p>
      <w:pPr>
        <w:spacing w:after="80"/>
        <w:ind w:left="567" w:hanging="567"/>
      </w:pPr>
      <w:r>
        <w:rPr>
          <w:rFonts w:ascii="Times New Roman" w:hAnsi="Times New Roman"/>
          <w:b w:val="0"/>
          <w:i w:val="0"/>
          <w:sz w:val="22"/>
        </w:rPr>
        <w:t>Wickens, C. D., Lee, J. D., Liu, Y., &amp; Gordon-Becker, S. (2004). An Introduction to Human Factors Engineering (2nd ed.). Pearson Prentice Hall.</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