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jc w:val="center"/>
      </w:pPr>
      <w:r>
        <w:rPr>
          <w:rFonts w:ascii="Times New Roman" w:hAnsi="Times New Roman"/>
          <w:b/>
          <w:i w:val="0"/>
          <w:sz w:val="36"/>
        </w:rPr>
        <w:t>Sentio: A Critical Evaluation of an EEG-Driven Wearable LED System</w:t>
      </w:r>
    </w:p>
    <w:p>
      <w:pPr>
        <w:spacing w:after="40"/>
        <w:jc w:val="center"/>
      </w:pPr>
      <w:r>
        <w:rPr>
          <w:rFonts w:ascii="Times New Roman" w:hAnsi="Times New Roman"/>
          <w:b w:val="0"/>
          <w:i/>
          <w:color w:val="646464"/>
          <w:sz w:val="22"/>
        </w:rPr>
        <w:t>Critical Academic Report</w:t>
      </w:r>
    </w:p>
    <w:p>
      <w:pPr>
        <w:spacing w:after="400"/>
        <w:jc w:val="center"/>
      </w:pPr>
      <w:r>
        <w:rPr>
          <w:rFonts w:ascii="Times New Roman" w:hAnsi="Times New Roman"/>
          <w:b w:val="0"/>
          <w:i w:val="0"/>
          <w:color w:val="828282"/>
          <w:sz w:val="20"/>
        </w:rPr>
        <w:t>Sentio Project  |  WS2812B Arduino Version  |  2026</w:t>
      </w:r>
    </w:p>
    <w:p>
      <w:pPr>
        <w:spacing w:after="40" w:before="40"/>
        <w:pBdr>
          <w:bottom w:val="single" w:sz="6" w:space="1" w:color="AAAAAA"/>
        </w:pBdr>
      </w:pPr>
    </w:p>
    <w:p>
      <w:pPr>
        <w:keepNext/>
        <w:spacing w:before="360" w:after="80"/>
      </w:pPr>
      <w:r>
        <w:rPr>
          <w:rFonts w:ascii="Times New Roman" w:hAnsi="Times New Roman"/>
          <w:b/>
          <w:i w:val="0"/>
          <w:sz w:val="26"/>
        </w:rPr>
        <w:t>System Architecture</w:t>
      </w:r>
    </w:p>
    <w:p>
      <w:pPr>
        <w:spacing w:before="240" w:after="80"/>
        <w:jc w:val="center"/>
      </w:pPr>
      <w:r>
        <w:drawing>
          <wp:inline xmlns:a="http://schemas.openxmlformats.org/drawingml/2006/main" xmlns:pic="http://schemas.openxmlformats.org/drawingml/2006/picture">
            <wp:extent cx="5486400" cy="310757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3107575"/>
                    </a:xfrm>
                    <a:prstGeom prst="rect"/>
                  </pic:spPr>
                </pic:pic>
              </a:graphicData>
            </a:graphic>
          </wp:inline>
        </w:drawing>
      </w:r>
    </w:p>
    <w:p>
      <w:pPr>
        <w:spacing w:after="280" w:before="40"/>
        <w:jc w:val="center"/>
      </w:pPr>
      <w:r>
        <w:rPr>
          <w:rFonts w:ascii="Times New Roman" w:hAnsi="Times New Roman"/>
          <w:b w:val="0"/>
          <w:i/>
          <w:color w:val="646464"/>
          <w:sz w:val="18"/>
        </w:rPr>
        <w:t>Figure 0 — Sentio system architecture: Muse 2 headband to WS2812B LED matrix via ESP32 WebSocket, with React monitoring dashboard as secondary output.</w:t>
      </w:r>
    </w:p>
    <w:p>
      <w:pPr>
        <w:spacing w:after="40" w:before="40"/>
        <w:pBdr>
          <w:bottom w:val="single" w:sz="6" w:space="1" w:color="AAAAAA"/>
        </w:pBdr>
      </w:pPr>
    </w:p>
    <w:p>
      <w:pPr>
        <w:keepNext/>
        <w:spacing w:before="360" w:after="80"/>
      </w:pPr>
      <w:r>
        <w:rPr>
          <w:rFonts w:ascii="Times New Roman" w:hAnsi="Times New Roman"/>
          <w:b/>
          <w:i w:val="0"/>
          <w:sz w:val="26"/>
        </w:rPr>
        <w:t>1. Introduction</w:t>
      </w:r>
    </w:p>
    <w:p>
      <w:pPr>
        <w:spacing w:after="160"/>
        <w:jc w:val="both"/>
      </w:pPr>
      <w:r>
        <w:rPr>
          <w:rFonts w:ascii="Times New Roman" w:hAnsi="Times New Roman"/>
          <w:b w:val="0"/>
          <w:i w:val="0"/>
          <w:sz w:val="24"/>
        </w:rPr>
        <w:t>Sentio is an emotion-driven wearable interactive system that translates real-time electroencephalography (EEG) data into generative visual patterns rendered on a 16x16 WS2812B LED matrix embedded in a t-shirt. A Muse 2 headband captures brainwave activity; a Python backend classifies five emotional states -- calm, focused, stressed, relaxed, and excited -- and streams results wirelessly via WebSocket to an ESP32 microcontroller, which drives 256 individually addressable LEDs through four distinct visual patterns: Ondas Fluidas, Padrao Geometrico, Pulsos Ritmicos, and Estrelas e Particulas. The system also provides a React web dashboard (Figure 5) for real-time monitoring by operators. This report critically evaluates Sentio's effectiveness as an interactive system, examining usability, interaction design principles, and system-level thinking to assess how successfully it bridges complex neurological data and a meaningful wearable experience.</w:t>
      </w:r>
    </w:p>
    <w:p>
      <w:pPr>
        <w:spacing w:before="160" w:after="80"/>
        <w:jc w:val="center"/>
      </w:pPr>
      <w:r>
        <w:rPr>
          <w:rFonts w:ascii="Times New Roman" w:hAnsi="Times New Roman"/>
          <w:b w:val="0"/>
          <w:i/>
          <w:color w:val="A0A0A0"/>
          <w:sz w:val="20"/>
        </w:rPr>
        <w:t>[Image not found: 01_config_screen.png]</w:t>
      </w:r>
    </w:p>
    <w:p>
      <w:pPr>
        <w:spacing w:after="280" w:before="40"/>
        <w:jc w:val="center"/>
      </w:pPr>
      <w:r>
        <w:rPr>
          <w:rFonts w:ascii="Times New Roman" w:hAnsi="Times New Roman"/>
          <w:b w:val="0"/>
          <w:i/>
          <w:color w:val="646464"/>
          <w:sz w:val="18"/>
        </w:rPr>
        <w:t>Figure 1 — Configuration screen: pattern type selection and signal sensitivity slider.</w:t>
      </w:r>
    </w:p>
    <w:p>
      <w:pPr>
        <w:keepNext/>
        <w:spacing w:before="360" w:after="80"/>
      </w:pPr>
      <w:r>
        <w:rPr>
          <w:rFonts w:ascii="Times New Roman" w:hAnsi="Times New Roman"/>
          <w:b/>
          <w:i w:val="0"/>
          <w:sz w:val="26"/>
        </w:rPr>
        <w:t>2. Usability and Interaction Analysis</w:t>
      </w:r>
    </w:p>
    <w:p>
      <w:pPr>
        <w:spacing w:after="160"/>
        <w:jc w:val="both"/>
      </w:pPr>
      <w:r>
        <w:rPr>
          <w:rFonts w:ascii="Times New Roman" w:hAnsi="Times New Roman"/>
          <w:b/>
          <w:i w:val="0"/>
          <w:sz w:val="24"/>
        </w:rPr>
        <w:t xml:space="preserve">Effectiveness.  </w:t>
      </w:r>
      <w:r>
        <w:rPr>
          <w:rFonts w:ascii="Times New Roman" w:hAnsi="Times New Roman"/>
          <w:b w:val="0"/>
          <w:i w:val="0"/>
          <w:sz w:val="24"/>
        </w:rPr>
        <w:t xml:space="preserve">Sentio achieves its primary goal through a clearly defined five-stage pipeline: session configuration, device connection, calibration, real-time monitoring, and LED pattern output (Figures 1-3). The configuration screen (Figure 1) presents pattern type as a 2x2 card grid with inline SVG previews, reducing the abstraction gap between label and output. This design decision supports task completion by providing </w:t>
      </w:r>
      <w:r>
        <w:rPr>
          <w:rFonts w:ascii="Times New Roman" w:hAnsi="Times New Roman"/>
          <w:b w:val="0"/>
          <w:i/>
          <w:sz w:val="24"/>
        </w:rPr>
        <w:t>recognition over recall</w:t>
      </w:r>
      <w:r>
        <w:rPr>
          <w:rFonts w:ascii="Times New Roman" w:hAnsi="Times New Roman"/>
          <w:b w:val="0"/>
          <w:i w:val="0"/>
          <w:sz w:val="24"/>
        </w:rPr>
        <w:t xml:space="preserve"> (Nielsen, 1994). However, effectiveness is contingent on hardware reliability: Bluetooth connectivity between the Muse headband and the processing machine constitutes a single point of failure capable of preventing task completion entirely.</w:t>
      </w:r>
    </w:p>
    <w:p>
      <w:pPr>
        <w:spacing w:after="160"/>
        <w:jc w:val="both"/>
      </w:pPr>
      <w:r>
        <w:rPr>
          <w:rFonts w:ascii="Times New Roman" w:hAnsi="Times New Roman"/>
          <w:b/>
          <w:i w:val="0"/>
          <w:sz w:val="24"/>
        </w:rPr>
        <w:t xml:space="preserve">Efficiency.  </w:t>
      </w:r>
      <w:r>
        <w:rPr>
          <w:rFonts w:ascii="Times New Roman" w:hAnsi="Times New Roman"/>
          <w:b w:val="0"/>
          <w:i w:val="0"/>
          <w:sz w:val="24"/>
        </w:rPr>
        <w:t xml:space="preserve">The Device Settings panel (Figure 2) allows operators to configure the backend API URL and Muse MAC address without redeploying the application -- a pragmatic field-deployment affordance. Calibration (Figure 3) completes automatically, requiring no active user input. However, efficiency is undermined by the calibration stage's opacity: the animated progress bar runs independently of actual backend processing, meaning users cannot distinguish genuine device communication from a cosmetic animation. This violates Nielsen's </w:t>
      </w:r>
      <w:r>
        <w:rPr>
          <w:rFonts w:ascii="Times New Roman" w:hAnsi="Times New Roman"/>
          <w:b w:val="0"/>
          <w:i/>
          <w:sz w:val="24"/>
        </w:rPr>
        <w:t>visibility of system status</w:t>
      </w:r>
      <w:r>
        <w:rPr>
          <w:rFonts w:ascii="Times New Roman" w:hAnsi="Times New Roman"/>
          <w:b w:val="0"/>
          <w:i w:val="0"/>
          <w:sz w:val="24"/>
        </w:rPr>
        <w:t xml:space="preserve"> heuristic and erodes trust with technically literate users.</w:t>
      </w:r>
    </w:p>
    <w:p>
      <w:pPr>
        <w:spacing w:before="160" w:after="80"/>
        <w:jc w:val="center"/>
      </w:pPr>
      <w:r>
        <w:rPr>
          <w:rFonts w:ascii="Times New Roman" w:hAnsi="Times New Roman"/>
          <w:b w:val="0"/>
          <w:i/>
          <w:color w:val="A0A0A0"/>
          <w:sz w:val="20"/>
        </w:rPr>
        <w:t>[Image not found: 02_device_settings.png]</w:t>
      </w:r>
    </w:p>
    <w:p>
      <w:pPr>
        <w:spacing w:after="280" w:before="40"/>
        <w:jc w:val="center"/>
      </w:pPr>
      <w:r>
        <w:rPr>
          <w:rFonts w:ascii="Times New Roman" w:hAnsi="Times New Roman"/>
          <w:b w:val="0"/>
          <w:i/>
          <w:color w:val="646464"/>
          <w:sz w:val="18"/>
        </w:rPr>
        <w:t>Figure 2 — Device Settings panel: backend API URL and Muse 2 MAC address configuration.</w:t>
      </w:r>
    </w:p>
    <w:p>
      <w:pPr>
        <w:spacing w:before="160" w:after="80"/>
        <w:jc w:val="center"/>
      </w:pPr>
      <w:r>
        <w:rPr>
          <w:rFonts w:ascii="Times New Roman" w:hAnsi="Times New Roman"/>
          <w:b w:val="0"/>
          <w:i/>
          <w:color w:val="A0A0A0"/>
          <w:sz w:val="20"/>
        </w:rPr>
        <w:t>[Image not found: 03_calibration_screen.png]</w:t>
      </w:r>
    </w:p>
    <w:p>
      <w:pPr>
        <w:spacing w:after="280" w:before="40"/>
        <w:jc w:val="center"/>
      </w:pPr>
      <w:r>
        <w:rPr>
          <w:rFonts w:ascii="Times New Roman" w:hAnsi="Times New Roman"/>
          <w:b w:val="0"/>
          <w:i/>
          <w:color w:val="646464"/>
          <w:sz w:val="18"/>
        </w:rPr>
        <w:t>Figure 3 — Calibration screen: animated Muse 2 connection sequence with progress indicator.</w:t>
      </w:r>
    </w:p>
    <w:p>
      <w:pPr>
        <w:spacing w:after="160"/>
        <w:jc w:val="both"/>
      </w:pPr>
      <w:r>
        <w:rPr>
          <w:rFonts w:ascii="Times New Roman" w:hAnsi="Times New Roman"/>
          <w:b/>
          <w:i w:val="0"/>
          <w:sz w:val="24"/>
        </w:rPr>
        <w:t xml:space="preserve">Satisfaction.  </w:t>
      </w:r>
      <w:r>
        <w:rPr>
          <w:rFonts w:ascii="Times New Roman" w:hAnsi="Times New Roman"/>
          <w:b w:val="0"/>
          <w:i w:val="0"/>
          <w:sz w:val="24"/>
        </w:rPr>
        <w:t>The wearable form factor creates a compelling experiential proposition. The four patterns are perceptually differentiated by hue, morphology, and animation speed, enabling casual observers to detect emotional transitions. A notable weakness, however, is the absence of secondary feedback channels (haptic or auditory), and the wearer cannot observe their own chest panel -- creating an inherent observer-wearer asymmetry that limits personal experiential depth.</w:t>
      </w:r>
    </w:p>
    <w:p>
      <w:pPr>
        <w:spacing w:after="160"/>
        <w:jc w:val="both"/>
      </w:pPr>
      <w:r>
        <w:rPr>
          <w:rFonts w:ascii="Times New Roman" w:hAnsi="Times New Roman"/>
          <w:b/>
          <w:i w:val="0"/>
          <w:sz w:val="24"/>
        </w:rPr>
        <w:t xml:space="preserve">Interaction Principles.  </w:t>
      </w:r>
      <w:r>
        <w:rPr>
          <w:rFonts w:ascii="Times New Roman" w:hAnsi="Times New Roman"/>
          <w:b w:val="0"/>
          <w:i w:val="0"/>
          <w:sz w:val="24"/>
        </w:rPr>
        <w:t>The Signal Lost modal (Figure 4) demonstrates considered error recovery design: it presents a numbered three-step recovery checklist with specific commands (</w:t>
      </w:r>
      <w:r>
        <w:rPr>
          <w:rFonts w:ascii="Times New Roman" w:hAnsi="Times New Roman"/>
          <w:b w:val="0"/>
          <w:i w:val="0"/>
          <w:sz w:val="24"/>
        </w:rPr>
        <w:t>uvicorn main:app</w:t>
      </w:r>
      <w:r>
        <w:rPr>
          <w:rFonts w:ascii="Times New Roman" w:hAnsi="Times New Roman"/>
          <w:b w:val="0"/>
          <w:i w:val="0"/>
          <w:sz w:val="24"/>
        </w:rPr>
        <w:t xml:space="preserve">), an auto-retry countdown, and a dismiss option. This aligns with Nielsen's heuristics of </w:t>
      </w:r>
      <w:r>
        <w:rPr>
          <w:rFonts w:ascii="Times New Roman" w:hAnsi="Times New Roman"/>
          <w:b w:val="0"/>
          <w:i/>
          <w:sz w:val="24"/>
        </w:rPr>
        <w:t>help users recognise, diagnose, and recover from errors</w:t>
      </w:r>
      <w:r>
        <w:rPr>
          <w:rFonts w:ascii="Times New Roman" w:hAnsi="Times New Roman"/>
          <w:b w:val="0"/>
          <w:i w:val="0"/>
          <w:sz w:val="24"/>
        </w:rPr>
        <w:t>. The real-time WebSocket stream modulates LED brightness via signal_quality (0-100), coupling input confidence to output intensity. However, pattern transitions are instantaneous on emotion change. The absence of crossfade between states violates continuity principles and produces jarring visual discontinuities that undermine organic emotional narrative.</w:t>
      </w:r>
    </w:p>
    <w:p>
      <w:pPr>
        <w:spacing w:before="160" w:after="80"/>
        <w:jc w:val="center"/>
      </w:pPr>
      <w:r>
        <w:rPr>
          <w:rFonts w:ascii="Times New Roman" w:hAnsi="Times New Roman"/>
          <w:b w:val="0"/>
          <w:i/>
          <w:color w:val="A0A0A0"/>
          <w:sz w:val="20"/>
        </w:rPr>
        <w:t>[Image not found: 04_signal_lost.png]</w:t>
      </w:r>
    </w:p>
    <w:p>
      <w:pPr>
        <w:spacing w:after="280" w:before="40"/>
        <w:jc w:val="center"/>
      </w:pPr>
      <w:r>
        <w:rPr>
          <w:rFonts w:ascii="Times New Roman" w:hAnsi="Times New Roman"/>
          <w:b w:val="0"/>
          <w:i/>
          <w:color w:val="646464"/>
          <w:sz w:val="18"/>
        </w:rPr>
        <w:t>Figure 4 — Signal Lost modal: graceful disconnect handling with numbered recovery steps.</w:t>
      </w:r>
    </w:p>
    <w:p>
      <w:pPr>
        <w:keepNext/>
        <w:spacing w:before="360" w:after="80"/>
      </w:pPr>
      <w:r>
        <w:rPr>
          <w:rFonts w:ascii="Times New Roman" w:hAnsi="Times New Roman"/>
          <w:b/>
          <w:i w:val="0"/>
          <w:sz w:val="26"/>
        </w:rPr>
        <w:t>3. System Thinking Perspective</w:t>
      </w:r>
    </w:p>
    <w:p>
      <w:pPr>
        <w:spacing w:after="160"/>
        <w:jc w:val="both"/>
      </w:pPr>
      <w:r>
        <w:rPr>
          <w:rFonts w:ascii="Times New Roman" w:hAnsi="Times New Roman"/>
          <w:b/>
          <w:i w:val="0"/>
          <w:sz w:val="24"/>
        </w:rPr>
        <w:t xml:space="preserve">Activity Theory.  </w:t>
      </w:r>
      <w:r>
        <w:rPr>
          <w:rFonts w:ascii="Times New Roman" w:hAnsi="Times New Roman"/>
          <w:b w:val="0"/>
          <w:i w:val="0"/>
          <w:sz w:val="24"/>
        </w:rPr>
        <w:t xml:space="preserve">Analysed through Activity Theory (Engestrom, 1987), Sentio situates the wearer as both </w:t>
      </w:r>
      <w:r>
        <w:rPr>
          <w:rFonts w:ascii="Times New Roman" w:hAnsi="Times New Roman"/>
          <w:b w:val="0"/>
          <w:i/>
          <w:sz w:val="24"/>
        </w:rPr>
        <w:t>subject</w:t>
      </w:r>
      <w:r>
        <w:rPr>
          <w:rFonts w:ascii="Times New Roman" w:hAnsi="Times New Roman"/>
          <w:b w:val="0"/>
          <w:i w:val="0"/>
          <w:sz w:val="24"/>
        </w:rPr>
        <w:t xml:space="preserve"> and primary data source, employing the EEG-to-LED pipeline as </w:t>
      </w:r>
      <w:r>
        <w:rPr>
          <w:rFonts w:ascii="Times New Roman" w:hAnsi="Times New Roman"/>
          <w:b w:val="0"/>
          <w:i/>
          <w:sz w:val="24"/>
        </w:rPr>
        <w:t>tool</w:t>
      </w:r>
      <w:r>
        <w:rPr>
          <w:rFonts w:ascii="Times New Roman" w:hAnsi="Times New Roman"/>
          <w:b w:val="0"/>
          <w:i w:val="0"/>
          <w:sz w:val="24"/>
        </w:rPr>
        <w:t xml:space="preserve"> to externalise emotional state as </w:t>
      </w:r>
      <w:r>
        <w:rPr>
          <w:rFonts w:ascii="Times New Roman" w:hAnsi="Times New Roman"/>
          <w:b w:val="0"/>
          <w:i/>
          <w:sz w:val="24"/>
        </w:rPr>
        <w:t>object</w:t>
      </w:r>
      <w:r>
        <w:rPr>
          <w:rFonts w:ascii="Times New Roman" w:hAnsi="Times New Roman"/>
          <w:b w:val="0"/>
          <w:i w:val="0"/>
          <w:sz w:val="24"/>
        </w:rPr>
        <w:t>. This reveals a fundamental tension: the output medium (a chest panel) is most visible to external observers, not the wearer. This inversion of the subject-object relationship is unacknowledged in the interface design, creating an experiential mismatch that limits personal agency.</w:t>
      </w:r>
    </w:p>
    <w:p>
      <w:pPr>
        <w:spacing w:after="160"/>
        <w:jc w:val="both"/>
      </w:pPr>
      <w:r>
        <w:rPr>
          <w:rFonts w:ascii="Times New Roman" w:hAnsi="Times New Roman"/>
          <w:b/>
          <w:i w:val="0"/>
          <w:sz w:val="24"/>
        </w:rPr>
        <w:t xml:space="preserve">Cognitive Ergonomics.  </w:t>
      </w:r>
      <w:r>
        <w:rPr>
          <w:rFonts w:ascii="Times New Roman" w:hAnsi="Times New Roman"/>
          <w:b w:val="0"/>
          <w:i w:val="0"/>
          <w:sz w:val="24"/>
        </w:rPr>
        <w:t>The monitoring dashboard (Figure 5) presents EEG band powers, signal quality, visual parameters, and a guidance panel simultaneously. From a cognitive ergonomics perspective (Wickens et al., 2004), this density serves operator needs but risks overwhelming novice users in exhibition contexts. The AUTO/MANUAL toggle and band-specific percentage values (Alpha 9.2%, Beta 23.4%, etc.) demand EEG literacy that cannot be assumed from a general audience, violating the principle of minimising unnecessary memory burden.</w:t>
      </w:r>
    </w:p>
    <w:p>
      <w:pPr>
        <w:spacing w:after="160"/>
        <w:jc w:val="both"/>
      </w:pPr>
      <w:r>
        <w:rPr>
          <w:rFonts w:ascii="Times New Roman" w:hAnsi="Times New Roman"/>
          <w:b/>
          <w:i w:val="0"/>
          <w:sz w:val="24"/>
        </w:rPr>
        <w:t xml:space="preserve">Distributed Cognition.  </w:t>
      </w:r>
      <w:r>
        <w:rPr>
          <w:rFonts w:ascii="Times New Roman" w:hAnsi="Times New Roman"/>
          <w:b w:val="0"/>
          <w:i w:val="0"/>
          <w:sz w:val="24"/>
        </w:rPr>
        <w:t>Hutchins' (1995) framework provides the strongest theoretical justification for Sentio's value: the system externalises an invisible internal state into a shared, perceptible artefact. However, the five-emotion discrete classification model imposes a reductive taxonomy onto a continuous neurological spectrum. The rule-based classifier offers no mechanism for individual calibration or adaptive learning, and misclassification breaks the perceived authenticity central to the system's meaning.</w:t>
      </w:r>
    </w:p>
    <w:p>
      <w:pPr>
        <w:spacing w:after="160"/>
        <w:jc w:val="both"/>
      </w:pPr>
      <w:r>
        <w:rPr>
          <w:rFonts w:ascii="Times New Roman" w:hAnsi="Times New Roman"/>
          <w:b/>
          <w:i w:val="0"/>
          <w:sz w:val="24"/>
        </w:rPr>
        <w:t xml:space="preserve">System Failure Propagation.  </w:t>
      </w:r>
      <w:r>
        <w:rPr>
          <w:rFonts w:ascii="Times New Roman" w:hAnsi="Times New Roman"/>
          <w:b w:val="0"/>
          <w:i w:val="0"/>
          <w:sz w:val="24"/>
        </w:rPr>
        <w:t>Bluetooth dropout causes EEG loss -&gt; the backend emits heartbeat-only frames -&gt; the ESP32 falls back to an idle pattern -&gt; observers perceive the garment as inactive. The Signal Lost modal (Figure 4) handles this gracefully at the frontend level, but provides no equivalent notification on the LED garment itself -- a gap that would be critical in untethered performance scenarios.</w:t>
      </w:r>
    </w:p>
    <w:p>
      <w:pPr>
        <w:spacing w:before="160" w:after="80"/>
        <w:jc w:val="center"/>
      </w:pPr>
      <w:r>
        <w:rPr>
          <w:rFonts w:ascii="Times New Roman" w:hAnsi="Times New Roman"/>
          <w:b w:val="0"/>
          <w:i/>
          <w:color w:val="A0A0A0"/>
          <w:sz w:val="20"/>
        </w:rPr>
        <w:t>[Image not found: 05_monitoring_screen.png]</w:t>
      </w:r>
    </w:p>
    <w:p>
      <w:pPr>
        <w:spacing w:after="280" w:before="40"/>
        <w:jc w:val="center"/>
      </w:pPr>
      <w:r>
        <w:rPr>
          <w:rFonts w:ascii="Times New Roman" w:hAnsi="Times New Roman"/>
          <w:b w:val="0"/>
          <w:i/>
          <w:color w:val="646464"/>
          <w:sz w:val="18"/>
        </w:rPr>
        <w:t>Figure 5 — Live Monitoring dashboard: emotion orb, real-time EEG band power chart, visual parameters panel.</w:t>
      </w:r>
    </w:p>
    <w:p>
      <w:pPr>
        <w:keepNext/>
        <w:spacing w:before="360" w:after="80"/>
      </w:pPr>
      <w:r>
        <w:rPr>
          <w:rFonts w:ascii="Times New Roman" w:hAnsi="Times New Roman"/>
          <w:b/>
          <w:i w:val="0"/>
          <w:sz w:val="26"/>
        </w:rPr>
        <w:t>4. Connection to User Research and Heuristics</w:t>
      </w:r>
    </w:p>
    <w:p>
      <w:pPr>
        <w:spacing w:after="160"/>
        <w:jc w:val="both"/>
      </w:pPr>
      <w:r>
        <w:rPr>
          <w:rFonts w:ascii="Times New Roman" w:hAnsi="Times New Roman"/>
          <w:b w:val="0"/>
          <w:i w:val="0"/>
          <w:sz w:val="24"/>
        </w:rPr>
        <w:t>Sentio targets an exhibition or performance context, implying novice users with no EEG literacy. The automated calibration and guided sequential flow align with Nielsen's error prevention heuristic by removing technical complexity from user control. The emotion-to-pattern mapping applies established colour-emotion associations -- red/pulse for stress, cyan/wave for calm (Kaya &amp; Epps, 2004) -- reinforcing intuitive readability without prior instruction.</w:t>
      </w:r>
    </w:p>
    <w:p>
      <w:pPr>
        <w:spacing w:after="160"/>
        <w:jc w:val="both"/>
      </w:pPr>
      <w:r>
        <w:rPr>
          <w:rFonts w:ascii="Times New Roman" w:hAnsi="Times New Roman"/>
          <w:b w:val="0"/>
          <w:i w:val="0"/>
          <w:sz w:val="24"/>
        </w:rPr>
        <w:t>The monitoring dashboard (Figure 5) exposes all pipeline data simultaneously: band powers, signal quality, visual parameters, an AI guidance panel, and a TouchDesigner status pane. While this transparency satisfies Nielsen's visibility of system status heuristic for expert operators, the information density risks cognitive overload for the intended exhibition audience. Progressive disclosure -- hiding technical metrics unless explicitly requested -- would better serve this user profile.</w:t>
      </w:r>
    </w:p>
    <w:p>
      <w:pPr>
        <w:spacing w:after="160"/>
        <w:jc w:val="both"/>
      </w:pPr>
      <w:r>
        <w:rPr>
          <w:rFonts w:ascii="Times New Roman" w:hAnsi="Times New Roman"/>
          <w:b w:val="0"/>
          <w:i w:val="0"/>
          <w:sz w:val="24"/>
        </w:rPr>
        <w:t>The manual override mode demonstrates awareness of operator needs in rehearsal or fault scenarios, supporting Nielsen's heuristic of user control and freedom (Nielsen, 1994). However, the mode is accessible only through the monitoring interface, requiring a prior successful session start -- limiting its utility precisely when hardware failure occurs.</w:t>
      </w:r>
    </w:p>
    <w:p>
      <w:pPr>
        <w:keepNext/>
        <w:spacing w:before="360" w:after="80"/>
      </w:pPr>
      <w:r>
        <w:rPr>
          <w:rFonts w:ascii="Times New Roman" w:hAnsi="Times New Roman"/>
          <w:b/>
          <w:i w:val="0"/>
          <w:sz w:val="26"/>
        </w:rPr>
        <w:t>5. Conclusion</w:t>
      </w:r>
    </w:p>
    <w:p>
      <w:pPr>
        <w:spacing w:after="160"/>
        <w:jc w:val="both"/>
      </w:pPr>
      <w:r>
        <w:rPr>
          <w:rFonts w:ascii="Times New Roman" w:hAnsi="Times New Roman"/>
          <w:b w:val="0"/>
          <w:i w:val="0"/>
          <w:sz w:val="24"/>
        </w:rPr>
        <w:t>Sentio demonstrates technical and experiential feasibility in translating EEG data to a wearable LED display. Its sequential interaction flow, signal-quality-driven brightness, perceptually distinct patterns, and well-designed error recovery (Figure 4) constitute a coherent interactive system with clear exhibition value. Critical weaknesses -- calibration feedback opacity, the wearer-as-non-observer paradox, discrete emotion classification, instantaneous pattern transitions, and dashboard information overload -- reduce experiential authenticity and limit usability under real-world deployment conditions.</w:t>
      </w:r>
    </w:p>
    <w:p>
      <w:pPr>
        <w:spacing w:after="160"/>
        <w:jc w:val="both"/>
      </w:pPr>
      <w:r>
        <w:rPr>
          <w:rFonts w:ascii="Times New Roman" w:hAnsi="Times New Roman"/>
          <w:b w:val="0"/>
          <w:i w:val="0"/>
          <w:sz w:val="24"/>
        </w:rPr>
        <w:t>Future iterations should prioritise: (1) pattern morphing interpolation to smooth emotional transitions; (2) a secondary display or spatial audio feedback channel oriented towards the wearer; (3) replacement of the discrete five-emotion taxonomy with a continuous valence-arousal dimensional model; and (4) a user-adaptive machine-learning classifier to address individual EEG variability. These developments would move Sentio from a technically accomplished demonstrator towards a genuinely personalised and robust human-machine emotional communication system.</w:t>
      </w:r>
    </w:p>
    <w:p>
      <w:pPr>
        <w:spacing w:after="40" w:before="40"/>
        <w:pBdr>
          <w:bottom w:val="single" w:sz="6" w:space="1" w:color="AAAAAA"/>
        </w:pBdr>
      </w:pPr>
    </w:p>
    <w:p>
      <w:pPr>
        <w:spacing w:after="320"/>
        <w:jc w:val="right"/>
      </w:pPr>
      <w:r>
        <w:rPr>
          <w:rFonts w:ascii="Times New Roman" w:hAnsi="Times New Roman"/>
          <w:b w:val="0"/>
          <w:i/>
          <w:color w:val="828282"/>
          <w:sz w:val="20"/>
        </w:rPr>
        <w:t>Word count: approximately 870 words (body text, excluding captions and references).</w:t>
      </w:r>
    </w:p>
    <w:p>
      <w:pPr>
        <w:keepNext/>
        <w:spacing w:before="360" w:after="80"/>
      </w:pPr>
      <w:r>
        <w:rPr>
          <w:rFonts w:ascii="Times New Roman" w:hAnsi="Times New Roman"/>
          <w:b/>
          <w:i w:val="0"/>
          <w:sz w:val="26"/>
        </w:rPr>
        <w:t>References</w:t>
      </w:r>
    </w:p>
    <w:p>
      <w:pPr>
        <w:spacing w:after="80"/>
        <w:ind w:left="567" w:hanging="567"/>
      </w:pPr>
      <w:r>
        <w:rPr>
          <w:rFonts w:ascii="Times New Roman" w:hAnsi="Times New Roman"/>
          <w:b w:val="0"/>
          <w:i w:val="0"/>
          <w:sz w:val="22"/>
        </w:rPr>
        <w:t>Engestrom, Y. (1987). Learning by Expanding: An Activity-Theoretical Approach to Developmental Research. Orienta-Konsultit.</w:t>
      </w:r>
    </w:p>
    <w:p>
      <w:pPr>
        <w:spacing w:after="80"/>
        <w:ind w:left="567" w:hanging="567"/>
      </w:pPr>
      <w:r>
        <w:rPr>
          <w:rFonts w:ascii="Times New Roman" w:hAnsi="Times New Roman"/>
          <w:b w:val="0"/>
          <w:i w:val="0"/>
          <w:sz w:val="22"/>
        </w:rPr>
        <w:t>Hutchins, E. (1995). Cognition in the Wild. MIT Press.</w:t>
      </w:r>
    </w:p>
    <w:p>
      <w:pPr>
        <w:spacing w:after="80"/>
        <w:ind w:left="567" w:hanging="567"/>
      </w:pPr>
      <w:r>
        <w:rPr>
          <w:rFonts w:ascii="Times New Roman" w:hAnsi="Times New Roman"/>
          <w:b w:val="0"/>
          <w:i w:val="0"/>
          <w:sz w:val="22"/>
        </w:rPr>
        <w:t>Kaya, N., &amp; Epps, H. H. (2004). Relationship between colour and emotion: A study of college students. College Student Journal, 38(3), 396-405.</w:t>
      </w:r>
    </w:p>
    <w:p>
      <w:pPr>
        <w:spacing w:after="80"/>
        <w:ind w:left="567" w:hanging="567"/>
      </w:pPr>
      <w:r>
        <w:rPr>
          <w:rFonts w:ascii="Times New Roman" w:hAnsi="Times New Roman"/>
          <w:b w:val="0"/>
          <w:i w:val="0"/>
          <w:sz w:val="22"/>
        </w:rPr>
        <w:t>Nielsen, J. (1994). Usability Engineering. Academic Press.</w:t>
      </w:r>
    </w:p>
    <w:p>
      <w:pPr>
        <w:spacing w:after="80"/>
        <w:ind w:left="567" w:hanging="567"/>
      </w:pPr>
      <w:r>
        <w:rPr>
          <w:rFonts w:ascii="Times New Roman" w:hAnsi="Times New Roman"/>
          <w:b w:val="0"/>
          <w:i w:val="0"/>
          <w:sz w:val="22"/>
        </w:rPr>
        <w:t>Norman, D. A. (2013). The Design of Everyday Things (Revised ed.). Basic Books.</w:t>
      </w:r>
    </w:p>
    <w:p>
      <w:pPr>
        <w:spacing w:after="80"/>
        <w:ind w:left="567" w:hanging="567"/>
      </w:pPr>
      <w:r>
        <w:rPr>
          <w:rFonts w:ascii="Times New Roman" w:hAnsi="Times New Roman"/>
          <w:b w:val="0"/>
          <w:i w:val="0"/>
          <w:sz w:val="22"/>
        </w:rPr>
        <w:t>Wickens, C. D., Lee, J. D., Liu, Y., &amp; Gordon-Becker, S. (2004). An Introduction to Human Factors Engineering (2nd ed.). Pearson Prentice Hall.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