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AIA Assessment Report</w:t>
      </w:r>
    </w:p>
    <w:p>
      <w:pPr>
        <w:pStyle w:val="Heading1"/>
      </w:pPr>
      <w:r>
        <w:t>Project Information</w:t>
      </w:r>
    </w:p>
    <w:p>
      <w:r>
        <w:t>Project: Intelligent Loan Origination System (ILOS)</w:t>
      </w:r>
    </w:p>
    <w:p>
      <w:r>
        <w:t>Date: September 30, 2025</w:t>
      </w:r>
    </w:p>
    <w:p>
      <w:r>
        <w:t>Impact Level: Level I</w:t>
      </w:r>
    </w:p>
    <w:p>
      <w:r>
        <w:t>Score: 0/224 points</w:t>
      </w:r>
    </w:p>
    <w:p>
      <w:pPr>
        <w:pStyle w:val="Heading1"/>
      </w:pPr>
      <w:r>
        <w:t>Executive Summary</w:t>
      </w:r>
    </w:p>
    <w:p>
      <w:r>
        <w:t>This system presents relatively low algorithmic impact risks due to its AI/ML-powered, financial decision-making, automated processing, personal data usage capabilities. Standard operational procedures with basic monitoring and documentation are sufficient. The assessment indicates Level I classification under Canada's Algorithmic Impact Assessment framework.</w:t>
      </w:r>
    </w:p>
    <w:p>
      <w:pPr>
        <w:pStyle w:val="Heading1"/>
      </w:pPr>
      <w:r>
        <w:t>Key Findings</w:t>
      </w:r>
    </w:p>
    <w:p>
      <w:pPr>
        <w:pStyle w:val="ListBullet"/>
      </w:pPr>
      <w:r>
        <w:t>System uses AI/ML algorithms requiring interpretability considerations</w:t>
      </w:r>
    </w:p>
    <w:p>
      <w:pPr>
        <w:pStyle w:val="ListBullet"/>
      </w:pPr>
      <w:r>
        <w:t>System processes personal information requiring privacy safeguards</w:t>
      </w:r>
    </w:p>
    <w:p>
      <w:pPr>
        <w:pStyle w:val="ListBullet"/>
      </w:pPr>
      <w:r>
        <w:t>Automated decision-making requires human oversight mechanisms</w:t>
      </w:r>
    </w:p>
    <w:p>
      <w:pPr>
        <w:pStyle w:val="ListBullet"/>
      </w:pPr>
      <w:r>
        <w:t>Financial decisions have significant economic impact on individuals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Implement standard monitoring and documentation procedures</w:t>
      </w:r>
    </w:p>
    <w:p>
      <w:pPr>
        <w:pStyle w:val="ListBullet"/>
      </w:pPr>
      <w:r>
        <w:t>Establish clear decision-making audit trails</w:t>
      </w:r>
    </w:p>
    <w:p>
      <w:pPr>
        <w:pStyle w:val="ListBullet"/>
      </w:pPr>
      <w:r>
        <w:t>Plan regular system performance reviews</w:t>
      </w:r>
    </w:p>
    <w:p>
      <w:pPr>
        <w:pStyle w:val="Heading1"/>
      </w:pPr>
      <w:r>
        <w:t>Project Description</w:t>
      </w:r>
    </w:p>
    <w:p>
      <w:r>
        <w:t>A machine learning-based automated decision system designed to streamline and enhance the personal loan application process for retail banking customers. The system evaluates loan applications ranging from $5,000 to $100,000 with repayment terms of 1-7 years.</w:t>
        <w:br/>
        <w:br/>
        <w:t>Business Context:</w:t>
        <w:br/>
        <w:t>Your bank currently processes approximately 15,000 personal loan applications monthly, with manual review taking 3-5 business days per application. The ILOS system aims to reduce processing time to under 24 hours while improving approval accuracy and reducing default rates.</w:t>
        <w:br/>
        <w:br/>
        <w:t>Technical Architecture:</w:t>
        <w:br/>
        <w:t>- Primary Model: Gradient boosting ensemble (XGBoost) trained on 5 years of historical loan data (approximately 850,000 applications)</w:t>
        <w:br/>
        <w:t>- Model Outputs: Credit risk score (0-1000), approval recommendation (approve/decline/refer to human), suggested interest rate, and recommended loan terms</w:t>
        <w:br/>
        <w:t>- Decision Threshold: Applications scoring above 650 are auto-approved, below 400 are auto-declined, and 400-650 are referred to human underwriters for review</w:t>
        <w:br/>
        <w:br/>
        <w:t>Data Sources:</w:t>
        <w:br/>
        <w:t>- Internal customer data: banking history, account balances, transaction patterns, existing credit products</w:t>
        <w:br/>
        <w:t>- Credit bureau data: credit scores, payment history, outstanding debts</w:t>
        <w:br/>
        <w:t>- Application data: employment information, income verification, stated purpose of loan</w:t>
        <w:br/>
        <w:t>- Approximately 120 features used in the model</w:t>
        <w:br/>
        <w:br/>
        <w:t>Automated Decision-Making:</w:t>
        <w:br/>
        <w:t>- High-confidence applications (65% of volume) receive fully automated decisions</w:t>
        <w:br/>
        <w:t>- Medium-confidence applications (25% of volume) receive preliminary assessment with mandatory human review</w:t>
        <w:br/>
        <w:t>- Complex or edge cases (10% of volume) are routed directly to experienced underwriters</w:t>
        <w:br/>
        <w:t>- All declined applications include explanation codes and allow for appeal with human review</w:t>
        <w:br/>
        <w:br/>
        <w:t>Affected Populations:</w:t>
        <w:br/>
        <w:t>- Approximately 180,000 annual applicants across diverse demographics</w:t>
        <w:br/>
        <w:t>- Geographic coverage: All provinces and territories in Canada</w:t>
        <w:br/>
        <w:t>- Particular attention to fair lending practices and potential disparate impact on protected groups</w:t>
        <w:br/>
        <w:br/>
        <w:t>Governance &amp; Monitoring:</w:t>
        <w:br/>
        <w:t>- Model performance monitored weekly for accuracy, fairness metrics, and drift</w:t>
        <w:br/>
        <w:t>- Quarterly model validation reviews</w:t>
        <w:br/>
        <w:t>- Annual comprehensive model review and potential retraining</w:t>
        <w:br/>
        <w:t>- Ongoing bias testing across demographic segments</w:t>
        <w:br/>
        <w:br/>
        <w:t>Current Stage:</w:t>
        <w:br/>
        <w:t>The project is in the deployment planning phase, with model development complete and validation underway. Pilot launch planned for Q2 2025 with 10% of application volume, full rollout by Q4 2025.</w:t>
      </w:r>
    </w:p>
    <w:p>
      <w:pPr>
        <w:pStyle w:val="Heading1"/>
      </w:pPr>
      <w:r>
        <w:t>Disclaimer</w:t>
      </w:r>
    </w:p>
    <w:p>
      <w:r>
        <w:t>This assessment is based on available project information and automated analysis. Final AIA compliance requires complete stakeholder input and official government review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