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Enhanced AI Credit System</w:t>
      </w:r>
    </w:p>
    <w:p>
      <w:r>
        <w:t>Assessment Date: September 23, 2025</w:t>
      </w:r>
    </w:p>
    <w:p>
      <w:r>
        <w:t>OSFI E-23 Risk Rating: High</w:t>
      </w:r>
    </w:p>
    <w:p>
      <w:r>
        <w:t>Risk Score: 68/100 points</w:t>
      </w:r>
    </w:p>
    <w:p>
      <w:r>
        <w:t>Framework: OSFI Guideline E-23 (Effective May 1, 2027)</w:t>
      </w:r>
    </w:p>
    <w:p/>
    <w:p>
      <w:r>
        <w:t>This model has been assessed as High risk (score: 68/100) and requires robust governance with quarterly reviews and extensive controls. The model involving AI/ML technology, financial decision-making, automated processing requires implementation of OSFI E-23 framework controls appropriate to its risk level.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68 out of 100 possible points (68.0%), falling within the High risk range (51-75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Portfolio Size: 15 points - Large portfolio size increases potential impact of model errors</w:t>
      </w:r>
    </w:p>
    <w:p>
      <w:r>
        <w:t>• Financial Impact: 12 points - Significant financial decisions affected by model outputs</w:t>
      </w:r>
    </w:p>
    <w:p>
      <w:r>
        <w:t>• Operational Criticality: 10 points - Model is critical to core business operations</w:t>
      </w:r>
    </w:p>
    <w:p>
      <w:r>
        <w:t>• Customer Base: 8 points - Large customer base affected by model decisions</w:t>
      </w:r>
    </w:p>
    <w:p/>
    <w:p>
      <w:r>
        <w:t>Qualitative Risk Factors:</w:t>
      </w:r>
    </w:p>
    <w:p>
      <w:r>
        <w:t>• Ai Ml Usage: 12 points - AI/ML models present inherent interpretability and bias risks</w:t>
      </w:r>
    </w:p>
    <w:p>
      <w:r>
        <w:t>• Model Complexity: 8 points - Complex models are harder to validate and control</w:t>
      </w:r>
    </w:p>
    <w:p>
      <w:r>
        <w:t>• Third Party Dependency: 6 points - Third-party components introduce additional risk vectors</w:t>
      </w:r>
    </w:p>
    <w:p/>
    <w:p>
      <w:pPr>
        <w:pStyle w:val="Heading2"/>
      </w:pPr>
      <w:r>
        <w:t>Risk Amplification Analysis</w:t>
      </w:r>
    </w:p>
    <w:p>
      <w:r>
        <w:t>Amplification Factor: 1.3x</w:t>
      </w:r>
    </w:p>
    <w:p>
      <w:r>
        <w:t>Reason: AI/ML usage in critical financial decision-making with large customer impact</w:t>
      </w:r>
    </w:p>
    <w:p>
      <w:r>
        <w:t>Triggering Factors:</w:t>
      </w:r>
    </w:p>
    <w:p>
      <w:r>
        <w:t>• AI/ML + Financial Impact</w:t>
      </w:r>
    </w:p>
    <w:p>
      <w:r>
        <w:t>• High Complexity + Large Portfolio</w:t>
      </w:r>
    </w:p>
    <w:p>
      <w:pPr>
        <w:pStyle w:val="Heading2"/>
      </w:pPr>
      <w:r>
        <w:t>Model Description</w:t>
      </w:r>
    </w:p>
    <w:p>
      <w:r>
        <w:t>An AI-powered credit assessment system using machine learning algorithms to evaluate loan applications. The system processes high-volume financial data, makes automated decisions affecting large customer portfolios, and includes third-party data dependencies.</w:t>
      </w:r>
    </w:p>
    <w:p>
      <w:pPr>
        <w:pStyle w:val="Heading2"/>
      </w:pPr>
      <w:r>
        <w:t>Risk Level Justification</w:t>
      </w:r>
    </w:p>
    <w:p>
      <w:r>
        <w:t>The High risk classification is justified based on the following analysis:</w:t>
        <w:br/>
        <w:br/>
        <w:t>Primary risk drivers include: Quantitative factors: portfolio size, financial impact, operational criticality; Qualitative factors: ai ml usage, model complexity, third party dependency.</w:t>
        <w:br/>
        <w:br/>
        <w:t>The model presents significant risks requiring robust governance, independent validation, and comprehensive monitoring.</w:t>
        <w:br/>
        <w:br/>
        <w:t>Risk amplification was applied due to dangerous factor combinations that multiply the individual risk components.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Quantitative factor: Portfolio Size</w:t>
      </w:r>
    </w:p>
    <w:p>
      <w:pPr>
        <w:pStyle w:val="ListBullet"/>
      </w:pPr>
      <w:r>
        <w:t>Quantitative factor: Financial Impact</w:t>
      </w:r>
    </w:p>
    <w:p>
      <w:pPr>
        <w:pStyle w:val="ListBullet"/>
      </w:pPr>
      <w:r>
        <w:t>Quantitative factor: Operational Criticality</w:t>
      </w:r>
    </w:p>
    <w:p>
      <w:pPr>
        <w:pStyle w:val="ListBullet"/>
      </w:pPr>
      <w:r>
        <w:t>Quantitative factor: Customer Base</w:t>
      </w:r>
    </w:p>
    <w:p>
      <w:pPr>
        <w:pStyle w:val="ListBullet"/>
      </w:pPr>
      <w:r>
        <w:t>Qualitative factor: Ai Ml Usage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High Risk Level Requirements</w:t>
      </w:r>
    </w:p>
    <w:p>
      <w:pPr>
        <w:pStyle w:val="ListBullet"/>
      </w:pPr>
      <w:r>
        <w:t>Quarterly validation with independent review</w:t>
      </w:r>
    </w:p>
    <w:p>
      <w:pPr>
        <w:pStyle w:val="ListBullet"/>
      </w:pPr>
      <w:r>
        <w:t>Continuous monitoring with monthly reporting</w:t>
      </w:r>
    </w:p>
    <w:p>
      <w:pPr>
        <w:pStyle w:val="ListBullet"/>
      </w:pPr>
      <w:r>
        <w:t>Comprehensive documentation and robust governance</w:t>
      </w:r>
    </w:p>
    <w:p>
      <w:pPr>
        <w:pStyle w:val="ListBullet"/>
      </w:pPr>
      <w:r>
        <w:t>Executive leadership and board oversight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