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Simple_Internal_Tool</w:t>
      </w:r>
    </w:p>
    <w:p>
      <w:r>
        <w:t>Assessment Date: September 23, 2025</w:t>
      </w:r>
    </w:p>
    <w:p>
      <w:r>
        <w:t>OSFI E-23 Risk Rating: Low</w:t>
      </w:r>
    </w:p>
    <w:p>
      <w:r>
        <w:t>Risk Score: 10/100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Low risk classification is justified based on the following analysis:</w:t>
        <w:br/>
        <w:br/>
        <w:t>The model presents manageable risks that can be addressed through standard governance practices.</w:t>
      </w:r>
    </w:p>
    <w:p/>
    <w:p>
      <w:pPr>
        <w:pStyle w:val="Heading2"/>
      </w:pPr>
      <w:r>
        <w:t>Actual Risk Score Calculation</w:t>
      </w:r>
    </w:p>
    <w:p>
      <w:r>
        <w:t>Step 1 - Quantitative Risk Factors: 10 points</w:t>
      </w:r>
    </w:p>
    <w:p>
      <w:r>
        <w:t>Step 2 - Qualitative Risk Factors: 0 points</w:t>
      </w:r>
    </w:p>
    <w:p>
      <w:r>
        <w:t>Step 3 - Base Score: 10 + 0 = 10 points</w:t>
      </w:r>
    </w:p>
    <w:p>
      <w:r>
        <w:t>Step 4 - Final Score: 10 points (no amplification applied)</w:t>
      </w:r>
    </w:p>
    <w:p/>
    <w:p>
      <w:r>
        <w:t>CALCULATION METHOD: ACTUAL</w:t>
      </w:r>
    </w:p>
    <w:p/>
    <w:p>
      <w:pPr>
        <w:pStyle w:val="Heading2"/>
      </w:pPr>
      <w:r>
        <w:t>Scoring Methodology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Regulatory Impact: 10 points - Regulatory exposure requires compliance-grade governance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10 out of 100 possible points (10.0%), falling within the Low risk range (0-25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Regulatory Impact: 10 points - Regulatory exposure requires compliance-grade governance</w:t>
      </w:r>
    </w:p>
    <w:p/>
    <w:p>
      <w:r>
        <w:t>Qualitative Risk Factors:</w:t>
      </w:r>
    </w:p>
    <w:p>
      <w:pPr>
        <w:pStyle w:val="Heading2"/>
      </w:pPr>
      <w:r>
        <w:t>Model Description</w:t>
      </w:r>
    </w:p>
    <w:p>
      <w:r>
        <w:t>Basic internal reporting tool for monthly transaction summaries using simple statistical calculations.</w:t>
      </w:r>
    </w:p>
    <w:p>
      <w:pPr>
        <w:pStyle w:val="Heading2"/>
      </w:pPr>
      <w:r>
        <w:t>Risk Level Justification</w:t>
      </w:r>
    </w:p>
    <w:p>
      <w:r>
        <w:t>The Low risk classification is justified based on the following analysis:</w:t>
        <w:br/>
        <w:br/>
        <w:t>The model presents manageable risks that can be addressed through standard governance practices.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Low Risk Level Requirements</w:t>
      </w:r>
    </w:p>
    <w:p>
      <w:pPr>
        <w:pStyle w:val="ListBullet"/>
      </w:pPr>
      <w:r>
        <w:t>Annual model validation and review</w:t>
      </w:r>
    </w:p>
    <w:p>
      <w:pPr>
        <w:pStyle w:val="ListBullet"/>
      </w:pPr>
      <w:r>
        <w:t>Basic monitoring and performance tracking</w:t>
      </w:r>
    </w:p>
    <w:p>
      <w:pPr>
        <w:pStyle w:val="ListBullet"/>
      </w:pPr>
      <w:r>
        <w:t>Standard documentation and governance</w:t>
      </w:r>
    </w:p>
    <w:p>
      <w:pPr>
        <w:pStyle w:val="ListBullet"/>
      </w:pPr>
      <w:r>
        <w:t>Local business unit oversight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