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OSFI Guideline E-23</w:t>
      </w:r>
    </w:p>
    <w:p>
      <w:pPr>
        <w:pStyle w:val="Heading1"/>
        <w:jc w:val="center"/>
      </w:pPr>
      <w:r>
        <w:t>Model Risk Management Assessment Report</w:t>
      </w:r>
    </w:p>
    <w:p>
      <w:pPr>
        <w:pStyle w:val="Heading1"/>
      </w:pPr>
      <w:r>
        <w:t>1. Model Information</w:t>
      </w:r>
    </w:p>
    <w:p>
      <w:r>
        <w:t>Model Name: SmartLoan AI Credit Assessment System</w:t>
      </w:r>
    </w:p>
    <w:p>
      <w:r>
        <w:t>Assessment Date: September 22, 2025</w:t>
      </w:r>
    </w:p>
    <w:p>
      <w:r>
        <w:t>Framework: OSFI Guideline E-23 Model Risk Management</w:t>
      </w:r>
    </w:p>
    <w:p>
      <w:r>
        <w:t>Effective Date: May 1, 2027</w:t>
      </w:r>
    </w:p>
    <w:p>
      <w:r>
        <w:t>Scope: Federally regulated financial institutions</w:t>
      </w:r>
    </w:p>
    <w:p>
      <w:r>
        <w:t>Risk Rating: Critical</w:t>
      </w:r>
    </w:p>
    <w:p>
      <w:r>
        <w:t>Risk Score: 78/100 points</w:t>
      </w:r>
    </w:p>
    <w:p>
      <w:pPr>
        <w:pStyle w:val="Heading1"/>
      </w:pPr>
      <w:r>
        <w:t>2. Executive Summary</w:t>
      </w:r>
    </w:p>
    <w:p>
      <w:r>
        <w:t>This AI/ML-powered, financial decision-making, automated processing model presents critical model risk requiring maximum governance controls under OSFI Guideline E-23 Model Risk Management framework. Maximum governance controls including board oversight, external validation, and continuous monitoring are required. The assessment indicates Critical risk classification requiring appropriate risk management intensity commensurate with the model's risk profile.</w:t>
      </w:r>
    </w:p>
    <w:p>
      <w:pPr>
        <w:pStyle w:val="Heading1"/>
      </w:pPr>
      <w:r>
        <w:t>3. Model Description and Business Rationale</w:t>
      </w:r>
    </w:p>
    <w:p>
      <w:r>
        <w:t>SmartLoan AI System - Project Description</w:t>
        <w:br/>
        <w:t>Project Overview</w:t>
        <w:br/>
        <w:t>**Project Name:** SmartLoan AI Credit Assessment System **Organization:** Federal Development Bank of Canada (Crown Corporation) **Department:** Digital Lending Services Division **Timeline:** 18-month development and deployment (January 2025 - June 2026)</w:t>
        <w:br/>
        <w:t>Business Purpose</w:t>
        <w:br/>
        <w:t>The SmartLoan AI system is designed to automate credit risk assessment and loan approval decisions for small business loans ranging from $25,000 to $500,000. The system aims to reduce processing time from 14 days to 2 hours while maintaining consistent risk assessment standards across all regional offices.</w:t>
        <w:br/>
        <w:t>System Architecture</w:t>
        <w:br/>
        <w:t>* **Technology Stack:** Python-based machine learning pipeline using XGBoost and Random Forest algorithms</w:t>
        <w:br/>
        <w:t>* **Model Type:** Ensemble credit scoring model with explainable AI components</w:t>
        <w:br/>
        <w:t>* **Infrastructure:** Cloud-hosted on Government of Canada AWS environment with real-time API integration</w:t>
        <w:br/>
        <w:t>* **Decision Threshold:** Automated approval for scores above 750, automatic rejection below 400, human review for scores 400-750</w:t>
        <w:br/>
        <w:t>Data Sources and Volume</w:t>
        <w:br/>
        <w:t>* **Primary Data:** Business financial statements (3 years), tax returns, bank statements</w:t>
        <w:br/>
        <w:t>* **External Data:** Credit bureau reports (Equifax, TransUnion), business registration databases, industry benchmarking data</w:t>
        <w:br/>
        <w:t>* **Volume:** Processing approximately 2,500 applications monthly, training on historical dataset of 150,000 loan decisions</w:t>
        <w:br/>
        <w:t>* **Retention:** Data stored for 7 years per regulatory requirements</w:t>
        <w:br/>
        <w:t>Decision-Making Scope</w:t>
        <w:br/>
        <w:t>* **Automated Decisions:** Full loan approval/rejection for 60% of applications</w:t>
        <w:br/>
        <w:t>* **Financial Impact:** Individual decisions range $25,000-$500,000, annual portfolio impact $180 million</w:t>
        <w:br/>
        <w:t>* **Geographic Coverage:** All provinces and territories</w:t>
        <w:br/>
        <w:t>* **Affected Population:** Small business owners, entrepreneurs, minority-owned businesses (estimated 15,000 annual applicants)</w:t>
        <w:br/>
        <w:t>Risk Factors and Considerations</w:t>
        <w:br/>
        <w:t>* **Fairness Concerns:** Potential bias against newer businesses, rural applicants, and underrepresented groups</w:t>
        <w:br/>
        <w:t>* **Data Quality:** Reliance on self-reported financial data, potential for incomplete documentation</w:t>
        <w:br/>
        <w:t>* **Model Complexity:** Black-box ensemble methods may limit explainability for loan denials</w:t>
        <w:br/>
        <w:t>* **Regulatory Environment:** Subject to federal lending regulations, privacy laws, and anti-discrimination requirements</w:t>
        <w:br/>
        <w:t>* **Operational Risk:** System downtime could delay critical business funding decisions</w:t>
        <w:br/>
        <w:t>Governance and Oversight</w:t>
        <w:br/>
        <w:t>* **Model Owner:** Chief Risk Officer</w:t>
        <w:br/>
        <w:t>* **Technical Team:** 8 data scientists, 4 software engineers, 2 risk analysts</w:t>
        <w:br/>
        <w:t>* **Validation:** Independent third-party model validation planned for Q3 2025</w:t>
        <w:br/>
        <w:t>* **Monitoring:** Real-time performance dashboards, monthly bias audits, quarterly recalibration</w:t>
        <w:br/>
        <w:t>* **Appeals Process:** Human review available for all automated decisions</w:t>
        <w:br/>
        <w:t>Current Status</w:t>
        <w:br/>
        <w:t>The system is in the design phase with initial model development completed. Pilot testing is scheduled for Q2 2025 with 500 applications from the Atlantic region. Full production deployment planned for Q4 2025 pending regulatory approval and bias testing results.</w:t>
        <w:br/>
        <w:t>Performance Metrics</w:t>
        <w:br/>
        <w:t>* **Target Accuracy:** 92% agreement with historical human decisions</w:t>
        <w:br/>
        <w:t>* **Processing Time:** Under 2 hours for 90% of applications</w:t>
        <w:br/>
        <w:t>* **Appeal Rate:** Less than 5% of automated decisions</w:t>
        <w:br/>
        <w:t>* **Bias Metrics:** No statistically significant disparate impact across protected groups</w:t>
      </w:r>
    </w:p>
    <w:p/>
    <w:p>
      <w:r>
        <w:t>Business Rationale:</w:t>
      </w:r>
    </w:p>
    <w:p>
      <w:r>
        <w:t>This model supports risk management objectives by providing quantitative risk assessments to inform business decisions and regulatory compliance requirements.</w:t>
      </w:r>
    </w:p>
    <w:p>
      <w:pPr>
        <w:pStyle w:val="Heading1"/>
      </w:pPr>
      <w:r>
        <w:t>4. Model Risk Assessment</w:t>
      </w:r>
    </w:p>
    <w:p>
      <w:pPr>
        <w:pStyle w:val="Heading2"/>
      </w:pPr>
      <w:r>
        <w:t>4.1 Risk Rating Methodology</w:t>
      </w:r>
    </w:p>
    <w:p>
      <w:r>
        <w:t>The model risk rating follows OSFI E-23 methodology, evaluating both quantitative and qualitative risk factors. Quantitative factors include portfolio size, financial impact, and operational criticality. Qualitative factors assess model complexity, autonomy level, explainability, and third-party dependencies. Risk amplification is applied when high-risk combinations are identified, such as AI/ML usage in critical financial decisions.</w:t>
      </w:r>
    </w:p>
    <w:p>
      <w:pPr>
        <w:pStyle w:val="Heading2"/>
      </w:pPr>
      <w:r>
        <w:t>4.2 Quantitative Risk Factors</w:t>
      </w:r>
    </w:p>
    <w:p>
      <w:pPr>
        <w:pStyle w:val="ListBullet"/>
      </w:pPr>
      <w:r>
        <w:t>Significant financial impact on institution and customers</w:t>
      </w:r>
    </w:p>
    <w:p>
      <w:pPr>
        <w:pStyle w:val="ListBullet"/>
      </w:pPr>
      <w:r>
        <w:t>Regulatory compliance and reporting dependencies</w:t>
      </w:r>
    </w:p>
    <w:p>
      <w:pPr>
        <w:pStyle w:val="Heading2"/>
      </w:pPr>
      <w:r>
        <w:t>4.3 Qualitative Risk Factors</w:t>
      </w:r>
    </w:p>
    <w:p>
      <w:pPr>
        <w:pStyle w:val="ListBullet"/>
      </w:pPr>
      <w:r>
        <w:t>AI/ML technology requiring specialized validation and monitoring</w:t>
      </w:r>
    </w:p>
    <w:p>
      <w:pPr>
        <w:pStyle w:val="ListBullet"/>
      </w:pPr>
      <w:r>
        <w:t>High model complexity increasing validation requirements</w:t>
      </w:r>
    </w:p>
    <w:p>
      <w:pPr>
        <w:pStyle w:val="ListBullet"/>
      </w:pPr>
      <w:r>
        <w:t>Autonomous decision-making with limited human oversight</w:t>
      </w:r>
    </w:p>
    <w:p>
      <w:pPr>
        <w:pStyle w:val="ListBullet"/>
      </w:pPr>
      <w:r>
        <w:t>Third-party model dependencies requiring vendor oversight</w:t>
      </w:r>
    </w:p>
    <w:p>
      <w:pPr>
        <w:pStyle w:val="ListBullet"/>
      </w:pPr>
      <w:r>
        <w:t>Real-time processing with immediate decision impact</w:t>
      </w:r>
    </w:p>
    <w:p>
      <w:pPr>
        <w:pStyle w:val="Heading2"/>
      </w:pPr>
      <w:r>
        <w:t>4.4 Risk Interactions and Amplification</w:t>
      </w:r>
    </w:p>
    <w:p>
      <w:pPr>
        <w:pStyle w:val="ListBullet"/>
      </w:pPr>
      <w:r>
        <w:t>Risk factor interactions evaluated for amplification effects</w:t>
      </w:r>
    </w:p>
    <w:p>
      <w:pPr>
        <w:pStyle w:val="ListBullet"/>
      </w:pPr>
      <w:r>
        <w:t>Combined risk scenarios assessed for governance implications</w:t>
      </w:r>
    </w:p>
    <w:p>
      <w:pPr>
        <w:pStyle w:val="ListBullet"/>
      </w:pPr>
      <w:r>
        <w:t>Risk mitigation strategies aligned with interaction patterns</w:t>
      </w:r>
    </w:p>
    <w:p>
      <w:pPr>
        <w:pStyle w:val="Heading1"/>
      </w:pPr>
      <w:r>
        <w:t>5. Model Risk Management Framework</w:t>
      </w:r>
    </w:p>
    <w:p>
      <w:pPr>
        <w:pStyle w:val="Heading2"/>
      </w:pPr>
      <w:r>
        <w:t>5.1 Organizational Structure and Accountability</w:t>
      </w:r>
    </w:p>
    <w:p>
      <w:r>
        <w:t>Model Owner: Business unit responsible for model outcomes and business rationale</w:t>
      </w:r>
    </w:p>
    <w:p>
      <w:r>
        <w:t>Model Developer: Technical team or vendor responsible for model development and maintenance</w:t>
      </w:r>
    </w:p>
    <w:p>
      <w:r>
        <w:t>Model Reviewer: Independent validation team responsible for model review and testing</w:t>
      </w:r>
    </w:p>
    <w:p>
      <w:r>
        <w:t>Model Approver: Approval authority as per risk level: Board of Directors or CEO</w:t>
      </w:r>
    </w:p>
    <w:p>
      <w:r>
        <w:t>Model Risk Committee: Senior committee providing oversight and governance for model risk</w:t>
      </w:r>
    </w:p>
    <w:p>
      <w:r>
        <w:t>Compliance Officer: Compliance function ensuring adherence to regulatory requirements</w:t>
      </w:r>
    </w:p>
    <w:p>
      <w:r>
        <w:t>Board Oversight: Board of Directors providing oversight for critical models</w:t>
      </w:r>
    </w:p>
    <w:p>
      <w:r>
        <w:t>External Validator: Independent third-party validation for critical model components</w:t>
      </w:r>
    </w:p>
    <w:p>
      <w:pPr>
        <w:pStyle w:val="Heading2"/>
      </w:pPr>
      <w:r>
        <w:t>5.2 Policies, Procedures, and Controls</w:t>
      </w:r>
    </w:p>
    <w:p>
      <w:pPr>
        <w:pStyle w:val="ListBullet"/>
      </w:pPr>
      <w:r>
        <w:t>Model Risk Management Policy defining roles, responsibilities, and governance framework</w:t>
      </w:r>
    </w:p>
    <w:p>
      <w:pPr>
        <w:pStyle w:val="ListBullet"/>
      </w:pPr>
      <w:r>
        <w:t>Model Development Standards specifying technical and documentation requirements</w:t>
      </w:r>
    </w:p>
    <w:p>
      <w:pPr>
        <w:pStyle w:val="ListBullet"/>
      </w:pPr>
      <w:r>
        <w:t>Model Review and Validation Procedures for independent assessment processes</w:t>
      </w:r>
    </w:p>
    <w:p>
      <w:pPr>
        <w:pStyle w:val="ListBullet"/>
      </w:pPr>
      <w:r>
        <w:t>Model Approval Procedures defining authority levels and approval criteria</w:t>
      </w:r>
    </w:p>
    <w:p>
      <w:pPr>
        <w:pStyle w:val="ListBullet"/>
      </w:pPr>
      <w:r>
        <w:t>Model Monitoring and Performance Management Procedures</w:t>
      </w:r>
    </w:p>
    <w:p>
      <w:pPr>
        <w:pStyle w:val="ListBullet"/>
      </w:pPr>
      <w:r>
        <w:t>Model Change Management Procedures for updates and modifications</w:t>
      </w:r>
    </w:p>
    <w:p>
      <w:pPr>
        <w:pStyle w:val="ListBullet"/>
      </w:pPr>
      <w:r>
        <w:t>Model Decommission Procedures for retirement and replacement processes</w:t>
      </w:r>
    </w:p>
    <w:p>
      <w:pPr>
        <w:pStyle w:val="ListBullet"/>
      </w:pPr>
      <w:r>
        <w:t>Enhanced Documentation Standards for complex and high-risk models</w:t>
      </w:r>
    </w:p>
    <w:p>
      <w:pPr>
        <w:pStyle w:val="ListBullet"/>
      </w:pPr>
      <w:r>
        <w:t>Bias Testing and Fairness Assessment Procedures for AI/ML models</w:t>
      </w:r>
    </w:p>
    <w:p>
      <w:pPr>
        <w:pStyle w:val="ListBullet"/>
      </w:pPr>
      <w:r>
        <w:t>Third-party Model Oversight Procedures for vendor-developed models</w:t>
      </w:r>
    </w:p>
    <w:p>
      <w:pPr>
        <w:pStyle w:val="Heading1"/>
      </w:pPr>
      <w:r>
        <w:t>6. Model Lifecycle Management</w:t>
      </w:r>
    </w:p>
    <w:p>
      <w:pPr>
        <w:pStyle w:val="Heading2"/>
      </w:pPr>
      <w:r>
        <w:t>6.1 Model Design</w:t>
      </w:r>
    </w:p>
    <w:p>
      <w:pPr>
        <w:pStyle w:val="ListBullet"/>
      </w:pPr>
      <w:r>
        <w:t>Clear organizational rationale and business case documentation</w:t>
      </w:r>
    </w:p>
    <w:p>
      <w:pPr>
        <w:pStyle w:val="ListBullet"/>
      </w:pPr>
      <w:r>
        <w:t>Comprehensive data quality and governance standards</w:t>
      </w:r>
    </w:p>
    <w:p>
      <w:pPr>
        <w:pStyle w:val="ListBullet"/>
      </w:pPr>
      <w:r>
        <w:t>Appropriate model development methodology and documentation</w:t>
      </w:r>
    </w:p>
    <w:p>
      <w:pPr>
        <w:pStyle w:val="ListBullet"/>
      </w:pPr>
      <w:r>
        <w:t>Performance criteria and success metrics definition</w:t>
      </w:r>
    </w:p>
    <w:p>
      <w:pPr>
        <w:pStyle w:val="ListBullet"/>
      </w:pPr>
      <w:r>
        <w:t>Model limitations and assumptions documentation</w:t>
      </w:r>
    </w:p>
    <w:p>
      <w:pPr>
        <w:pStyle w:val="ListBullet"/>
      </w:pPr>
      <w:r>
        <w:t>Detailed explainability and interpretability analysis</w:t>
      </w:r>
    </w:p>
    <w:p>
      <w:pPr>
        <w:pStyle w:val="ListBullet"/>
      </w:pPr>
      <w:r>
        <w:t>Comprehensive bias and fairness assessment</w:t>
      </w:r>
    </w:p>
    <w:p>
      <w:pPr>
        <w:pStyle w:val="ListBullet"/>
      </w:pPr>
      <w:r>
        <w:t>Regulatory compliance and impact analysis</w:t>
      </w:r>
    </w:p>
    <w:p>
      <w:pPr>
        <w:pStyle w:val="Heading2"/>
      </w:pPr>
      <w:r>
        <w:t>6.2 Model Review and Validation</w:t>
      </w:r>
    </w:p>
    <w:p>
      <w:pPr>
        <w:pStyle w:val="ListBullet"/>
      </w:pPr>
      <w:r>
        <w:t>Independent conceptual soundness review</w:t>
      </w:r>
    </w:p>
    <w:p>
      <w:pPr>
        <w:pStyle w:val="ListBullet"/>
      </w:pPr>
      <w:r>
        <w:t>Comprehensive performance evaluation and testing</w:t>
      </w:r>
    </w:p>
    <w:p>
      <w:pPr>
        <w:pStyle w:val="ListBullet"/>
      </w:pPr>
      <w:r>
        <w:t>Risk rating confirmation and documentation</w:t>
      </w:r>
    </w:p>
    <w:p>
      <w:pPr>
        <w:pStyle w:val="ListBullet"/>
      </w:pPr>
      <w:r>
        <w:t>Model documentation completeness review</w:t>
      </w:r>
    </w:p>
    <w:p>
      <w:pPr>
        <w:pStyle w:val="ListBullet"/>
      </w:pPr>
      <w:r>
        <w:t>Limitation and mitigation strategy assessment</w:t>
      </w:r>
    </w:p>
    <w:p>
      <w:pPr>
        <w:pStyle w:val="ListBullet"/>
      </w:pPr>
      <w:r>
        <w:t>Enhanced validation testing including stress scenarios</w:t>
      </w:r>
    </w:p>
    <w:p>
      <w:pPr>
        <w:pStyle w:val="ListBullet"/>
      </w:pPr>
      <w:r>
        <w:t>External validation for critical model components</w:t>
      </w:r>
    </w:p>
    <w:p>
      <w:pPr>
        <w:pStyle w:val="ListBullet"/>
      </w:pPr>
      <w:r>
        <w:t>Regulatory pre-approval consultation where applicable</w:t>
      </w:r>
    </w:p>
    <w:p>
      <w:pPr>
        <w:pStyle w:val="Heading2"/>
      </w:pPr>
      <w:r>
        <w:t>6.3 Model Deployment</w:t>
      </w:r>
    </w:p>
    <w:p>
      <w:pPr>
        <w:pStyle w:val="ListBullet"/>
      </w:pPr>
      <w:r>
        <w:t>Quality assurance and change control processes</w:t>
      </w:r>
    </w:p>
    <w:p>
      <w:pPr>
        <w:pStyle w:val="ListBullet"/>
      </w:pPr>
      <w:r>
        <w:t>Production environment testing and validation</w:t>
      </w:r>
    </w:p>
    <w:p>
      <w:pPr>
        <w:pStyle w:val="ListBullet"/>
      </w:pPr>
      <w:r>
        <w:t>Stakeholder coordination and communication</w:t>
      </w:r>
    </w:p>
    <w:p>
      <w:pPr>
        <w:pStyle w:val="ListBullet"/>
      </w:pPr>
      <w:r>
        <w:t>Risk assessment completion and sign-off</w:t>
      </w:r>
    </w:p>
    <w:p>
      <w:pPr>
        <w:pStyle w:val="ListBullet"/>
      </w:pPr>
      <w:r>
        <w:t>Monitoring framework setup and configuration</w:t>
      </w:r>
    </w:p>
    <w:p>
      <w:pPr>
        <w:pStyle w:val="ListBullet"/>
      </w:pPr>
      <w:r>
        <w:t>Enhanced production testing with parallel run validation</w:t>
      </w:r>
    </w:p>
    <w:p>
      <w:pPr>
        <w:pStyle w:val="ListBullet"/>
      </w:pPr>
      <w:r>
        <w:t>Real-time monitoring and alerting system activation</w:t>
      </w:r>
    </w:p>
    <w:p>
      <w:pPr>
        <w:pStyle w:val="ListBullet"/>
      </w:pPr>
      <w:r>
        <w:t>Contingency and rollback procedure implementation</w:t>
      </w:r>
    </w:p>
    <w:p>
      <w:pPr>
        <w:pStyle w:val="Heading2"/>
      </w:pPr>
      <w:r>
        <w:t>6.4 Model Monitoring and Performance Management</w:t>
      </w:r>
    </w:p>
    <w:p>
      <w:r>
        <w:t>Monitoring Frequency: Daily monitoring with weekly comprehensive review</w:t>
      </w:r>
    </w:p>
    <w:p>
      <w:r>
        <w:t>Key Performance Indicators:</w:t>
      </w:r>
    </w:p>
    <w:p>
      <w:pPr>
        <w:pStyle w:val="ListBullet"/>
      </w:pPr>
      <w:r>
        <w:t>Model performance accuracy and stability metrics</w:t>
      </w:r>
    </w:p>
    <w:p>
      <w:pPr>
        <w:pStyle w:val="ListBullet"/>
      </w:pPr>
      <w:r>
        <w:t>Prediction quality and consistency indicators</w:t>
      </w:r>
    </w:p>
    <w:p>
      <w:pPr>
        <w:pStyle w:val="ListBullet"/>
      </w:pPr>
      <w:r>
        <w:t>Data quality and completeness measures</w:t>
      </w:r>
    </w:p>
    <w:p>
      <w:pPr>
        <w:pStyle w:val="ListBullet"/>
      </w:pPr>
      <w:r>
        <w:t>Usage patterns and volume statistics</w:t>
      </w:r>
    </w:p>
    <w:p>
      <w:pPr>
        <w:pStyle w:val="ListBullet"/>
      </w:pPr>
      <w:r>
        <w:t>Bias and fairness metrics for protected characteristics</w:t>
      </w:r>
    </w:p>
    <w:p>
      <w:pPr>
        <w:pStyle w:val="ListBullet"/>
      </w:pPr>
      <w:r>
        <w:t>Explainability and transparency measures</w:t>
      </w:r>
    </w:p>
    <w:p>
      <w:pPr>
        <w:pStyle w:val="ListBullet"/>
      </w:pPr>
      <w:r>
        <w:t>Regulatory compliance indicators</w:t>
      </w:r>
    </w:p>
    <w:p>
      <w:pPr>
        <w:pStyle w:val="ListBullet"/>
      </w:pPr>
      <w:r>
        <w:t>Customer impact and complaint metrics</w:t>
      </w:r>
    </w:p>
    <w:p>
      <w:pPr>
        <w:pStyle w:val="Heading2"/>
      </w:pPr>
      <w:r>
        <w:t>6.5 Model Decommission</w:t>
      </w:r>
    </w:p>
    <w:p>
      <w:pPr>
        <w:pStyle w:val="ListBullet"/>
      </w:pPr>
      <w:r>
        <w:t>Formal model retirement process and timeline</w:t>
      </w:r>
    </w:p>
    <w:p>
      <w:pPr>
        <w:pStyle w:val="ListBullet"/>
      </w:pPr>
      <w:r>
        <w:t>Stakeholder notification and communication plan</w:t>
      </w:r>
    </w:p>
    <w:p>
      <w:pPr>
        <w:pStyle w:val="ListBullet"/>
      </w:pPr>
      <w:r>
        <w:t>Documentation retention and archival procedures</w:t>
      </w:r>
    </w:p>
    <w:p>
      <w:pPr>
        <w:pStyle w:val="ListBullet"/>
      </w:pPr>
      <w:r>
        <w:t>Downstream system impact assessment and mitigation</w:t>
      </w:r>
    </w:p>
    <w:p>
      <w:pPr>
        <w:pStyle w:val="ListBullet"/>
      </w:pPr>
      <w:r>
        <w:t>Third-party model considerations and vendor coordination</w:t>
      </w:r>
    </w:p>
    <w:p>
      <w:pPr>
        <w:pStyle w:val="ListBullet"/>
      </w:pPr>
      <w:r>
        <w:t>Data retention and disposal procedures</w:t>
      </w:r>
    </w:p>
    <w:p>
      <w:pPr>
        <w:pStyle w:val="ListBullet"/>
      </w:pPr>
      <w:r>
        <w:t>Replacement model transition planning</w:t>
      </w:r>
    </w:p>
    <w:p>
      <w:pPr>
        <w:pStyle w:val="Heading1"/>
      </w:pPr>
      <w:r>
        <w:t>7. Documentation Requirements</w:t>
      </w:r>
    </w:p>
    <w:p>
      <w:pPr>
        <w:pStyle w:val="ListBullet"/>
      </w:pPr>
      <w:r>
        <w:t>Model rationale and business purpose documentation</w:t>
      </w:r>
    </w:p>
    <w:p>
      <w:pPr>
        <w:pStyle w:val="ListBullet"/>
      </w:pPr>
      <w:r>
        <w:t>Data sources, quality standards, and governance documentation</w:t>
      </w:r>
    </w:p>
    <w:p>
      <w:pPr>
        <w:pStyle w:val="ListBullet"/>
      </w:pPr>
      <w:r>
        <w:t>Model methodology, assumptions, and limitations documentation</w:t>
      </w:r>
    </w:p>
    <w:p>
      <w:pPr>
        <w:pStyle w:val="ListBullet"/>
      </w:pPr>
      <w:r>
        <w:t>Performance metrics, validation results, and testing documentation</w:t>
      </w:r>
    </w:p>
    <w:p>
      <w:pPr>
        <w:pStyle w:val="ListBullet"/>
      </w:pPr>
      <w:r>
        <w:t>Risk assessment and mitigation strategy documentation</w:t>
      </w:r>
    </w:p>
    <w:p>
      <w:pPr>
        <w:pStyle w:val="ListBullet"/>
      </w:pPr>
      <w:r>
        <w:t>Detailed explainability and interpretability documentation</w:t>
      </w:r>
    </w:p>
    <w:p>
      <w:pPr>
        <w:pStyle w:val="ListBullet"/>
      </w:pPr>
      <w:r>
        <w:t>Comprehensive bias testing and mitigation measures documentation</w:t>
      </w:r>
    </w:p>
    <w:p>
      <w:pPr>
        <w:pStyle w:val="ListBullet"/>
      </w:pPr>
      <w:r>
        <w:t>Audit trail and change management documentation</w:t>
      </w:r>
    </w:p>
    <w:p>
      <w:pPr>
        <w:pStyle w:val="ListBullet"/>
      </w:pPr>
      <w:r>
        <w:t>Contingency planning and rollback procedures documentation</w:t>
      </w:r>
    </w:p>
    <w:p>
      <w:pPr>
        <w:pStyle w:val="ListBullet"/>
      </w:pPr>
      <w:r>
        <w:t>Board presentation and approval documentation</w:t>
      </w:r>
    </w:p>
    <w:p>
      <w:pPr>
        <w:pStyle w:val="ListBullet"/>
      </w:pPr>
      <w:r>
        <w:t>External validation and independent review reports</w:t>
      </w:r>
    </w:p>
    <w:p>
      <w:pPr>
        <w:pStyle w:val="ListBullet"/>
      </w:pPr>
      <w:r>
        <w:t>Regulatory compliance attestations and correspondence</w:t>
      </w:r>
    </w:p>
    <w:p>
      <w:pPr>
        <w:pStyle w:val="ListBullet"/>
      </w:pPr>
      <w:r>
        <w:t>Continuous monitoring dashboards and alert configurations</w:t>
      </w:r>
    </w:p>
    <w:p>
      <w:pPr>
        <w:pStyle w:val="Heading1"/>
      </w:pPr>
      <w:r>
        <w:t>8. Compliance Checklist</w:t>
      </w:r>
    </w:p>
    <w:p>
      <w:r>
        <w:t>☐ Model inventory registration (design - Required)</w:t>
      </w:r>
    </w:p>
    <w:p>
      <w:r>
        <w:t>☐ Risk rating assignment (design - Required)</w:t>
      </w:r>
    </w:p>
    <w:p>
      <w:r>
        <w:t>☐ Model documentation completion (design - Required)</w:t>
      </w:r>
    </w:p>
    <w:p>
      <w:r>
        <w:t>☐ Independent model review (review - Required)</w:t>
      </w:r>
    </w:p>
    <w:p>
      <w:r>
        <w:t>☐ Formal model approval (review - Required)</w:t>
      </w:r>
    </w:p>
    <w:p>
      <w:r>
        <w:t>☐ Production deployment testing (deployment - Required)</w:t>
      </w:r>
    </w:p>
    <w:p>
      <w:r>
        <w:t>☐ Monitoring system activation (deployment - Required)</w:t>
      </w:r>
    </w:p>
    <w:p>
      <w:r>
        <w:t>☐ Regular performance monitoring (monitoring - Required)</w:t>
      </w:r>
    </w:p>
    <w:p>
      <w:r>
        <w:t>☐ Bias and fairness testing (design - Required)</w:t>
      </w:r>
    </w:p>
    <w:p>
      <w:r>
        <w:t>☐ Explainability documentation (design - Required)</w:t>
      </w:r>
    </w:p>
    <w:p>
      <w:r>
        <w:t>☐ Senior management approval (review - Required)</w:t>
      </w:r>
    </w:p>
    <w:p>
      <w:r>
        <w:t>☐ Enhanced monitoring setup (deployment - Required)</w:t>
      </w:r>
    </w:p>
    <w:p>
      <w:r>
        <w:t>☐ Board-level approval (review - Required)</w:t>
      </w:r>
    </w:p>
    <w:p>
      <w:r>
        <w:t>☐ External validation (review - Required)</w:t>
      </w:r>
    </w:p>
    <w:p>
      <w:r>
        <w:t>☐ Real-time monitoring activation (deployment - Required)</w:t>
      </w:r>
    </w:p>
    <w:p>
      <w:pPr>
        <w:pStyle w:val="Heading1"/>
      </w:pPr>
      <w:r>
        <w:t>9. Implementation Timeline</w:t>
      </w:r>
    </w:p>
    <w:p>
      <w:r>
        <w:t>Design Phase: 12-16 weeks</w:t>
      </w:r>
    </w:p>
    <w:p>
      <w:r>
        <w:t>Review Phase: 6-8 weeks</w:t>
      </w:r>
    </w:p>
    <w:p>
      <w:r>
        <w:t>External Validation: 4-6 weeks</w:t>
      </w:r>
    </w:p>
    <w:p>
      <w:r>
        <w:t>Deployment Phase: 5-7 weeks</w:t>
      </w:r>
    </w:p>
    <w:p>
      <w:r>
        <w:t>Monitoring Setup: 4-5 weeks</w:t>
      </w:r>
    </w:p>
    <w:p>
      <w:pPr>
        <w:pStyle w:val="Heading1"/>
      </w:pPr>
      <w:r>
        <w:t>10. Recommendations and Next Steps</w:t>
      </w:r>
    </w:p>
    <w:p>
      <w:pPr>
        <w:pStyle w:val="ListBullet"/>
      </w:pPr>
      <w:r>
        <w:t>Establish comprehensive Model Risk Management framework aligned with OSFI E-23</w:t>
      </w:r>
    </w:p>
    <w:p>
      <w:pPr>
        <w:pStyle w:val="ListBullet"/>
      </w:pPr>
      <w:r>
        <w:t>Implement risk-based approach to model governance</w:t>
      </w:r>
    </w:p>
    <w:p>
      <w:pPr>
        <w:pStyle w:val="ListBullet"/>
      </w:pPr>
      <w:r>
        <w:t>Ensure model inventory includes all models with non-negligible risk</w:t>
      </w:r>
    </w:p>
    <w:p>
      <w:pPr>
        <w:pStyle w:val="ListBullet"/>
      </w:pPr>
      <w:r>
        <w:t>🚨 CRITICAL: Obtain board-level approval before deployment</w:t>
      </w:r>
    </w:p>
    <w:p>
      <w:pPr>
        <w:pStyle w:val="ListBullet"/>
      </w:pPr>
      <w:r>
        <w:t>Implement maximum governance controls and oversight</w:t>
      </w:r>
    </w:p>
    <w:p>
      <w:pPr>
        <w:pStyle w:val="ListBullet"/>
      </w:pPr>
      <w:r>
        <w:t>Conduct external validation and independent review</w:t>
      </w:r>
    </w:p>
    <w:p>
      <w:pPr>
        <w:pStyle w:val="ListBullet"/>
      </w:pPr>
      <w:r>
        <w:t>Establish dedicated Model Risk Committee</w:t>
      </w:r>
    </w:p>
    <w:p>
      <w:pPr>
        <w:pStyle w:val="ListBullet"/>
      </w:pPr>
      <w:r>
        <w:t>Implement continuous monitoring with real-time alerts</w:t>
      </w:r>
    </w:p>
    <w:p>
      <w:pPr>
        <w:pStyle w:val="Heading1"/>
      </w:pPr>
      <w:r>
        <w:t>11. Appendices</w:t>
      </w:r>
    </w:p>
    <w:p>
      <w:pPr>
        <w:pStyle w:val="Heading2"/>
      </w:pPr>
      <w:r>
        <w:t>Appendix A: OSFI E-23 Core Principles</w:t>
      </w:r>
    </w:p>
    <w:p>
      <w:r>
        <w:t>Principle 1.1: Organizational Enablement</w:t>
      </w:r>
    </w:p>
    <w:p>
      <w:r>
        <w:t>Effective reporting structures and proper resourcing should enable sound model governance</w:t>
      </w:r>
    </w:p>
    <w:p/>
    <w:p>
      <w:r>
        <w:t>Principle 1.2: MRM Framework</w:t>
      </w:r>
    </w:p>
    <w:p>
      <w:r>
        <w:t>The MRM framework should align risk-taking activities to strategic objectives and risk appetite</w:t>
      </w:r>
    </w:p>
    <w:p/>
    <w:p>
      <w:r>
        <w:t>Principle 1.3: Use of Models</w:t>
      </w:r>
    </w:p>
    <w:p>
      <w:r>
        <w:t>Models should be appropriate for their business purposes</w:t>
      </w:r>
    </w:p>
    <w:p/>
    <w:p>
      <w:r>
        <w:t>Principle 2.1: Model Identification</w:t>
      </w:r>
    </w:p>
    <w:p>
      <w:r>
        <w:t>Institutions should identify and track all models in use or recently decommissioned</w:t>
      </w:r>
    </w:p>
    <w:p/>
    <w:p>
      <w:r>
        <w:t>Principle 2.2: Model Risk Rating</w:t>
      </w:r>
    </w:p>
    <w:p>
      <w:r>
        <w:t>Institutions should establish a model risk rating approach that assesses key dimensions of model risk</w:t>
      </w:r>
    </w:p>
    <w:p/>
    <w:p>
      <w:r>
        <w:t>Principle 2.3: Risk Management Intensity</w:t>
      </w:r>
    </w:p>
    <w:p>
      <w:r>
        <w:t>The scope, scale, and intensity of MRM should be commensurate with the risk introduced by the model</w:t>
      </w:r>
    </w:p>
    <w:p/>
    <w:p>
      <w:r>
        <w:t>Principle 3.1: Policies, Procedures, and Controls</w:t>
      </w:r>
    </w:p>
    <w:p>
      <w:r>
        <w:t>MRM policies, procedures, and controls should be robust, flexible, and lead to effective requirements applied across the model lifecycle</w:t>
      </w:r>
    </w:p>
    <w:p/>
    <w:p>
      <w:pPr>
        <w:pStyle w:val="Heading2"/>
      </w:pPr>
      <w:r>
        <w:t>Appendix B: Risk Rating Levels</w:t>
      </w:r>
    </w:p>
    <w:p>
      <w:r>
        <w:t>Low: Minimal governance requirements (Score: 0-25)</w:t>
      </w:r>
    </w:p>
    <w:p>
      <w:r>
        <w:t>Medium: Standard governance requirements (Score: 26-50)</w:t>
      </w:r>
    </w:p>
    <w:p>
      <w:r>
        <w:t>High: Enhanced governance requirements (Score: 51-75)</w:t>
      </w:r>
    </w:p>
    <w:p>
      <w:r>
        <w:t>Critical: Maximum governance requirements (Score: 76-100)</w:t>
      </w:r>
    </w:p>
    <w:p>
      <w:pPr>
        <w:pStyle w:val="Heading1"/>
      </w:pPr>
      <w:r>
        <w:t>12. Disclaimer and Limitations</w:t>
      </w:r>
    </w:p>
    <w:p>
      <w:r>
        <w:t>This OSFI E-23 model risk assessment is based on available project information and automated analysis. Final compliance with OSFI Guideline E-23 requires comprehensive stakeholder input, independent validation, and appropriate governance oversight. This assessment should be reviewed and validated by qualified model risk management professionals before making final risk management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