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OSFI E-23 Model Risk Assessment</w:t>
      </w:r>
    </w:p>
    <w:p>
      <w:pPr>
        <w:pStyle w:val="Heading1"/>
        <w:jc w:val="center"/>
      </w:pPr>
      <w:r>
        <w:t>IntelliOps - Intelligent Operations Automation System</w:t>
      </w:r>
    </w:p>
    <w:p/>
    <w:p>
      <w:r>
        <w:rPr>
          <w:b/>
        </w:rPr>
        <w:t xml:space="preserve">Assessment Date: </w:t>
      </w:r>
      <w:r>
        <w:t>November 21, 2025</w:t>
      </w:r>
    </w:p>
    <w:p>
      <w:r>
        <w:rPr>
          <w:b/>
        </w:rPr>
        <w:t xml:space="preserve">Current Lifecycle Stage: </w:t>
      </w:r>
      <w:r>
        <w:t>Monitoring</w:t>
      </w:r>
    </w:p>
    <w:p>
      <w:r>
        <w:rPr>
          <w:b/>
        </w:rPr>
        <w:t xml:space="preserve">Risk Rating: </w:t>
      </w:r>
      <w:r>
        <w:rPr>
          <w:b/>
          <w:color w:val="FFC000"/>
        </w:rPr>
        <w:t>Medium (28/100)</w:t>
      </w:r>
    </w:p>
    <w:p/>
    <w:p>
      <w:pPr>
        <w:spacing w:before="240" w:after="120"/>
      </w:pPr>
      <w:r>
        <w:rPr>
          <w:b/>
          <w:sz w:val="22"/>
        </w:rPr>
        <w:t>DATA SOURCE TRANSPARENCY</w:t>
      </w:r>
    </w:p>
    <w:p>
      <w:pPr>
        <w:spacing w:after="120"/>
        <w:ind w:left="360"/>
      </w:pPr>
      <w:r>
        <w:rPr>
          <w:b/>
        </w:rPr>
        <w:t xml:space="preserve">🔧 MCP SERVER OUTPUT (Deterministic): </w:t>
      </w:r>
      <w:r>
        <w:t>All content in this report is generated by rule-based code using deterministic algorithms. Risk scores are calculated using keyword detection and fixed mathematical formulas. Checklist items are based on hardcoded OSFI E-23 principles. No probabilistic AI models are used in generating this document.</w:t>
      </w:r>
    </w:p>
    <w:p>
      <w:pPr>
        <w:spacing w:after="240"/>
        <w:ind w:left="360"/>
      </w:pPr>
      <w:r>
        <w:rPr>
          <w:b/>
        </w:rPr>
        <w:t xml:space="preserve">🧠 AI INTERPRETATION (Probabilistic): </w:t>
      </w:r>
      <w:r>
        <w:t>If you received this report through an AI assistant (e.g., Claude), any additional explanations, recommendations, or analysis provided in conversation are AI-generated interpretations. Those should be distinguished from the deterministic calculations in this document.</w:t>
      </w:r>
    </w:p>
    <w:p/>
    <w:p>
      <w:pPr>
        <w:spacing w:before="240" w:after="120"/>
        <w:jc w:val="center"/>
      </w:pPr>
      <w:r>
        <w:rPr>
          <w:b/>
          <w:color w:val="C00000"/>
          <w:sz w:val="24"/>
        </w:rPr>
        <w:t>⚠️ PROFESSIONAL VALIDATION REQUIRED</w:t>
      </w:r>
    </w:p>
    <w:p>
      <w:pPr>
        <w:spacing w:after="240"/>
        <w:ind w:left="720" w:right="720"/>
      </w:pPr>
      <w:r>
        <w:rPr>
          <w:i/>
          <w:sz w:val="18"/>
        </w:rPr>
        <w:t>This assessment tool provides an automated preliminary analysis based on keyword detection and standardized risk scoring methodology. However, all findings, risk ratings, compliance determinations, and governance recommendations in this report MUST be validated by qualified professionals before being used for regulatory compliance, governance decisions, or operational implementation.</w:t>
        <w:br/>
        <w:br/>
        <w:t>Required professional validation includes, but is not limited to:</w:t>
        <w:br/>
        <w:t>• Independent review by qualified model risk management professionals</w:t>
        <w:br/>
        <w:t>• Verification of risk rating accuracy by senior management or risk committees</w:t>
        <w:br/>
        <w:t>• Legal and compliance review of all regulatory interpretations</w:t>
        <w:br/>
        <w:t>• Assessment by subject matter experts familiar with the specific model and business context</w:t>
        <w:br/>
        <w:t>• Validation that governance recommendations align with institutional policies</w:t>
        <w:br/>
        <w:br/>
        <w:t>This automated assessment does not constitute professional advice and should not be relied upon as the sole basis for any compliance, governance, or risk management decisions. Users assume full responsibility for ensuring appropriate professional review and validation.</w:t>
      </w:r>
    </w:p>
    <w:p>
      <w:r>
        <w:br w:type="page"/>
      </w:r>
    </w:p>
    <w:p>
      <w:pPr>
        <w:pStyle w:val="Heading1"/>
      </w:pPr>
      <w:r>
        <w:t>1. EXECUTIVE SUMMARY</w:t>
      </w:r>
    </w:p>
    <w:p>
      <w:pPr>
        <w:spacing w:after="240"/>
      </w:pPr>
      <w:r>
        <w:rPr>
          <w:b/>
          <w:sz w:val="18"/>
        </w:rPr>
        <w:t xml:space="preserve">🔧 DETERMINISTIC OUTPUT: </w:t>
      </w:r>
      <w:r>
        <w:rPr>
          <w:i/>
          <w:sz w:val="18"/>
        </w:rPr>
        <w:t>This summary is generated using rule-based keyword detection and fixed narrative templates.</w:t>
      </w:r>
    </w:p>
    <w:p/>
    <w:p>
      <w:r>
        <w:t>This model has been assessed as Medium risk with a score of 28/100 under OSFI E-23 guidelines. This classification requires standard governance procedures with periodic review and appropriate documentation. The rating is driven by AI/ML technology, customer-facing operations, regulatory compliance impacts. The model's core functionality includes predictive analytics, which contribute to its risk profile. Currently at Monitoring stage, requiring ongoing performance tracking, drift detection, and escalation procedures.</w:t>
      </w:r>
    </w:p>
    <w:p>
      <w:pPr>
        <w:pStyle w:val="Heading1"/>
      </w:pPr>
      <w:r>
        <w:t>2. RISK RATING METHODOLOGY</w:t>
      </w:r>
    </w:p>
    <w:p>
      <w:pPr>
        <w:spacing w:after="240"/>
      </w:pPr>
      <w:r>
        <w:rPr>
          <w:b/>
          <w:sz w:val="18"/>
        </w:rPr>
        <w:t xml:space="preserve">🔧 DETERMINISTIC OUTPUT: </w:t>
      </w:r>
      <w:r>
        <w:rPr>
          <w:i/>
          <w:sz w:val="18"/>
        </w:rPr>
        <w:t>All risk scores use fixed keyword detection and mathematical formulas. No AI interpretation.</w:t>
      </w:r>
    </w:p>
    <w:p>
      <w:pPr>
        <w:spacing w:after="240"/>
      </w:pPr>
      <w:r>
        <w:rPr>
          <w:b/>
        </w:rPr>
        <w:t xml:space="preserve">IMPORTANT NOTE: </w:t>
      </w:r>
      <w:r>
        <w:t>The weighting factors and formulas below are provided for exemplification purposes. These can be tuned to exact institutional specifications during implementation.</w:t>
      </w:r>
    </w:p>
    <w:p>
      <w:pPr>
        <w:pStyle w:val="Heading2"/>
      </w:pPr>
      <w:r>
        <w:t>Risk Calculation Formula</w:t>
      </w:r>
    </w:p>
    <w:p>
      <w:pPr>
        <w:pStyle w:val="ListNumber"/>
      </w:pPr>
      <w:r>
        <w:t>Step 1: Base Score Calculation</w:t>
      </w:r>
    </w:p>
    <w:p>
      <w:r>
        <w:t>Base Score = Quantitative Score + Qualitative Score</w:t>
      </w:r>
    </w:p>
    <w:p>
      <w:pPr>
        <w:pStyle w:val="ListNumber"/>
      </w:pPr>
      <w:r>
        <w:t>Step 2: Risk Amplification</w:t>
      </w:r>
    </w:p>
    <w:p>
      <w:r>
        <w:t>Final Score = Base Score × Amplification Multiplier</w:t>
      </w:r>
    </w:p>
    <w:p>
      <w:r>
        <w:t>Final Score = [capped at 100]</w:t>
      </w:r>
    </w:p>
    <w:p>
      <w:pPr>
        <w:pStyle w:val="ListNumber"/>
      </w:pPr>
      <w:r>
        <w:t>Step 3: Risk Rating Assignment</w:t>
      </w:r>
    </w:p>
    <w:tbl>
      <w:tblPr>
        <w:tblStyle w:val="LightGrid-Accent1"/>
        <w:tblW w:type="auto" w:w="0"/>
        <w:tblLook w:firstColumn="1" w:firstRow="1" w:lastColumn="0" w:lastRow="0" w:noHBand="0" w:noVBand="1" w:val="04A0"/>
      </w:tblPr>
      <w:tblGrid>
        <w:gridCol w:w="4320"/>
        <w:gridCol w:w="4320"/>
      </w:tblGrid>
      <w:tr>
        <w:tc>
          <w:tcPr>
            <w:tcW w:type="dxa" w:w="4320"/>
          </w:tcPr>
          <w:p>
            <w:r>
              <w:t>Risk Level</w:t>
            </w:r>
          </w:p>
        </w:tc>
        <w:tc>
          <w:tcPr>
            <w:tcW w:type="dxa" w:w="4320"/>
          </w:tcPr>
          <w:p>
            <w:r>
              <w:t>Score Range</w:t>
            </w:r>
          </w:p>
        </w:tc>
      </w:tr>
      <w:tr>
        <w:tc>
          <w:tcPr>
            <w:tcW w:type="dxa" w:w="4320"/>
          </w:tcPr>
          <w:p>
            <w:r>
              <w:t>Low</w:t>
            </w:r>
          </w:p>
        </w:tc>
        <w:tc>
          <w:tcPr>
            <w:tcW w:type="dxa" w:w="4320"/>
          </w:tcPr>
          <w:p>
            <w:r>
              <w:t>0-25 points</w:t>
            </w:r>
          </w:p>
        </w:tc>
      </w:tr>
      <w:tr>
        <w:tc>
          <w:tcPr>
            <w:tcW w:type="dxa" w:w="4320"/>
          </w:tcPr>
          <w:p>
            <w:r>
              <w:t>Medium</w:t>
            </w:r>
          </w:p>
        </w:tc>
        <w:tc>
          <w:tcPr>
            <w:tcW w:type="dxa" w:w="4320"/>
          </w:tcPr>
          <w:p>
            <w:r>
              <w:t>26-50 points</w:t>
            </w:r>
          </w:p>
        </w:tc>
      </w:tr>
      <w:tr>
        <w:tc>
          <w:tcPr>
            <w:tcW w:type="dxa" w:w="4320"/>
          </w:tcPr>
          <w:p>
            <w:r>
              <w:t>High</w:t>
            </w:r>
          </w:p>
        </w:tc>
        <w:tc>
          <w:tcPr>
            <w:tcW w:type="dxa" w:w="4320"/>
          </w:tcPr>
          <w:p>
            <w:r>
              <w:t>51-75 points</w:t>
            </w:r>
          </w:p>
        </w:tc>
      </w:tr>
      <w:tr>
        <w:tc>
          <w:tcPr>
            <w:tcW w:type="dxa" w:w="4320"/>
          </w:tcPr>
          <w:p>
            <w:r>
              <w:t>Critical</w:t>
            </w:r>
          </w:p>
        </w:tc>
        <w:tc>
          <w:tcPr>
            <w:tcW w:type="dxa" w:w="4320"/>
          </w:tcPr>
          <w:p>
            <w:r>
              <w:t>76-100 points</w:t>
            </w:r>
          </w:p>
        </w:tc>
      </w:tr>
    </w:tbl>
    <w:p/>
    <w:p>
      <w:pPr>
        <w:pStyle w:val="Heading2"/>
      </w:pPr>
      <w:r>
        <w:t>Detailed Scoring Breakdown</w:t>
      </w:r>
    </w:p>
    <w:p>
      <w:pPr>
        <w:pStyle w:val="Heading3"/>
      </w:pPr>
      <w:r>
        <w:t>Quantitative Risk Factors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 Factor</w:t>
            </w:r>
          </w:p>
        </w:tc>
        <w:tc>
          <w:tcPr>
            <w:tcW w:type="dxa" w:w="2160"/>
          </w:tcPr>
          <w:p>
            <w:r>
              <w:t>Weight</w:t>
            </w:r>
          </w:p>
        </w:tc>
        <w:tc>
          <w:tcPr>
            <w:tcW w:type="dxa" w:w="2160"/>
          </w:tcPr>
          <w:p>
            <w:r>
              <w:t>Detected</w:t>
            </w:r>
          </w:p>
        </w:tc>
        <w:tc>
          <w:tcPr>
            <w:tcW w:type="dxa" w:w="2160"/>
          </w:tcPr>
          <w:p>
            <w:r>
              <w:t>Points Awarded</w:t>
            </w:r>
          </w:p>
        </w:tc>
      </w:tr>
      <w:tr>
        <w:tc>
          <w:tcPr>
            <w:tcW w:type="dxa" w:w="2160"/>
          </w:tcPr>
          <w:p>
            <w:r>
              <w:t>Financial Impact</w:t>
            </w:r>
          </w:p>
        </w:tc>
        <w:tc>
          <w:tcPr>
            <w:tcW w:type="dxa" w:w="2160"/>
          </w:tcPr>
          <w:p>
            <w:r>
              <w:t>10 pts</w:t>
            </w:r>
          </w:p>
        </w:tc>
        <w:tc>
          <w:tcPr>
            <w:tcW w:type="dxa" w:w="2160"/>
          </w:tcPr>
          <w:p>
            <w:r>
              <w:t>✗ No</w:t>
            </w:r>
          </w:p>
        </w:tc>
        <w:tc>
          <w:tcPr>
            <w:tcW w:type="dxa" w:w="2160"/>
          </w:tcPr>
          <w:p>
            <w:r>
              <w:t>0 pts</w:t>
            </w:r>
          </w:p>
        </w:tc>
      </w:tr>
      <w:tr>
        <w:tc>
          <w:tcPr>
            <w:tcW w:type="dxa" w:w="2160"/>
          </w:tcPr>
          <w:p>
            <w:r>
              <w:t>Customer-Facing</w:t>
            </w:r>
          </w:p>
        </w:tc>
        <w:tc>
          <w:tcPr>
            <w:tcW w:type="dxa" w:w="2160"/>
          </w:tcPr>
          <w:p>
            <w:r>
              <w:t>10 pts</w:t>
            </w:r>
          </w:p>
        </w:tc>
        <w:tc>
          <w:tcPr>
            <w:tcW w:type="dxa" w:w="2160"/>
          </w:tcPr>
          <w:p>
            <w:r>
              <w:t>✓ Yes</w:t>
            </w:r>
          </w:p>
        </w:tc>
        <w:tc>
          <w:tcPr>
            <w:tcW w:type="dxa" w:w="2160"/>
          </w:tcPr>
          <w:p>
            <w:r>
              <w:t>10 pts</w:t>
            </w:r>
          </w:p>
        </w:tc>
      </w:tr>
      <w:tr>
        <w:tc>
          <w:tcPr>
            <w:tcW w:type="dxa" w:w="2160"/>
          </w:tcPr>
          <w:p>
            <w:r>
              <w:t>Revenue Critical</w:t>
            </w:r>
          </w:p>
        </w:tc>
        <w:tc>
          <w:tcPr>
            <w:tcW w:type="dxa" w:w="2160"/>
          </w:tcPr>
          <w:p>
            <w:r>
              <w:t>10 pts</w:t>
            </w:r>
          </w:p>
        </w:tc>
        <w:tc>
          <w:tcPr>
            <w:tcW w:type="dxa" w:w="2160"/>
          </w:tcPr>
          <w:p>
            <w:r>
              <w:t>✗ No</w:t>
            </w:r>
          </w:p>
        </w:tc>
        <w:tc>
          <w:tcPr>
            <w:tcW w:type="dxa" w:w="2160"/>
          </w:tcPr>
          <w:p>
            <w:r>
              <w:t>0 pts</w:t>
            </w:r>
          </w:p>
        </w:tc>
      </w:tr>
      <w:tr>
        <w:tc>
          <w:tcPr>
            <w:tcW w:type="dxa" w:w="2160"/>
          </w:tcPr>
          <w:p>
            <w:r>
              <w:t>Regulatory Impact</w:t>
            </w:r>
          </w:p>
        </w:tc>
        <w:tc>
          <w:tcPr>
            <w:tcW w:type="dxa" w:w="2160"/>
          </w:tcPr>
          <w:p>
            <w:r>
              <w:t>10 pts</w:t>
            </w:r>
          </w:p>
        </w:tc>
        <w:tc>
          <w:tcPr>
            <w:tcW w:type="dxa" w:w="2160"/>
          </w:tcPr>
          <w:p>
            <w:r>
              <w:t>✓ Yes</w:t>
            </w:r>
          </w:p>
        </w:tc>
        <w:tc>
          <w:tcPr>
            <w:tcW w:type="dxa" w:w="2160"/>
          </w:tcPr>
          <w:p>
            <w:r>
              <w:t>10 pts</w:t>
            </w:r>
          </w:p>
        </w:tc>
      </w:tr>
      <w:tr>
        <w:tc>
          <w:tcPr>
            <w:tcW w:type="dxa" w:w="2160"/>
          </w:tcPr>
          <w:p>
            <w:r>
              <w:t>High Volume</w:t>
            </w:r>
          </w:p>
        </w:tc>
        <w:tc>
          <w:tcPr>
            <w:tcW w:type="dxa" w:w="2160"/>
          </w:tcPr>
          <w:p>
            <w:r>
              <w:t>10 pts</w:t>
            </w:r>
          </w:p>
        </w:tc>
        <w:tc>
          <w:tcPr>
            <w:tcW w:type="dxa" w:w="2160"/>
          </w:tcPr>
          <w:p>
            <w:r>
              <w:t>✗ No</w:t>
            </w:r>
          </w:p>
        </w:tc>
        <w:tc>
          <w:tcPr>
            <w:tcW w:type="dxa" w:w="2160"/>
          </w:tcPr>
          <w:p>
            <w:r>
              <w:t>0 pts</w:t>
            </w:r>
          </w:p>
        </w:tc>
      </w:tr>
    </w:tbl>
    <w:p/>
    <w:p>
      <w:r>
        <w:rPr>
          <w:b/>
        </w:rPr>
        <w:t xml:space="preserve">Quantitative Score = </w:t>
      </w:r>
      <w:r>
        <w:t>20 points</w:t>
      </w:r>
    </w:p>
    <w:p/>
    <w:p>
      <w:pPr>
        <w:pStyle w:val="Heading3"/>
      </w:pPr>
      <w:r>
        <w:t>Qualitative Risk Factors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 Factor</w:t>
            </w:r>
          </w:p>
        </w:tc>
        <w:tc>
          <w:tcPr>
            <w:tcW w:type="dxa" w:w="2160"/>
          </w:tcPr>
          <w:p>
            <w:r>
              <w:t>Weight</w:t>
            </w:r>
          </w:p>
        </w:tc>
        <w:tc>
          <w:tcPr>
            <w:tcW w:type="dxa" w:w="2160"/>
          </w:tcPr>
          <w:p>
            <w:r>
              <w:t>Detected</w:t>
            </w:r>
          </w:p>
        </w:tc>
        <w:tc>
          <w:tcPr>
            <w:tcW w:type="dxa" w:w="2160"/>
          </w:tcPr>
          <w:p>
            <w:r>
              <w:t>Points Awarded</w:t>
            </w:r>
          </w:p>
        </w:tc>
      </w:tr>
      <w:tr>
        <w:tc>
          <w:tcPr>
            <w:tcW w:type="dxa" w:w="2160"/>
          </w:tcPr>
          <w:p>
            <w:r>
              <w:t>AI/ML Usage</w:t>
            </w:r>
          </w:p>
        </w:tc>
        <w:tc>
          <w:tcPr>
            <w:tcW w:type="dxa" w:w="2160"/>
          </w:tcPr>
          <w:p>
            <w:r>
              <w:t>8 pts</w:t>
            </w:r>
          </w:p>
        </w:tc>
        <w:tc>
          <w:tcPr>
            <w:tcW w:type="dxa" w:w="2160"/>
          </w:tcPr>
          <w:p>
            <w:r>
              <w:t>✓ Yes</w:t>
            </w:r>
          </w:p>
        </w:tc>
        <w:tc>
          <w:tcPr>
            <w:tcW w:type="dxa" w:w="2160"/>
          </w:tcPr>
          <w:p>
            <w:r>
              <w:t>8 pts</w:t>
            </w:r>
          </w:p>
        </w:tc>
      </w:tr>
      <w:tr>
        <w:tc>
          <w:tcPr>
            <w:tcW w:type="dxa" w:w="2160"/>
          </w:tcPr>
          <w:p>
            <w:r>
              <w:t>High Complexity</w:t>
            </w:r>
          </w:p>
        </w:tc>
        <w:tc>
          <w:tcPr>
            <w:tcW w:type="dxa" w:w="2160"/>
          </w:tcPr>
          <w:p>
            <w:r>
              <w:t>8 pts</w:t>
            </w:r>
          </w:p>
        </w:tc>
        <w:tc>
          <w:tcPr>
            <w:tcW w:type="dxa" w:w="2160"/>
          </w:tcPr>
          <w:p>
            <w:r>
              <w:t>✗ No</w:t>
            </w:r>
          </w:p>
        </w:tc>
        <w:tc>
          <w:tcPr>
            <w:tcW w:type="dxa" w:w="2160"/>
          </w:tcPr>
          <w:p>
            <w:r>
              <w:t>0 pts</w:t>
            </w:r>
          </w:p>
        </w:tc>
      </w:tr>
      <w:tr>
        <w:tc>
          <w:tcPr>
            <w:tcW w:type="dxa" w:w="2160"/>
          </w:tcPr>
          <w:p>
            <w:r>
              <w:t>Autonomous Decisions</w:t>
            </w:r>
          </w:p>
        </w:tc>
        <w:tc>
          <w:tcPr>
            <w:tcW w:type="dxa" w:w="2160"/>
          </w:tcPr>
          <w:p>
            <w:r>
              <w:t>8 pts</w:t>
            </w:r>
          </w:p>
        </w:tc>
        <w:tc>
          <w:tcPr>
            <w:tcW w:type="dxa" w:w="2160"/>
          </w:tcPr>
          <w:p>
            <w:r>
              <w:t>✗ No</w:t>
            </w:r>
          </w:p>
        </w:tc>
        <w:tc>
          <w:tcPr>
            <w:tcW w:type="dxa" w:w="2160"/>
          </w:tcPr>
          <w:p>
            <w:r>
              <w:t>0 pts</w:t>
            </w:r>
          </w:p>
        </w:tc>
      </w:tr>
      <w:tr>
        <w:tc>
          <w:tcPr>
            <w:tcW w:type="dxa" w:w="2160"/>
          </w:tcPr>
          <w:p>
            <w:r>
              <w:t>Black Box</w:t>
            </w:r>
          </w:p>
        </w:tc>
        <w:tc>
          <w:tcPr>
            <w:tcW w:type="dxa" w:w="2160"/>
          </w:tcPr>
          <w:p>
            <w:r>
              <w:t>8 pts</w:t>
            </w:r>
          </w:p>
        </w:tc>
        <w:tc>
          <w:tcPr>
            <w:tcW w:type="dxa" w:w="2160"/>
          </w:tcPr>
          <w:p>
            <w:r>
              <w:t>✗ No</w:t>
            </w:r>
          </w:p>
        </w:tc>
        <w:tc>
          <w:tcPr>
            <w:tcW w:type="dxa" w:w="2160"/>
          </w:tcPr>
          <w:p>
            <w:r>
              <w:t>0 pts</w:t>
            </w:r>
          </w:p>
        </w:tc>
      </w:tr>
      <w:tr>
        <w:tc>
          <w:tcPr>
            <w:tcW w:type="dxa" w:w="2160"/>
          </w:tcPr>
          <w:p>
            <w:r>
              <w:t>Third-Party Dependencies</w:t>
            </w:r>
          </w:p>
        </w:tc>
        <w:tc>
          <w:tcPr>
            <w:tcW w:type="dxa" w:w="2160"/>
          </w:tcPr>
          <w:p>
            <w:r>
              <w:t>8 pts</w:t>
            </w:r>
          </w:p>
        </w:tc>
        <w:tc>
          <w:tcPr>
            <w:tcW w:type="dxa" w:w="2160"/>
          </w:tcPr>
          <w:p>
            <w:r>
              <w:t>✗ No</w:t>
            </w:r>
          </w:p>
        </w:tc>
        <w:tc>
          <w:tcPr>
            <w:tcW w:type="dxa" w:w="2160"/>
          </w:tcPr>
          <w:p>
            <w:r>
              <w:t>0 pts</w:t>
            </w:r>
          </w:p>
        </w:tc>
      </w:tr>
      <w:tr>
        <w:tc>
          <w:tcPr>
            <w:tcW w:type="dxa" w:w="2160"/>
          </w:tcPr>
          <w:p>
            <w:r>
              <w:t>Data Sensitive</w:t>
            </w:r>
          </w:p>
        </w:tc>
        <w:tc>
          <w:tcPr>
            <w:tcW w:type="dxa" w:w="2160"/>
          </w:tcPr>
          <w:p>
            <w:r>
              <w:t>8 pts</w:t>
            </w:r>
          </w:p>
        </w:tc>
        <w:tc>
          <w:tcPr>
            <w:tcW w:type="dxa" w:w="2160"/>
          </w:tcPr>
          <w:p>
            <w:r>
              <w:t>✗ No</w:t>
            </w:r>
          </w:p>
        </w:tc>
        <w:tc>
          <w:tcPr>
            <w:tcW w:type="dxa" w:w="2160"/>
          </w:tcPr>
          <w:p>
            <w:r>
              <w:t>0 pts</w:t>
            </w:r>
          </w:p>
        </w:tc>
      </w:tr>
      <w:tr>
        <w:tc>
          <w:tcPr>
            <w:tcW w:type="dxa" w:w="2160"/>
          </w:tcPr>
          <w:p>
            <w:r>
              <w:t>Real-Time Processing</w:t>
            </w:r>
          </w:p>
        </w:tc>
        <w:tc>
          <w:tcPr>
            <w:tcW w:type="dxa" w:w="2160"/>
          </w:tcPr>
          <w:p>
            <w:r>
              <w:t>8 pts</w:t>
            </w:r>
          </w:p>
        </w:tc>
        <w:tc>
          <w:tcPr>
            <w:tcW w:type="dxa" w:w="2160"/>
          </w:tcPr>
          <w:p>
            <w:r>
              <w:t>✗ No</w:t>
            </w:r>
          </w:p>
        </w:tc>
        <w:tc>
          <w:tcPr>
            <w:tcW w:type="dxa" w:w="2160"/>
          </w:tcPr>
          <w:p>
            <w:r>
              <w:t>0 pts</w:t>
            </w:r>
          </w:p>
        </w:tc>
      </w:tr>
      <w:tr>
        <w:tc>
          <w:tcPr>
            <w:tcW w:type="dxa" w:w="2160"/>
          </w:tcPr>
          <w:p>
            <w:r>
              <w:t>Customer Impact</w:t>
            </w:r>
          </w:p>
        </w:tc>
        <w:tc>
          <w:tcPr>
            <w:tcW w:type="dxa" w:w="2160"/>
          </w:tcPr>
          <w:p>
            <w:r>
              <w:t>8 pts</w:t>
            </w:r>
          </w:p>
        </w:tc>
        <w:tc>
          <w:tcPr>
            <w:tcW w:type="dxa" w:w="2160"/>
          </w:tcPr>
          <w:p>
            <w:r>
              <w:t>✗ No</w:t>
            </w:r>
          </w:p>
        </w:tc>
        <w:tc>
          <w:tcPr>
            <w:tcW w:type="dxa" w:w="2160"/>
          </w:tcPr>
          <w:p>
            <w:r>
              <w:t>0 pts</w:t>
            </w:r>
          </w:p>
        </w:tc>
      </w:tr>
    </w:tbl>
    <w:p/>
    <w:p>
      <w:r>
        <w:rPr>
          <w:b/>
        </w:rPr>
        <w:t xml:space="preserve">Qualitative Score = </w:t>
      </w:r>
      <w:r>
        <w:t>8 points</w:t>
      </w:r>
    </w:p>
    <w:p/>
    <w:p>
      <w:pPr>
        <w:pStyle w:val="Heading3"/>
      </w:pPr>
      <w:r>
        <w:t>Risk Amplification Analysis</w:t>
      </w:r>
    </w:p>
    <w:p>
      <w:r>
        <w:rPr>
          <w:b/>
        </w:rPr>
        <w:t xml:space="preserve">Base Score: </w:t>
      </w:r>
      <w:r>
        <w:t>28 points (20 quantitative + 8 qualitative)</w:t>
      </w:r>
    </w:p>
    <w:p>
      <w:r>
        <w:t>No amplification factors detected.</w:t>
      </w:r>
    </w:p>
    <w:p>
      <w:r>
        <w:rPr>
          <w:b/>
        </w:rPr>
        <w:t xml:space="preserve">Total Amplification Multiplier: </w:t>
      </w:r>
      <w:r>
        <w:t>1.00x</w:t>
      </w:r>
    </w:p>
    <w:p>
      <w:r>
        <w:rPr>
          <w:b/>
        </w:rPr>
        <w:t xml:space="preserve">Final Score: </w:t>
      </w:r>
      <w:r>
        <w:t xml:space="preserve">28 × 1.00 = 28 points → </w:t>
      </w:r>
      <w:r>
        <w:rPr>
          <w:b/>
          <w:color w:val="FFC000"/>
        </w:rPr>
        <w:t>MEDIUM</w:t>
      </w:r>
    </w:p>
    <w:p>
      <w:pPr>
        <w:pStyle w:val="Heading1"/>
      </w:pPr>
      <w:r>
        <w:t>3. LIFECYCLE COVERAGE ASSESSMENT</w:t>
      </w:r>
    </w:p>
    <w:p>
      <w:pPr>
        <w:spacing w:after="240"/>
      </w:pPr>
      <w:r>
        <w:rPr>
          <w:b/>
          <w:sz w:val="18"/>
        </w:rPr>
        <w:t xml:space="preserve">🔧 DETERMINISTIC OUTPUT: </w:t>
      </w:r>
      <w:r>
        <w:rPr>
          <w:i/>
          <w:sz w:val="18"/>
        </w:rPr>
        <w:t>Coverage based on keyword detection in project description. Not a compliance audit.</w:t>
      </w:r>
    </w:p>
    <w:p>
      <w:r>
        <w:rPr>
          <w:b/>
        </w:rPr>
        <w:t xml:space="preserve">Monitoring Stage Coverage: </w:t>
      </w:r>
      <w:r>
        <w:rPr>
          <w:b/>
          <w:color w:val="FF6600"/>
        </w:rPr>
        <w:t>0.0% (0/3 elements detected)</w:t>
      </w:r>
    </w:p>
    <w:p/>
    <w:p>
      <w:pPr>
        <w:spacing w:after="240"/>
      </w:pPr>
      <w:r>
        <w:rPr>
          <w:b/>
        </w:rPr>
        <w:t xml:space="preserve">IMPORTANT NOTE: </w:t>
      </w:r>
      <w:r>
        <w:t>This coverage assessment indicates whether the project description mentions the 3 official OSFI E-23 subcomponents for Monitoring stage. It does NOT verify actual compliance or deliverable completeness. Full compliance requires professional validation of actual documentation and deliverables.</w:t>
      </w:r>
    </w:p>
    <w:p>
      <w:pPr>
        <w:pStyle w:val="Heading2"/>
      </w:pPr>
      <w:r>
        <w:t>OSFI E-23 Monitoring Stage Elements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OSFI Element</w:t>
            </w:r>
          </w:p>
        </w:tc>
        <w:tc>
          <w:tcPr>
            <w:tcW w:type="dxa" w:w="2880"/>
          </w:tcPr>
          <w:p>
            <w:r>
              <w:t>Detected</w:t>
            </w:r>
          </w:p>
        </w:tc>
        <w:tc>
          <w:tcPr>
            <w:tcW w:type="dxa" w:w="2880"/>
          </w:tcPr>
          <w:p>
            <w:r>
              <w:t>Coverage Indicator</w:t>
            </w:r>
          </w:p>
        </w:tc>
      </w:tr>
      <w:tr>
        <w:tc>
          <w:tcPr>
            <w:tcW w:type="dxa" w:w="2880"/>
          </w:tcPr>
          <w:p>
            <w:r>
              <w:t>Performance Tracking</w:t>
            </w:r>
          </w:p>
        </w:tc>
        <w:tc>
          <w:tcPr>
            <w:tcW w:type="dxa" w:w="2880"/>
          </w:tcPr>
          <w:p>
            <w:r>
              <w:t>✗ No</w:t>
            </w:r>
          </w:p>
        </w:tc>
        <w:tc>
          <w:tcPr>
            <w:tcW w:type="dxa" w:w="2880"/>
          </w:tcPr>
          <w:p>
            <w:r>
              <w:t>Not mentioned</w:t>
            </w:r>
          </w:p>
        </w:tc>
      </w:tr>
      <w:tr>
        <w:tc>
          <w:tcPr>
            <w:tcW w:type="dxa" w:w="2880"/>
          </w:tcPr>
          <w:p>
            <w:r>
              <w:t>Drift Detection</w:t>
            </w:r>
          </w:p>
        </w:tc>
        <w:tc>
          <w:tcPr>
            <w:tcW w:type="dxa" w:w="2880"/>
          </w:tcPr>
          <w:p>
            <w:r>
              <w:t>✗ No</w:t>
            </w:r>
          </w:p>
        </w:tc>
        <w:tc>
          <w:tcPr>
            <w:tcW w:type="dxa" w:w="2880"/>
          </w:tcPr>
          <w:p>
            <w:r>
              <w:t>Not mentioned</w:t>
            </w:r>
          </w:p>
        </w:tc>
      </w:tr>
      <w:tr>
        <w:tc>
          <w:tcPr>
            <w:tcW w:type="dxa" w:w="2880"/>
          </w:tcPr>
          <w:p>
            <w:r>
              <w:t>Escalation Procedures</w:t>
            </w:r>
          </w:p>
        </w:tc>
        <w:tc>
          <w:tcPr>
            <w:tcW w:type="dxa" w:w="2880"/>
          </w:tcPr>
          <w:p>
            <w:r>
              <w:t>✗ No</w:t>
            </w:r>
          </w:p>
        </w:tc>
        <w:tc>
          <w:tcPr>
            <w:tcW w:type="dxa" w:w="2880"/>
          </w:tcPr>
          <w:p>
            <w:r>
              <w:t>Not mentioned</w:t>
            </w:r>
          </w:p>
        </w:tc>
      </w:tr>
    </w:tbl>
    <w:p/>
    <w:p>
      <w:pPr>
        <w:pStyle w:val="Heading3"/>
      </w:pPr>
      <w:r>
        <w:t>Coverage Gaps</w:t>
      </w:r>
    </w:p>
    <w:p>
      <w:r>
        <w:rPr>
          <w:b/>
        </w:rPr>
        <w:t xml:space="preserve">Missing Elements: </w:t>
      </w:r>
    </w:p>
    <w:p>
      <w:pPr>
        <w:pStyle w:val="ListBullet"/>
      </w:pPr>
      <w:r>
        <w:t>Model Rationale</w:t>
      </w:r>
    </w:p>
    <w:p>
      <w:pPr>
        <w:pStyle w:val="ListBullet"/>
      </w:pPr>
      <w:r>
        <w:t>Model Data</w:t>
      </w:r>
    </w:p>
    <w:p>
      <w:pPr>
        <w:pStyle w:val="ListBullet"/>
      </w:pPr>
      <w:r>
        <w:t>Model Development</w:t>
      </w:r>
    </w:p>
    <w:p/>
    <w:p>
      <w:r>
        <w:rPr>
          <w:b/>
        </w:rPr>
        <w:t xml:space="preserve">Recommendation: </w:t>
      </w:r>
      <w:r>
        <w:t>Enhance project description to address missing elements before proceeding to next lifecycle stage.</w:t>
      </w:r>
    </w:p>
    <w:p>
      <w:pPr>
        <w:pStyle w:val="Heading1"/>
      </w:pPr>
      <w:r>
        <w:t>4. MONITORING STAGE COMPLIANCE CHECKLIST</w:t>
      </w:r>
    </w:p>
    <w:p>
      <w:pPr>
        <w:spacing w:after="240"/>
      </w:pPr>
      <w:r>
        <w:rPr>
          <w:b/>
          <w:sz w:val="18"/>
        </w:rPr>
        <w:t xml:space="preserve">🔧 DETERMINISTIC OUTPUT: </w:t>
      </w:r>
      <w:r>
        <w:rPr>
          <w:i/>
          <w:sz w:val="18"/>
        </w:rPr>
        <w:t>This checklist is generated from OSFI E-23 principles. Items are not AI-generated.</w:t>
      </w:r>
    </w:p>
    <w:p>
      <w:pPr>
        <w:spacing w:after="240"/>
      </w:pPr>
      <w:r>
        <w:rPr>
          <w:b/>
        </w:rPr>
        <w:t xml:space="preserve">IMPORTANT NOTE: </w:t>
      </w:r>
      <w:r>
        <w:t>This checklist represents an interpretation of OSFI E-23 principles and is provided for exemplification purposes. Each financial institution must design its own implementation based on their specific governance framework, risk appetite, and operational context.</w:t>
      </w:r>
    </w:p>
    <w:p>
      <w:pPr>
        <w:pStyle w:val="Heading2"/>
      </w:pPr>
      <w:r>
        <w:t>4.1 Performance Tracking (3.6)</w:t>
      </w:r>
    </w:p>
    <w:p>
      <w:r>
        <w:rPr>
          <w:b/>
        </w:rPr>
        <w:t>Requirements:</w:t>
      </w:r>
    </w:p>
    <w:p>
      <w:pPr>
        <w:pStyle w:val="ListBullet"/>
      </w:pPr>
      <w:r>
        <w:t>Defined monitoring standards</w:t>
      </w:r>
    </w:p>
    <w:p>
      <w:pPr>
        <w:pStyle w:val="ListBullet"/>
      </w:pPr>
      <w:r>
        <w:t>Performance threshold setting</w:t>
      </w:r>
    </w:p>
    <w:p/>
    <w:p>
      <w:r>
        <w:rPr>
          <w:b/>
        </w:rPr>
        <w:t>Key Deliverables:</w:t>
      </w:r>
    </w:p>
    <w:p>
      <w:pPr>
        <w:pStyle w:val="ListBullet"/>
      </w:pPr>
      <w:r>
        <w:t>Monitoring framework documentation</w:t>
      </w:r>
    </w:p>
    <w:p>
      <w:pPr>
        <w:pStyle w:val="ListBullet"/>
      </w:pPr>
      <w:r>
        <w:t>Performance dashboards</w:t>
      </w:r>
    </w:p>
    <w:p/>
    <w:p>
      <w:r>
        <w:rPr>
          <w:b/>
        </w:rPr>
        <w:t>Checklist:</w:t>
      </w:r>
    </w:p>
    <w:p>
      <w:r>
        <w:rPr>
          <w:sz w:val="24"/>
        </w:rPr>
        <w:t xml:space="preserve">☐ </w:t>
      </w:r>
      <w:r>
        <w:rPr>
          <w:b/>
        </w:rPr>
        <w:t>Regular performance monitoring</w:t>
      </w:r>
      <w:r>
        <w:rPr>
          <w:i/>
          <w:color w:val="C00000"/>
        </w:rPr>
        <w:t xml:space="preserve"> (Required)</w:t>
      </w:r>
    </w:p>
    <w:p/>
    <w:p>
      <w:pPr>
        <w:pStyle w:val="Heading2"/>
      </w:pPr>
      <w:r>
        <w:t>4.2 Drift Detection (3.6)</w:t>
      </w:r>
    </w:p>
    <w:p>
      <w:r>
        <w:rPr>
          <w:b/>
        </w:rPr>
        <w:t>Requirements:</w:t>
      </w:r>
    </w:p>
    <w:p>
      <w:pPr>
        <w:pStyle w:val="ListBullet"/>
      </w:pPr>
      <w:r>
        <w:t>Drift detection for AI/ML models</w:t>
      </w:r>
    </w:p>
    <w:p/>
    <w:p/>
    <w:p>
      <w:r>
        <w:rPr>
          <w:b/>
        </w:rPr>
        <w:t>Checklist:</w:t>
      </w:r>
    </w:p>
    <w:p>
      <w:r>
        <w:rPr>
          <w:sz w:val="24"/>
        </w:rPr>
        <w:t xml:space="preserve">☐ </w:t>
      </w:r>
      <w:r>
        <w:rPr>
          <w:b/>
        </w:rPr>
        <w:t>Data drift monitoring setup</w:t>
      </w:r>
      <w:r>
        <w:rPr>
          <w:i/>
          <w:color w:val="C00000"/>
        </w:rPr>
        <w:t xml:space="preserve"> (Required)</w:t>
      </w:r>
    </w:p>
    <w:p/>
    <w:p>
      <w:pPr>
        <w:pStyle w:val="Heading2"/>
      </w:pPr>
      <w:r>
        <w:t>4.3 Escalation Procedures (3.6)</w:t>
      </w:r>
    </w:p>
    <w:p>
      <w:r>
        <w:rPr>
          <w:b/>
        </w:rPr>
        <w:t>Requirements:</w:t>
      </w:r>
    </w:p>
    <w:p>
      <w:pPr>
        <w:pStyle w:val="ListBullet"/>
      </w:pPr>
      <w:r>
        <w:t>Escalation procedures</w:t>
      </w:r>
    </w:p>
    <w:p>
      <w:pPr>
        <w:pStyle w:val="ListBullet"/>
      </w:pPr>
      <w:r>
        <w:t>Contingency planning</w:t>
      </w:r>
    </w:p>
    <w:p/>
    <w:p>
      <w:r>
        <w:rPr>
          <w:b/>
        </w:rPr>
        <w:t>Key Deliverables:</w:t>
      </w:r>
    </w:p>
    <w:p>
      <w:pPr>
        <w:pStyle w:val="ListBullet"/>
      </w:pPr>
      <w:r>
        <w:t>Alert and escalation procedures</w:t>
      </w:r>
    </w:p>
    <w:p>
      <w:pPr>
        <w:pStyle w:val="ListBullet"/>
      </w:pPr>
      <w:r>
        <w:t>Contingency plans</w:t>
      </w:r>
    </w:p>
    <w:p/>
    <w:p>
      <w:r>
        <w:rPr>
          <w:b/>
        </w:rPr>
        <w:t>Checklist:</w:t>
      </w:r>
    </w:p>
    <w:p>
      <w:r>
        <w:rPr>
          <w:sz w:val="24"/>
        </w:rPr>
        <w:t xml:space="preserve">☐ </w:t>
      </w:r>
      <w:r>
        <w:rPr>
          <w:b/>
        </w:rPr>
        <w:t>Model incident response procedures</w:t>
      </w:r>
      <w:r>
        <w:rPr>
          <w:i/>
          <w:color w:val="C00000"/>
        </w:rPr>
        <w:t xml:space="preserve"> (Required)</w:t>
      </w:r>
    </w:p>
    <w:p/>
    <w:p/>
    <w:p>
      <w:r>
        <w:rPr>
          <w:b/>
          <w:color w:val="C00000"/>
        </w:rPr>
        <w:t xml:space="preserve">COMPLETION REQUIREMENT: </w:t>
      </w:r>
      <w:r>
        <w:t>All items above must be addressed according to the Medium risk rating to transition from Monitoring to the next lifecycle stage per OSFI E-23 guidelines.</w:t>
      </w:r>
    </w:p>
    <w:p>
      <w:pPr>
        <w:pStyle w:val="Heading1"/>
      </w:pPr>
      <w:r>
        <w:t>5. GOVERNANCE STRUCTURE</w:t>
      </w:r>
    </w:p>
    <w:p>
      <w:pPr>
        <w:spacing w:after="240"/>
      </w:pPr>
      <w:r>
        <w:rPr>
          <w:b/>
          <w:sz w:val="18"/>
        </w:rPr>
        <w:t xml:space="preserve">🔧 DETERMINISTIC OUTPUT: </w:t>
      </w:r>
      <w:r>
        <w:rPr>
          <w:i/>
          <w:sz w:val="18"/>
        </w:rPr>
        <w:t>Governance structure based on OSFI E-23 requirements and risk-based practices.</w:t>
      </w:r>
    </w:p>
    <w:p>
      <w:pPr>
        <w:spacing w:after="240"/>
      </w:pPr>
      <w:r>
        <w:rPr>
          <w:b/>
        </w:rPr>
        <w:t xml:space="preserve">IMPORTANT NOTE: </w:t>
      </w:r>
      <w:r>
        <w:t>Governance roles and approval authorities shown below are based on OSFI E-23 requirements (where mandated) and common industry practices (where suggested). Each institution must align governance structure with its own organizational design and risk appetite.</w:t>
      </w:r>
    </w:p>
    <w:p>
      <w:pPr>
        <w:pStyle w:val="Heading2"/>
      </w:pPr>
      <w:r>
        <w:t>Governance Roles and Responsibilities (Medium Risk)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Responsibility</w:t>
            </w:r>
          </w:p>
        </w:tc>
        <w:tc>
          <w:tcPr>
            <w:tcW w:type="dxa" w:w="2160"/>
          </w:tcPr>
          <w:p>
            <w:r>
              <w:t>OSFI Required</w:t>
            </w:r>
          </w:p>
        </w:tc>
        <w:tc>
          <w:tcPr>
            <w:tcW w:type="dxa" w:w="2160"/>
          </w:tcPr>
          <w:p>
            <w:r>
              <w:t>Source</w:t>
            </w:r>
          </w:p>
        </w:tc>
      </w:tr>
      <w:tr>
        <w:tc>
          <w:tcPr>
            <w:tcW w:type="dxa" w:w="2160"/>
          </w:tcPr>
          <w:p>
            <w:r>
              <w:t>Model Owner</w:t>
            </w:r>
          </w:p>
        </w:tc>
        <w:tc>
          <w:tcPr>
            <w:tcW w:type="dxa" w:w="2160"/>
          </w:tcPr>
          <w:p>
            <w:r>
              <w:t>Designated business unit responsible for model</w:t>
            </w:r>
          </w:p>
        </w:tc>
        <w:tc>
          <w:tcPr>
            <w:tcW w:type="dxa" w:w="2160"/>
          </w:tcPr>
          <w:p>
            <w:r>
              <w:t>✓ Yes</w:t>
            </w:r>
          </w:p>
        </w:tc>
        <w:tc>
          <w:tcPr>
            <w:tcW w:type="dxa" w:w="2160"/>
          </w:tcPr>
          <w:p>
            <w:r>
              <w:t>OSFI Appendix 1 required field</w:t>
            </w:r>
          </w:p>
        </w:tc>
      </w:tr>
      <w:tr>
        <w:tc>
          <w:tcPr>
            <w:tcW w:type="dxa" w:w="2160"/>
          </w:tcPr>
          <w:p>
            <w:r>
              <w:t>Model Developer</w:t>
            </w:r>
          </w:p>
        </w:tc>
        <w:tc>
          <w:tcPr>
            <w:tcW w:type="dxa" w:w="2160"/>
          </w:tcPr>
          <w:p>
            <w:r>
              <w:t>Technical team or vendor developing the model</w:t>
            </w:r>
          </w:p>
        </w:tc>
        <w:tc>
          <w:tcPr>
            <w:tcW w:type="dxa" w:w="2160"/>
          </w:tcPr>
          <w:p>
            <w:r>
              <w:t>✓ Yes</w:t>
            </w:r>
          </w:p>
        </w:tc>
        <w:tc>
          <w:tcPr>
            <w:tcW w:type="dxa" w:w="2160"/>
          </w:tcPr>
          <w:p>
            <w:r>
              <w:t>OSFI Appendix 1 required field</w:t>
            </w:r>
          </w:p>
        </w:tc>
      </w:tr>
      <w:tr>
        <w:tc>
          <w:tcPr>
            <w:tcW w:type="dxa" w:w="2160"/>
          </w:tcPr>
          <w:p>
            <w:r>
              <w:t>Model Reviewer</w:t>
            </w:r>
          </w:p>
        </w:tc>
        <w:tc>
          <w:tcPr>
            <w:tcW w:type="dxa" w:w="2160"/>
          </w:tcPr>
          <w:p>
            <w:r>
              <w:t>Independent validation team</w:t>
            </w:r>
          </w:p>
        </w:tc>
        <w:tc>
          <w:tcPr>
            <w:tcW w:type="dxa" w:w="2160"/>
          </w:tcPr>
          <w:p>
            <w:r>
              <w:t>~ Implied</w:t>
            </w:r>
          </w:p>
        </w:tc>
        <w:tc>
          <w:tcPr>
            <w:tcW w:type="dxa" w:w="2160"/>
          </w:tcPr>
          <w:p>
            <w:r>
              <w:t>OSFI Principle 3.4 requires independent assessment</w:t>
            </w:r>
          </w:p>
        </w:tc>
      </w:tr>
      <w:tr>
        <w:tc>
          <w:tcPr>
            <w:tcW w:type="dxa" w:w="2160"/>
          </w:tcPr>
          <w:p>
            <w:r>
              <w:t>Model Approver</w:t>
            </w:r>
          </w:p>
        </w:tc>
        <w:tc>
          <w:tcPr>
            <w:tcW w:type="dxa" w:w="2160"/>
          </w:tcPr>
          <w:p>
            <w:r>
              <w:t>Senior Management or Risk Committee</w:t>
            </w:r>
          </w:p>
        </w:tc>
        <w:tc>
          <w:tcPr>
            <w:tcW w:type="dxa" w:w="2160"/>
          </w:tcPr>
          <w:p>
            <w:r>
              <w:t>~ Implied</w:t>
            </w:r>
          </w:p>
        </w:tc>
        <w:tc>
          <w:tcPr>
            <w:tcW w:type="dxa" w:w="2160"/>
          </w:tcPr>
          <w:p>
            <w:r>
              <w:t>Implied by lifecycle governance requirements</w:t>
            </w:r>
          </w:p>
        </w:tc>
      </w:tr>
    </w:tbl>
    <w:p/>
    <w:p>
      <w:r>
        <w:rPr>
          <w:b/>
        </w:rPr>
        <w:t>Legend:</w:t>
      </w:r>
    </w:p>
    <w:p>
      <w:pPr>
        <w:pStyle w:val="ListBullet"/>
      </w:pPr>
      <w:r>
        <w:t>✓ Yes = Explicitly required by OSFI E-23 (e.g., Appendix 1 mandatory fields)</w:t>
      </w:r>
    </w:p>
    <w:p>
      <w:pPr>
        <w:pStyle w:val="ListBullet"/>
      </w:pPr>
      <w:r>
        <w:t>~ Implied = Implied by OSFI E-23 principles (e.g., independent reviewer)</w:t>
      </w:r>
    </w:p>
    <w:p>
      <w:pPr>
        <w:pStyle w:val="ListBullet"/>
      </w:pPr>
      <w:r>
        <w:t>✗ No = Suggested implementation choice based on risk-based governance</w:t>
      </w:r>
    </w:p>
    <w:p>
      <w:pPr>
        <w:pStyle w:val="Heading1"/>
      </w:pPr>
      <w:r>
        <w:t>6. MONITORING FRAMEWORK</w:t>
      </w:r>
    </w:p>
    <w:p>
      <w:pPr>
        <w:spacing w:after="240"/>
      </w:pPr>
      <w:r>
        <w:rPr>
          <w:b/>
          <w:sz w:val="18"/>
        </w:rPr>
        <w:t xml:space="preserve">🔧 DETERMINISTIC OUTPUT: </w:t>
      </w:r>
      <w:r>
        <w:rPr>
          <w:i/>
          <w:sz w:val="18"/>
        </w:rPr>
        <w:t>Monitoring frequencies and thresholds are risk-based exemplifications.</w:t>
      </w:r>
    </w:p>
    <w:p>
      <w:r>
        <w:rPr>
          <w:b/>
        </w:rPr>
        <w:t xml:space="preserve">Monitoring Frequency: </w:t>
      </w:r>
      <w:r>
        <w:t>Monthly monitoring with quarterly reviews</w:t>
      </w:r>
    </w:p>
    <w:p>
      <w:r>
        <w:rPr>
          <w:b/>
        </w:rPr>
        <w:t xml:space="preserve">Reporting Schedule: </w:t>
      </w:r>
      <w:r>
        <w:t>Semi-annual</w:t>
      </w:r>
    </w:p>
    <w:p/>
    <w:p>
      <w:pPr>
        <w:pStyle w:val="Heading2"/>
      </w:pPr>
      <w:r>
        <w:t>Key Performance Metrics</w:t>
      </w:r>
    </w:p>
    <w:p>
      <w:pPr>
        <w:pStyle w:val="ListBullet"/>
      </w:pPr>
      <w:r>
        <w:t>Model performance accuracy</w:t>
      </w:r>
    </w:p>
    <w:p>
      <w:pPr>
        <w:pStyle w:val="ListBullet"/>
      </w:pPr>
      <w:r>
        <w:t>Prediction stability</w:t>
      </w:r>
    </w:p>
    <w:p>
      <w:pPr>
        <w:pStyle w:val="ListBullet"/>
      </w:pPr>
      <w:r>
        <w:t>Data quality indicators</w:t>
      </w:r>
    </w:p>
    <w:p>
      <w:pPr>
        <w:pStyle w:val="ListBullet"/>
      </w:pPr>
      <w:r>
        <w:t>Usage patterns and volumes</w:t>
      </w:r>
    </w:p>
    <w:p/>
    <w:p>
      <w:pPr>
        <w:pStyle w:val="Heading2"/>
      </w:pPr>
      <w:r>
        <w:t>Alert Thresholds</w:t>
      </w:r>
    </w:p>
    <w:p>
      <w:r>
        <w:rPr>
          <w:b/>
        </w:rPr>
        <w:t xml:space="preserve">Performance Degradation: </w:t>
      </w:r>
      <w:r>
        <w:t>5% decline from baseline</w:t>
      </w:r>
    </w:p>
    <w:p>
      <w:r>
        <w:rPr>
          <w:b/>
        </w:rPr>
        <w:t xml:space="preserve">Data Drift: </w:t>
      </w:r>
      <w:r>
        <w:t>Significant distribution changes</w:t>
      </w:r>
    </w:p>
    <w:p>
      <w:r>
        <w:rPr>
          <w:b/>
        </w:rPr>
        <w:t xml:space="preserve">Usage Anomalies: </w:t>
      </w:r>
      <w:r>
        <w:t>Unexpected usage patterns</w:t>
      </w:r>
    </w:p>
    <w:p>
      <w:r>
        <w:br w:type="page"/>
      </w:r>
    </w:p>
    <w:p>
      <w:pPr>
        <w:pStyle w:val="Heading1"/>
      </w:pPr>
      <w:r>
        <w:t>ANNEX: OSFI E-23 PRINCIPLES (MONITORING STAGE)</w:t>
      </w:r>
    </w:p>
    <w:p>
      <w:pPr>
        <w:spacing w:after="240"/>
      </w:pPr>
      <w:r>
        <w:rPr>
          <w:b/>
          <w:sz w:val="18"/>
        </w:rPr>
        <w:t xml:space="preserve">🔧 DETERMINISTIC OUTPUT: </w:t>
      </w:r>
      <w:r>
        <w:rPr>
          <w:i/>
          <w:sz w:val="18"/>
        </w:rPr>
        <w:t>Official OSFI E-23 principles hardcoded from Guideline E-23 (2027). No AI interpretation.</w:t>
      </w:r>
    </w:p>
    <w:p>
      <w:r>
        <w:rPr>
          <w:b/>
        </w:rPr>
        <w:t>Principle 2.1: Model Inventory</w:t>
      </w:r>
    </w:p>
    <w:p>
      <w:r>
        <w:t>Institutions must maintain a comprehensive inventory of all models, including provisional risk ratings for models in development. This ensures visibility and tracking from inception.</w:t>
      </w:r>
    </w:p>
    <w:p/>
    <w:p>
      <w:r>
        <w:rPr>
          <w:b/>
        </w:rPr>
        <w:t>Principle 2.2: Risk Rating Methodology</w:t>
      </w:r>
    </w:p>
    <w:p>
      <w:r>
        <w:t>Institutions must establish their own risk rating approach assessing key dimensions of model risk. The rating determines governance intensity and review frequency requirements.</w:t>
      </w:r>
    </w:p>
    <w:p/>
    <w:p>
      <w:r>
        <w:rPr>
          <w:b/>
        </w:rPr>
        <w:t>Principle 2.3: Governance Intensity</w:t>
      </w:r>
    </w:p>
    <w:p>
      <w:r>
        <w:t>The level of governance, documentation, and oversight must be commensurate with the model's risk rating. Critical models require board-level approval, external validation, and enhanced monitoring.</w:t>
      </w:r>
    </w:p>
    <w:p/>
    <w:p>
      <w:r>
        <w:rPr>
          <w:b/>
        </w:rPr>
        <w:t>Principle 3.2: Model Design - Rationale and Data</w:t>
      </w:r>
    </w:p>
    <w:p>
      <w:r>
        <w:t>Model design must establish clear organizational rationale, ensure data quality and governance, and address AI/ML-specific considerations including explainability, bias, and privacy.</w:t>
      </w:r>
    </w:p>
    <w:p/>
    <w:p>
      <w:r>
        <w:rPr>
          <w:b/>
        </w:rPr>
        <w:t>Principle 3.3: Model Development</w:t>
      </w:r>
    </w:p>
    <w:p>
      <w:r>
        <w:t>Model development must follow documented methodologies with clear assumptions, appropriate testing, defined performance criteria, and comprehensive documentation for independent review.</w:t>
      </w:r>
    </w:p>
    <w:p/>
    <w:p>
      <w:r>
        <w:rPr>
          <w:b/>
        </w:rPr>
        <w:t>Principle 3.4: Independent Model Review</w:t>
      </w:r>
    </w:p>
    <w:p>
      <w:r>
        <w:t>All models require independent validation by qualified personnel separate from development, with scope and rigor commensurate with risk rating. Critical models require external validation.</w:t>
      </w:r>
    </w:p>
    <w:p/>
    <w:p>
      <w:r>
        <w:rPr>
          <w:b/>
        </w:rPr>
        <w:t>OSFI Appendix 1: Model Inventory Requirements</w:t>
      </w:r>
    </w:p>
    <w:p>
      <w:r>
        <w:t>Specifies mandatory tracking fields including model ID, name, owner, developer, risk rating, lifecycle stage, and review dates to ensure comprehensive model governance.</w:t>
      </w:r>
    </w:p>
    <w:p/>
    <w:p>
      <w:r>
        <w:br w:type="page"/>
      </w:r>
    </w:p>
    <w:p/>
    <w:p>
      <w:pPr>
        <w:spacing w:before="240" w:after="120"/>
        <w:jc w:val="center"/>
      </w:pPr>
      <w:r>
        <w:rPr>
          <w:b/>
          <w:color w:val="C00000"/>
          <w:sz w:val="24"/>
        </w:rPr>
        <w:t>⚠️ PROFESSIONAL VALIDATION REQUIRED</w:t>
      </w:r>
    </w:p>
    <w:p>
      <w:pPr>
        <w:spacing w:after="240"/>
        <w:ind w:left="720" w:right="720"/>
      </w:pPr>
      <w:r>
        <w:rPr>
          <w:i/>
          <w:sz w:val="18"/>
        </w:rPr>
        <w:t>This assessment tool provides an automated preliminary analysis based on keyword detection and standardized risk scoring methodology. However, all findings, risk ratings, compliance determinations, and governance recommendations in this report MUST be validated by qualified professionals before being used for regulatory compliance, governance decisions, or operational implementation.</w:t>
        <w:br/>
        <w:br/>
        <w:t>Required professional validation includes, but is not limited to:</w:t>
        <w:br/>
        <w:t>• Independent review by qualified model risk management professionals</w:t>
        <w:br/>
        <w:t>• Verification of risk rating accuracy by senior management or risk committees</w:t>
        <w:br/>
        <w:t>• Legal and compliance review of all regulatory interpretations</w:t>
        <w:br/>
        <w:t>• Assessment by subject matter experts familiar with the specific model and business context</w:t>
        <w:br/>
        <w:t>• Validation that governance recommendations align with institutional policies</w:t>
        <w:br/>
        <w:br/>
        <w:t>This automated assessment does not constitute professional advice and should not be relied upon as the sole basis for any compliance, governance, or risk management decisions. Users assume full responsibility for ensuring appropriate professional review and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