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Classifier Evaluation Report</w:t>
      </w:r>
    </w:p>
    <w:p>
      <w:r>
        <w:t>This report contains the evaluation metrics for the trained model on the test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4320"/>
            <w:shd w:fill="D9E2F3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F1 Macro</w:t>
            </w:r>
          </w:p>
        </w:tc>
        <w:tc>
          <w:tcPr>
            <w:tcW w:type="dxa" w:w="4320"/>
          </w:tcPr>
          <w:p>
            <w:r>
              <w:t>0.7873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CV F1 Macro</w:t>
            </w:r>
          </w:p>
        </w:tc>
        <w:tc>
          <w:tcPr>
            <w:tcW w:type="dxa" w:w="4320"/>
            <w:shd w:fill="D9E2F3"/>
          </w:tcPr>
          <w:p>
            <w:r>
              <w:t>0.7585 +/- 0.0193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Overfit Gap</w:t>
            </w:r>
          </w:p>
        </w:tc>
        <w:tc>
          <w:tcPr>
            <w:tcW w:type="dxa" w:w="4320"/>
          </w:tcPr>
          <w:p>
            <w:r>
              <w:t>0.2127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Cohen's Kappa</w:t>
            </w:r>
          </w:p>
        </w:tc>
        <w:tc>
          <w:tcPr>
            <w:tcW w:type="dxa" w:w="4320"/>
            <w:shd w:fill="D9E2F3"/>
          </w:tcPr>
          <w:p>
            <w:r>
              <w:t>0.6849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MCC</w:t>
            </w:r>
          </w:p>
        </w:tc>
        <w:tc>
          <w:tcPr>
            <w:tcW w:type="dxa" w:w="4320"/>
          </w:tcPr>
          <w:p>
            <w:r>
              <w:t>0.6854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Training Samples</w:t>
            </w:r>
          </w:p>
        </w:tc>
        <w:tc>
          <w:tcPr>
            <w:tcW w:type="dxa" w:w="4320"/>
            <w:shd w:fill="D9E2F3"/>
          </w:tcPr>
          <w:p>
            <w:r>
              <w:t>2400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Features Used</w:t>
            </w:r>
          </w:p>
        </w:tc>
        <w:tc>
          <w:tcPr>
            <w:tcW w:type="dxa" w:w="4320"/>
            <w:shd w:fill="D9E2F3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