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DT GOLD COIN</w:t>
      </w:r>
    </w:p>
    <w:p>
      <w:pPr>
        <w:spacing w:after="200"/>
        <w:jc w:val="center"/>
      </w:pPr>
      <w:r>
        <w:rPr>
          <w:b/>
          <w:bCs/>
          <w:color w:val="2196F3"/>
          <w:sz w:val="32"/>
          <w:szCs w:val="32"/>
        </w:rPr>
        <w:t xml:space="preserve">GOLD PAPER QUANT V19</w:t>
      </w:r>
    </w:p>
    <w:p>
      <w:pPr>
        <w:spacing w:after="200"/>
        <w:jc w:val="center"/>
      </w:pPr>
      <w:r>
        <w:rPr>
          <w:color w:val="666666"/>
          <w:sz w:val="26"/>
          <w:szCs w:val="26"/>
        </w:rPr>
        <w:t xml:space="preserve">Risk Analysis • ROI Modeling • Quantitative Assessment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January 2026 • Institutional Research</w:t>
      </w:r>
    </w:p>
    <w:p>
      <w:pPr>
        <w:pStyle w:val="Heading1"/>
      </w:pPr>
      <w:r>
        <w:t xml:space="preserve">Risk Assessment Overview</w:t>
      </w:r>
    </w:p>
    <w:p>
      <w:pPr>
        <w:spacing w:after="200"/>
      </w:pPr>
      <w:r>
        <w:t xml:space="preserve">This quantitative analysis evaluates DTGC's tokenomics through institutional-grade risk metrics, providing investors with comprehensive data for informed decision-making.</w:t>
      </w:r>
    </w:p>
    <w:p>
      <w:pPr>
        <w:pStyle w:val="Heading1"/>
      </w:pPr>
      <w:r>
        <w:t xml:space="preserve">ROI Modeling by Tier</w:t>
      </w:r>
    </w:p>
    <w:p>
      <w:pPr>
        <w:spacing w:after="200"/>
      </w:pPr>
      <w:r>
        <w:t xml:space="preserve">Net returns calculated after 7.5% total fees (3.75% entry + 3.75% exit)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600"/>
        <w:gridCol w:w="18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2196F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2196F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APR</w:t>
            </w:r>
          </w:p>
        </w:tc>
        <w:tc>
          <w:tcPr>
            <w:tcW w:type="dxa" w:w="14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2196F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Fees</w:t>
            </w:r>
          </w:p>
        </w:tc>
        <w:tc>
          <w:tcPr>
            <w:tcW w:type="dxa" w:w="16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2196F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 APR</w:t>
            </w:r>
          </w:p>
        </w:tc>
        <w:tc>
          <w:tcPr>
            <w:tcW w:type="dxa" w:w="18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2196F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Break-even</w:t>
            </w:r>
          </w:p>
        </w:tc>
        <w:tc>
          <w:tcPr>
            <w:tcW w:type="dxa" w:w="156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2196F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1yr ROI</w:t>
            </w:r>
          </w:p>
        </w:tc>
      </w:tr>
      <w:tr>
        <w:tc>
          <w:tcPr>
            <w:tcW w:type="dxa" w:w="16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r>
              <w:rPr>
                <w:sz w:val="20"/>
                <w:szCs w:val="20"/>
              </w:rPr>
              <w:t xml:space="preserve">Silver</w:t>
            </w:r>
          </w:p>
        </w:tc>
        <w:tc>
          <w:tcPr>
            <w:tcW w:type="dxa" w:w="14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15.4%</w:t>
            </w:r>
          </w:p>
        </w:tc>
        <w:tc>
          <w:tcPr>
            <w:tcW w:type="dxa" w:w="14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7.5%</w:t>
            </w:r>
          </w:p>
        </w:tc>
        <w:tc>
          <w:tcPr>
            <w:tcW w:type="dxa" w:w="16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rPr>
                <w:b/>
                <w:bCs/>
                <w:color w:val="4CAF50"/>
                <w:sz w:val="20"/>
                <w:szCs w:val="20"/>
              </w:rPr>
              <w:t xml:space="preserve">7.9%</w:t>
            </w:r>
          </w:p>
        </w:tc>
        <w:tc>
          <w:tcPr>
            <w:tcW w:type="dxa" w:w="18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178 days</w:t>
            </w:r>
          </w:p>
        </w:tc>
        <w:tc>
          <w:tcPr>
            <w:tcW w:type="dxa" w:w="156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rPr>
                <w:color w:val="4CAF50"/>
                <w:sz w:val="20"/>
                <w:szCs w:val="20"/>
              </w:rPr>
              <w:t xml:space="preserve">+7.9%</w:t>
            </w:r>
          </w:p>
        </w:tc>
      </w:tr>
      <w:tr>
        <w:tc>
          <w:tcPr>
            <w:tcW w:type="dxa" w:w="16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r>
              <w:rPr>
                <w:sz w:val="20"/>
                <w:szCs w:val="20"/>
              </w:rPr>
              <w:t xml:space="preserve">Gold</w:t>
            </w:r>
          </w:p>
        </w:tc>
        <w:tc>
          <w:tcPr>
            <w:tcW w:type="dxa" w:w="14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16.8%</w:t>
            </w:r>
          </w:p>
        </w:tc>
        <w:tc>
          <w:tcPr>
            <w:tcW w:type="dxa" w:w="14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7.5%</w:t>
            </w:r>
          </w:p>
        </w:tc>
        <w:tc>
          <w:tcPr>
            <w:tcW w:type="dxa" w:w="16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rPr>
                <w:b/>
                <w:bCs/>
                <w:color w:val="4CAF50"/>
                <w:sz w:val="20"/>
                <w:szCs w:val="20"/>
              </w:rPr>
              <w:t xml:space="preserve">9.3%</w:t>
            </w:r>
          </w:p>
        </w:tc>
        <w:tc>
          <w:tcPr>
            <w:tcW w:type="dxa" w:w="18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163 days</w:t>
            </w:r>
          </w:p>
        </w:tc>
        <w:tc>
          <w:tcPr>
            <w:tcW w:type="dxa" w:w="156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rPr>
                <w:color w:val="4CAF50"/>
                <w:sz w:val="20"/>
                <w:szCs w:val="20"/>
              </w:rPr>
              <w:t xml:space="preserve">+9.3%</w:t>
            </w:r>
          </w:p>
        </w:tc>
      </w:tr>
      <w:tr>
        <w:tc>
          <w:tcPr>
            <w:tcW w:type="dxa" w:w="16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r>
              <w:rPr>
                <w:sz w:val="20"/>
                <w:szCs w:val="20"/>
              </w:rPr>
              <w:t xml:space="preserve">Whale</w:t>
            </w:r>
          </w:p>
        </w:tc>
        <w:tc>
          <w:tcPr>
            <w:tcW w:type="dxa" w:w="14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18.2%</w:t>
            </w:r>
          </w:p>
        </w:tc>
        <w:tc>
          <w:tcPr>
            <w:tcW w:type="dxa" w:w="14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7.5%</w:t>
            </w:r>
          </w:p>
        </w:tc>
        <w:tc>
          <w:tcPr>
            <w:tcW w:type="dxa" w:w="16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rPr>
                <w:b/>
                <w:bCs/>
                <w:color w:val="4CAF50"/>
                <w:sz w:val="20"/>
                <w:szCs w:val="20"/>
              </w:rPr>
              <w:t xml:space="preserve">10.7%</w:t>
            </w:r>
          </w:p>
        </w:tc>
        <w:tc>
          <w:tcPr>
            <w:tcW w:type="dxa" w:w="18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150 days</w:t>
            </w:r>
          </w:p>
        </w:tc>
        <w:tc>
          <w:tcPr>
            <w:tcW w:type="dxa" w:w="156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rPr>
                <w:color w:val="4CAF50"/>
                <w:sz w:val="20"/>
                <w:szCs w:val="20"/>
              </w:rPr>
              <w:t xml:space="preserve">+10.7%</w:t>
            </w:r>
          </w:p>
        </w:tc>
      </w:tr>
      <w:tr>
        <w:tc>
          <w:tcPr>
            <w:tcW w:type="dxa" w:w="16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E3F2FD" w:val="clear"/>
          </w:tcPr>
          <w:p>
            <w:r>
              <w:rPr>
                <w:b/>
                <w:bCs/>
                <w:sz w:val="20"/>
                <w:szCs w:val="20"/>
              </w:rPr>
              <w:t xml:space="preserve">Diamond</w:t>
            </w:r>
          </w:p>
        </w:tc>
        <w:tc>
          <w:tcPr>
            <w:tcW w:type="dxa" w:w="14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E3F2FD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42%</w:t>
            </w:r>
          </w:p>
        </w:tc>
        <w:tc>
          <w:tcPr>
            <w:tcW w:type="dxa" w:w="14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E3F2FD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7.5%</w:t>
            </w:r>
          </w:p>
        </w:tc>
        <w:tc>
          <w:tcPr>
            <w:tcW w:type="dxa" w:w="16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color w:val="00BCD4"/>
                <w:sz w:val="20"/>
                <w:szCs w:val="20"/>
              </w:rPr>
              <w:t xml:space="preserve">34.5%</w:t>
            </w:r>
          </w:p>
        </w:tc>
        <w:tc>
          <w:tcPr>
            <w:tcW w:type="dxa" w:w="18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E3F2FD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65 days</w:t>
            </w:r>
          </w:p>
        </w:tc>
        <w:tc>
          <w:tcPr>
            <w:tcW w:type="dxa" w:w="156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E3F2FD" w:val="clear"/>
          </w:tcPr>
          <w:p>
            <w:pPr>
              <w:jc w:val="center"/>
            </w:pPr>
            <w:r>
              <w:rPr>
                <w:color w:val="00BCD4"/>
                <w:sz w:val="20"/>
                <w:szCs w:val="20"/>
              </w:rPr>
              <w:t xml:space="preserve">+34.5%</w:t>
            </w:r>
          </w:p>
        </w:tc>
      </w:tr>
      <w:tr>
        <w:tc>
          <w:tcPr>
            <w:tcW w:type="dxa" w:w="16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F3E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Diamond+</w:t>
            </w:r>
          </w:p>
        </w:tc>
        <w:tc>
          <w:tcPr>
            <w:tcW w:type="dxa" w:w="14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F3E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70%</w:t>
            </w:r>
          </w:p>
        </w:tc>
        <w:tc>
          <w:tcPr>
            <w:tcW w:type="dxa" w:w="14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F3E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7.5%</w:t>
            </w:r>
          </w:p>
        </w:tc>
        <w:tc>
          <w:tcPr>
            <w:tcW w:type="dxa" w:w="16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F3E5F5" w:val="clear"/>
          </w:tcPr>
          <w:p>
            <w:pPr>
              <w:jc w:val="center"/>
            </w:pPr>
            <w:r>
              <w:rPr>
                <w:b/>
                <w:bCs/>
                <w:color w:val="9C27B0"/>
                <w:sz w:val="20"/>
                <w:szCs w:val="20"/>
              </w:rPr>
              <w:t xml:space="preserve">62.5%</w:t>
            </w:r>
          </w:p>
        </w:tc>
        <w:tc>
          <w:tcPr>
            <w:tcW w:type="dxa" w:w="18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F3E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39 days</w:t>
            </w:r>
          </w:p>
        </w:tc>
        <w:tc>
          <w:tcPr>
            <w:tcW w:type="dxa" w:w="156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F3E5F5" w:val="clear"/>
          </w:tcPr>
          <w:p>
            <w:pPr>
              <w:jc w:val="center"/>
            </w:pPr>
            <w:r>
              <w:rPr>
                <w:color w:val="9C27B0"/>
                <w:sz w:val="20"/>
                <w:szCs w:val="20"/>
              </w:rPr>
              <w:t xml:space="preserve">+62.5%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Value at Risk (VaR) Analysis</w:t>
      </w:r>
    </w:p>
    <w:p>
      <w:pPr>
        <w:spacing w:after="200"/>
      </w:pPr>
      <w:r>
        <w:t xml:space="preserve">VaR represents the maximum expected loss at a given confidence level over a specific time period.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FF57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Confidence</w:t>
            </w:r>
          </w:p>
        </w:tc>
        <w:tc>
          <w:tcPr>
            <w:tcW w:type="dxa" w:w="234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FF57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1-Day VaR</w:t>
            </w:r>
          </w:p>
        </w:tc>
        <w:tc>
          <w:tcPr>
            <w:tcW w:type="dxa" w:w="234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FF57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7-Day VaR</w:t>
            </w:r>
          </w:p>
        </w:tc>
        <w:tc>
          <w:tcPr>
            <w:tcW w:type="dxa" w:w="234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FF57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30-Day VaR</w:t>
            </w:r>
          </w:p>
        </w:tc>
      </w:tr>
      <w:tr>
        <w:tc>
          <w:tcPr>
            <w:tcW w:type="dxa" w:w="234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t xml:space="preserve">95%</w:t>
            </w:r>
          </w:p>
        </w:tc>
        <w:tc>
          <w:tcPr>
            <w:tcW w:type="dxa" w:w="234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t xml:space="preserve">-8.2%</w:t>
            </w:r>
          </w:p>
        </w:tc>
        <w:tc>
          <w:tcPr>
            <w:tcW w:type="dxa" w:w="234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t xml:space="preserve">-21.7%</w:t>
            </w:r>
          </w:p>
        </w:tc>
        <w:tc>
          <w:tcPr>
            <w:tcW w:type="dxa" w:w="234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t xml:space="preserve">-44.8%</w:t>
            </w:r>
          </w:p>
        </w:tc>
      </w:tr>
      <w:tr>
        <w:tc>
          <w:tcPr>
            <w:tcW w:type="dxa" w:w="234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t xml:space="preserve">99%</w:t>
            </w:r>
          </w:p>
        </w:tc>
        <w:tc>
          <w:tcPr>
            <w:tcW w:type="dxa" w:w="234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t xml:space="preserve">-11.6%</w:t>
            </w:r>
          </w:p>
        </w:tc>
        <w:tc>
          <w:tcPr>
            <w:tcW w:type="dxa" w:w="234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t xml:space="preserve">-30.7%</w:t>
            </w:r>
          </w:p>
        </w:tc>
        <w:tc>
          <w:tcPr>
            <w:tcW w:type="dxa" w:w="234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pPr>
              <w:jc w:val="center"/>
            </w:pPr>
            <w:r>
              <w:t xml:space="preserve">-63.4%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Note: </w:t>
      </w:r>
      <w:r>
        <w:t xml:space="preserve">VaR calculations based on historical PulseChain volatility. Crypto assets exhibit higher volatility than traditional markets. Diamond+ APR (70%) significantly outpaces 30-day VaR at 95% confidence.</w:t>
      </w:r>
    </w:p>
    <w:p>
      <w:pPr>
        <w:pStyle w:val="Heading1"/>
      </w:pPr>
      <w:r>
        <w:t xml:space="preserve">Risk Factor Analysis</w:t>
      </w:r>
    </w:p>
    <w:p>
      <w:pPr>
        <w:pStyle w:val="Heading2"/>
      </w:pPr>
      <w:r>
        <w:t xml:space="preserve">Smart Contract Risk</w:t>
      </w:r>
    </w:p>
    <w:p>
      <w:pPr>
        <w:pStyle w:val="ListParagraph"/>
        <w:numPr>
          <w:ilvl w:val="0"/>
          <w:numId w:val="2"/>
        </w:numPr>
      </w:pPr>
      <w:r>
        <w:t xml:space="preserve">Mitigation: Contracts deployed on PulseChain mainnet</w:t>
      </w:r>
    </w:p>
    <w:p>
      <w:pPr>
        <w:pStyle w:val="ListParagraph"/>
        <w:numPr>
          <w:ilvl w:val="0"/>
          <w:numId w:val="2"/>
        </w:numPr>
      </w:pPr>
      <w:r>
        <w:t xml:space="preserve">All contract addresses publicly verifiable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Risk Level: MODERATE</w:t>
      </w:r>
    </w:p>
    <w:p>
      <w:pPr>
        <w:pStyle w:val="Heading2"/>
      </w:pPr>
      <w:r>
        <w:t xml:space="preserve">Liquidity Risk</w:t>
      </w:r>
    </w:p>
    <w:p>
      <w:pPr>
        <w:pStyle w:val="ListParagraph"/>
        <w:numPr>
          <w:ilvl w:val="0"/>
          <w:numId w:val="2"/>
        </w:numPr>
      </w:pPr>
      <w:r>
        <w:t xml:space="preserve">Mitigation: 8.7% LP Locked + Auto LP fees</w:t>
      </w:r>
    </w:p>
    <w:p>
      <w:pPr>
        <w:pStyle w:val="ListParagraph"/>
        <w:numPr>
          <w:ilvl w:val="0"/>
          <w:numId w:val="2"/>
        </w:numPr>
      </w:pPr>
      <w:r>
        <w:t xml:space="preserve">Dual LP pairs (DTGC/PLS + DTGC/URMOM)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Risk Level: LOW-MODERATE</w:t>
      </w:r>
    </w:p>
    <w:p>
      <w:pPr>
        <w:pStyle w:val="Heading2"/>
      </w:pPr>
      <w:r>
        <w:t xml:space="preserve">Impermanent Loss Risk (LP Tiers)</w:t>
      </w:r>
    </w:p>
    <w:p>
      <w:pPr>
        <w:pStyle w:val="ListParagraph"/>
        <w:numPr>
          <w:ilvl w:val="0"/>
          <w:numId w:val="2"/>
        </w:numPr>
      </w:pPr>
      <w:r>
        <w:t xml:space="preserve">Diamond (DTGC/PLS): Higher correlation = Lower IL</w:t>
      </w:r>
    </w:p>
    <w:p>
      <w:pPr>
        <w:pStyle w:val="ListParagraph"/>
        <w:numPr>
          <w:ilvl w:val="0"/>
          <w:numId w:val="2"/>
        </w:numPr>
      </w:pPr>
      <w:r>
        <w:t xml:space="preserve">Diamond+ (DTGC/URMOM): Lower correlation = Higher IL potential</w:t>
      </w:r>
    </w:p>
    <w:p>
      <w:pPr>
        <w:pStyle w:val="ListParagraph"/>
        <w:numPr>
          <w:ilvl w:val="0"/>
          <w:numId w:val="2"/>
        </w:numPr>
      </w:pPr>
      <w:r>
        <w:t xml:space="preserve">Mitigation: 2x boost compensates for IL risk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Risk Level: MODERATE</w:t>
      </w:r>
    </w:p>
    <w:p>
      <w:pPr>
        <w:pStyle w:val="Heading2"/>
      </w:pPr>
      <w:r>
        <w:t xml:space="preserve">Concentration Risk</w:t>
      </w:r>
    </w:p>
    <w:p>
      <w:pPr>
        <w:pStyle w:val="ListParagraph"/>
        <w:numPr>
          <w:ilvl w:val="0"/>
          <w:numId w:val="2"/>
        </w:numPr>
      </w:pPr>
      <w:r>
        <w:t xml:space="preserve">91% controlled supply (DAO + Dev + LP)</w:t>
      </w:r>
    </w:p>
    <w:p>
      <w:pPr>
        <w:pStyle w:val="ListParagraph"/>
        <w:numPr>
          <w:ilvl w:val="0"/>
          <w:numId w:val="2"/>
        </w:numPr>
      </w:pPr>
      <w:r>
        <w:t xml:space="preserve">Only 9% public float</w:t>
      </w:r>
    </w:p>
    <w:p>
      <w:pPr>
        <w:pStyle w:val="ListParagraph"/>
        <w:numPr>
          <w:ilvl w:val="0"/>
          <w:numId w:val="2"/>
        </w:numPr>
      </w:pPr>
      <w:r>
        <w:t xml:space="preserve">Benefit: Price stability, reduced manipulation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Risk Level: LOW (controlled = benefit)</w:t>
      </w:r>
    </w:p>
    <w:p>
      <w:r>
        <w:br w:type="page"/>
      </w:r>
    </w:p>
    <w:p>
      <w:pPr>
        <w:pStyle w:val="Heading1"/>
      </w:pPr>
      <w:r>
        <w:t xml:space="preserve">Dynamic Rebalancing Triggers</w:t>
      </w:r>
    </w:p>
    <w:p>
      <w:pPr>
        <w:spacing w:after="200"/>
      </w:pPr>
      <w:r>
        <w:t xml:space="preserve">Institutional-grade portfolio management recommendations based on market conditions.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4CAF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4CAF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4CAF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r>
              <w:t xml:space="preserve">RSI Overbought</w:t>
            </w:r>
          </w:p>
        </w:tc>
        <w:tc>
          <w:tcPr>
            <w:tcW w:type="dxa" w:w="312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r>
              <w:t xml:space="preserve">RSI &gt; 70</w:t>
            </w:r>
          </w:p>
        </w:tc>
        <w:tc>
          <w:tcPr>
            <w:tcW w:type="dxa" w:w="312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r>
              <w:t xml:space="preserve">Reduce LP → Single</w:t>
            </w:r>
          </w:p>
        </w:tc>
      </w:tr>
      <w:tr>
        <w:tc>
          <w:tcPr>
            <w:tcW w:type="dxa" w:w="312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r>
              <w:t xml:space="preserve">RSI Oversold</w:t>
            </w:r>
          </w:p>
        </w:tc>
        <w:tc>
          <w:tcPr>
            <w:tcW w:type="dxa" w:w="312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r>
              <w:t xml:space="preserve">RSI &lt; 30</w:t>
            </w:r>
          </w:p>
        </w:tc>
        <w:tc>
          <w:tcPr>
            <w:tcW w:type="dxa" w:w="312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r>
              <w:t xml:space="preserve">Increase LP exposure</w:t>
            </w:r>
          </w:p>
        </w:tc>
      </w:tr>
      <w:tr>
        <w:tc>
          <w:tcPr>
            <w:tcW w:type="dxa" w:w="312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r>
              <w:t xml:space="preserve">High Volatility</w:t>
            </w:r>
          </w:p>
        </w:tc>
        <w:tc>
          <w:tcPr>
            <w:tcW w:type="dxa" w:w="312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r>
              <w:t xml:space="preserve">Volatility &gt; 2σ</w:t>
            </w:r>
          </w:p>
        </w:tc>
        <w:tc>
          <w:tcPr>
            <w:tcW w:type="dxa" w:w="312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r>
              <w:t xml:space="preserve">Pause 48h, review</w:t>
            </w:r>
          </w:p>
        </w:tc>
      </w:tr>
      <w:tr>
        <w:tc>
          <w:tcPr>
            <w:tcW w:type="dxa" w:w="312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r>
              <w:t xml:space="preserve">Drift Detection</w:t>
            </w:r>
          </w:p>
        </w:tc>
        <w:tc>
          <w:tcPr>
            <w:tcW w:type="dxa" w:w="312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r>
              <w:t xml:space="preserve">±10% from target</w:t>
            </w:r>
          </w:p>
        </w:tc>
        <w:tc>
          <w:tcPr>
            <w:tcW w:type="dxa" w:w="312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r>
              <w:t xml:space="preserve">Rebalance to target</w:t>
            </w:r>
          </w:p>
        </w:tc>
      </w:tr>
      <w:tr>
        <w:tc>
          <w:tcPr>
            <w:tcW w:type="dxa" w:w="312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r>
              <w:t xml:space="preserve">Scheduled</w:t>
            </w:r>
          </w:p>
        </w:tc>
        <w:tc>
          <w:tcPr>
            <w:tcW w:type="dxa" w:w="312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r>
              <w:t xml:space="preserve">Monthly</w:t>
            </w:r>
          </w:p>
        </w:tc>
        <w:tc>
          <w:tcPr>
            <w:tcW w:type="dxa" w:w="312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</w:tcPr>
          <w:p>
            <w:r>
              <w:t xml:space="preserve">Review allocation</w:t>
            </w:r>
          </w:p>
        </w:tc>
      </w:tr>
    </w:tbl>
    <w:p>
      <w:pPr>
        <w:pStyle w:val="Heading1"/>
        <w:spacing w:before="400"/>
      </w:pPr>
      <w:r>
        <w:t xml:space="preserve">Investment Summary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All tiers profitable </w:t>
      </w:r>
      <w:r>
        <w:t xml:space="preserve">after 7.5% fees with positive net APR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Diamond+ offers best risk-adjusted returns </w:t>
      </w:r>
      <w:r>
        <w:t xml:space="preserve">(62.5% net APR)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91% controlled supply </w:t>
      </w:r>
      <w:r>
        <w:t xml:space="preserve">reduces market manipulation risk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Dual LP pairs </w:t>
      </w:r>
      <w:r>
        <w:t xml:space="preserve">enable hedging and diversification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7.5% fee structure </w:t>
      </w:r>
      <w:r>
        <w:t xml:space="preserve">sustainable for long-term protocol health</w:t>
      </w:r>
    </w:p>
    <w:p>
      <w:pPr>
        <w:spacing w:before="400"/>
        <w:jc w:val="center"/>
      </w:pPr>
      <w:r>
        <w:rPr>
          <w:color w:val="888888"/>
          <w:sz w:val="22"/>
          <w:szCs w:val="22"/>
        </w:rPr>
        <w:t xml:space="preserve">dtgc.io • PulseChain • Quantitative Research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• Quantitative Analysis • dtgc.io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2196F3"/>
        <w:sz w:val="20"/>
        <w:szCs w:val="20"/>
      </w:rPr>
      <w:t xml:space="preserve">DT GOLD COIN • GOLD PAPER QUANT V19 • RISK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2196F3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196F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2026-01-02T03:35:05.564Z</dcterms:created>
  <dcterms:modified xsi:type="dcterms:W3CDTF">2026-01-02T03:35:05.565Z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