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DT GOLD COIN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WHITE PAPER V19 • Premium Staking Protocol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Public Overview • January 2026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DT Gold Coin (DTGC) is a premium staking protocol built on PulseChain, offering institutional-grade portfolio management through multi-tier staking mechanisms. With 91% of supply controlled and only 9% public float, DTGC provides sustainable yield generation with robust tokenomics.</w:t>
      </w:r>
    </w:p>
    <w:p>
      <w:pPr>
        <w:pStyle w:val="Heading2"/>
      </w:pPr>
      <w:r>
        <w:t xml:space="preserve">Key Highlights</w:t>
      </w:r>
    </w:p>
    <w:p>
      <w:pPr>
        <w:pStyle w:val="ListParagraph"/>
        <w:numPr>
          <w:ilvl w:val="0"/>
          <w:numId w:val="2"/>
        </w:numPr>
      </w:pPr>
      <w:r>
        <w:t xml:space="preserve">Total Supply: 1,000,000,000 DTGC</w:t>
      </w:r>
    </w:p>
    <w:p>
      <w:pPr>
        <w:pStyle w:val="ListParagraph"/>
        <w:numPr>
          <w:ilvl w:val="0"/>
          <w:numId w:val="2"/>
        </w:numPr>
      </w:pPr>
      <w:r>
        <w:t xml:space="preserve">91% Controlled Supply (DAO + Dev + LP)</w:t>
      </w:r>
    </w:p>
    <w:p>
      <w:pPr>
        <w:pStyle w:val="ListParagraph"/>
        <w:numPr>
          <w:ilvl w:val="0"/>
          <w:numId w:val="2"/>
        </w:numPr>
      </w:pPr>
      <w:r>
        <w:t xml:space="preserve">Only 9% Public Float - Ultra Low Circulating Supply</w:t>
      </w:r>
    </w:p>
    <w:p>
      <w:pPr>
        <w:pStyle w:val="ListParagraph"/>
        <w:numPr>
          <w:ilvl w:val="0"/>
          <w:numId w:val="2"/>
        </w:numPr>
      </w:pPr>
      <w:r>
        <w:t xml:space="preserve">5-Tier Staking System (15.4% - 70% APR)</w:t>
      </w:r>
    </w:p>
    <w:p>
      <w:pPr>
        <w:pStyle w:val="ListParagraph"/>
        <w:numPr>
          <w:ilvl w:val="0"/>
          <w:numId w:val="2"/>
        </w:numPr>
      </w:pPr>
      <w:r>
        <w:t xml:space="preserve">7.5% Total Fee Structure (Entry + Exit)</w:t>
      </w:r>
    </w:p>
    <w:p>
      <w:pPr>
        <w:pStyle w:val="ListParagraph"/>
        <w:numPr>
          <w:ilvl w:val="0"/>
          <w:numId w:val="2"/>
        </w:numPr>
      </w:pPr>
      <w:r>
        <w:t xml:space="preserve">Diamond LP Tiers with 1.5x - 2x Boosts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Live on PulseChain Mainnet</w:t>
      </w:r>
    </w:p>
    <w:p>
      <w:r>
        <w:br w:type="page"/>
      </w:r>
    </w:p>
    <w:p>
      <w:pPr>
        <w:pStyle w:val="Heading1"/>
      </w:pPr>
      <w:r>
        <w:t xml:space="preserve">Tokenomics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Amount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Percentage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DAO Rewards Pool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500,000,000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D4AF37"/>
              </w:rPr>
              <w:t xml:space="preserve">50%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Dev Wallet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323,000,000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32.3%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Circulating (Public Float)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90,000,000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4CAF50"/>
              </w:rPr>
              <w:t xml:space="preserve">9%</w:t>
            </w:r>
          </w:p>
        </w:tc>
      </w:tr>
      <w:tr>
        <w:tc>
          <w:tcPr>
            <w:tcW w:type="dxa" w:w="35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t xml:space="preserve">LP Locked</w:t>
            </w:r>
          </w:p>
        </w:tc>
        <w:tc>
          <w:tcPr>
            <w:tcW w:type="dxa" w:w="30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t xml:space="preserve">87,000,000</w:t>
            </w:r>
          </w:p>
        </w:tc>
        <w:tc>
          <w:tcPr>
            <w:tcW w:type="dxa" w:w="28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t xml:space="preserve">8.7%</w:t>
            </w:r>
          </w:p>
        </w:tc>
      </w:tr>
    </w:tbl>
    <w:p>
      <w:pPr>
        <w:pStyle w:val="Heading1"/>
        <w:spacing w:before="400"/>
      </w:pPr>
      <w:r>
        <w:t xml:space="preserve">Staking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1400"/>
        <w:gridCol w:w="1400"/>
        <w:gridCol w:w="1360"/>
      </w:tblGrid>
      <w:tr>
        <w:trPr>
          <w:tblHeader/>
        </w:trP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Min Invest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Lock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APR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Boost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D4AF37" w:val="clea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Asset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Silver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$200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 days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C0C0C0"/>
                <w:sz w:val="20"/>
                <w:szCs w:val="20"/>
              </w:rPr>
              <w:t xml:space="preserve">15.4%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1x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DTGC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$500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D4AF37"/>
                <w:sz w:val="20"/>
                <w:szCs w:val="20"/>
              </w:rPr>
              <w:t xml:space="preserve">16.8%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1x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DTGC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Whale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$10,000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180 days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b/>
                <w:bCs/>
                <w:color w:val="2196F3"/>
                <w:sz w:val="20"/>
                <w:szCs w:val="20"/>
              </w:rPr>
              <w:t xml:space="preserve">18.2%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1x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</w:tcPr>
          <w:p>
            <w:r>
              <w:rPr>
                <w:sz w:val="20"/>
                <w:szCs w:val="20"/>
              </w:rPr>
              <w:t xml:space="preserve">DTGC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r>
              <w:rPr>
                <w:b/>
                <w:bCs/>
                <w:sz w:val="20"/>
                <w:szCs w:val="20"/>
              </w:rPr>
              <w:t xml:space="preserve">Diamond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00BCD4"/>
                <w:sz w:val="20"/>
                <w:szCs w:val="20"/>
              </w:rPr>
              <w:t xml:space="preserve">28%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pPr>
              <w:jc w:val="center"/>
            </w:pPr>
            <w:r>
              <w:rPr>
                <w:b/>
                <w:bCs/>
                <w:color w:val="4CAF50"/>
                <w:sz w:val="20"/>
                <w:szCs w:val="20"/>
              </w:rPr>
              <w:t xml:space="preserve">1.5x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E3F2FD" w:val="clear"/>
          </w:tcPr>
          <w:p>
            <w:r>
              <w:rPr>
                <w:sz w:val="18"/>
                <w:szCs w:val="18"/>
              </w:rPr>
              <w:t xml:space="preserve">DTGC/PLS LP</w:t>
            </w:r>
          </w:p>
        </w:tc>
      </w:tr>
      <w:tr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r>
              <w:rPr>
                <w:b/>
                <w:bCs/>
                <w:sz w:val="20"/>
                <w:szCs w:val="20"/>
              </w:rPr>
              <w:t xml:space="preserve">Diamond+</w:t>
            </w:r>
          </w:p>
        </w:tc>
        <w:tc>
          <w:tcPr>
            <w:tcW w:type="dxa" w:w="18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$1,000</w:t>
            </w:r>
          </w:p>
        </w:tc>
        <w:tc>
          <w:tcPr>
            <w:tcW w:type="dxa" w:w="16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90 days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  <w:sz w:val="20"/>
                <w:szCs w:val="20"/>
              </w:rPr>
              <w:t xml:space="preserve">35%</w:t>
            </w:r>
          </w:p>
        </w:tc>
        <w:tc>
          <w:tcPr>
            <w:tcW w:type="dxa" w:w="140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pPr>
              <w:jc w:val="center"/>
            </w:pPr>
            <w:r>
              <w:rPr>
                <w:b/>
                <w:bCs/>
                <w:color w:val="9C27B0"/>
                <w:sz w:val="20"/>
                <w:szCs w:val="20"/>
              </w:rPr>
              <w:t xml:space="preserve">2x (70%)</w:t>
            </w:r>
          </w:p>
        </w:tc>
        <w:tc>
          <w:tcPr>
            <w:tcW w:type="dxa" w:w="1360"/>
            <w:tcBorders>
              <w:top w:val="single" w:color="D4AF37" w:sz="1"/>
              <w:left w:val="single" w:color="D4AF37" w:sz="1"/>
              <w:bottom w:val="single" w:color="D4AF37" w:sz="1"/>
              <w:right w:val="single" w:color="D4AF37" w:sz="1"/>
            </w:tcBorders>
            <w:shd w:fill="F3E5F5" w:val="clear"/>
          </w:tcPr>
          <w:p>
            <w:r>
              <w:rPr>
                <w:sz w:val="18"/>
                <w:szCs w:val="18"/>
              </w:rPr>
              <w:t xml:space="preserve">DTGC/URMOM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V19 Fee Structure</w:t>
      </w:r>
    </w:p>
    <w:p>
      <w:pPr>
        <w:spacing w:after="200"/>
      </w:pPr>
      <w:r>
        <w:rPr>
          <w:b/>
          <w:bCs/>
          <w:color w:val="4CAF50"/>
        </w:rPr>
        <w:t xml:space="preserve">7.5% Total Fees for Long-Term Sustainability</w:t>
      </w:r>
    </w:p>
    <w:p>
      <w:pPr>
        <w:pStyle w:val="Heading2"/>
      </w:pPr>
      <w:r>
        <w:t xml:space="preserve">Entry Tax (3.75%)</w:t>
      </w:r>
    </w:p>
    <w:p>
      <w:pPr>
        <w:pStyle w:val="ListParagraph"/>
        <w:numPr>
          <w:ilvl w:val="0"/>
          <w:numId w:val="2"/>
        </w:numPr>
      </w:pPr>
      <w:r>
        <w:t xml:space="preserve">1.875% → DAO Treasury (Staking Rewards)</w:t>
      </w:r>
    </w:p>
    <w:p>
      <w:pPr>
        <w:pStyle w:val="ListParagraph"/>
        <w:numPr>
          <w:ilvl w:val="0"/>
          <w:numId w:val="2"/>
        </w:numPr>
      </w:pPr>
      <w:r>
        <w:t xml:space="preserve">0.625% → Dev Wallet</w:t>
      </w:r>
    </w:p>
    <w:p>
      <w:pPr>
        <w:pStyle w:val="ListParagraph"/>
        <w:numPr>
          <w:ilvl w:val="0"/>
          <w:numId w:val="2"/>
        </w:numPr>
      </w:pPr>
      <w:r>
        <w:t xml:space="preserve">0.5% → Auto LP DTGC/URMOM</w:t>
      </w:r>
    </w:p>
    <w:p>
      <w:pPr>
        <w:pStyle w:val="ListParagraph"/>
        <w:numPr>
          <w:ilvl w:val="0"/>
          <w:numId w:val="2"/>
        </w:numPr>
      </w:pPr>
      <w:r>
        <w:t xml:space="preserve">0.5% → Auto LP DTGC/PLS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0.25% → DTGC Burn</w:t>
      </w:r>
    </w:p>
    <w:p>
      <w:pPr>
        <w:pStyle w:val="Heading2"/>
      </w:pPr>
      <w:r>
        <w:t xml:space="preserve">Exit Tax (3.75%)</w:t>
      </w:r>
    </w:p>
    <w:p>
      <w:pPr>
        <w:spacing w:after="200"/>
      </w:pPr>
      <w:r>
        <w:t xml:space="preserve">Same breakdown as Entry Tax</w:t>
      </w:r>
    </w:p>
    <w:p>
      <w:pPr>
        <w:pStyle w:val="Heading2"/>
      </w:pPr>
      <w:r>
        <w:t xml:space="preserve">Emergency End Stake (20%)</w:t>
      </w:r>
    </w:p>
    <w:p>
      <w:pPr>
        <w:pStyle w:val="ListParagraph"/>
        <w:numPr>
          <w:ilvl w:val="0"/>
          <w:numId w:val="2"/>
        </w:numPr>
      </w:pPr>
      <w:r>
        <w:t xml:space="preserve">12% → DAO Treasury</w:t>
      </w:r>
    </w:p>
    <w:p>
      <w:pPr>
        <w:pStyle w:val="ListParagraph"/>
        <w:numPr>
          <w:ilvl w:val="0"/>
          <w:numId w:val="2"/>
        </w:numPr>
      </w:pPr>
      <w:r>
        <w:t xml:space="preserve">5% → Dev Wallet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3% → Auto LP</w:t>
      </w:r>
    </w:p>
    <w:p>
      <w:pPr>
        <w:pStyle w:val="Heading1"/>
      </w:pPr>
      <w:r>
        <w:t xml:space="preserve">Contract Addresses</w:t>
      </w:r>
    </w:p>
    <w:p>
      <w:pPr>
        <w:spacing w:after="100"/>
      </w:pPr>
      <w:r>
        <w:rPr>
          <w:b/>
          <w:bCs/>
        </w:rPr>
        <w:t xml:space="preserve">DTGC Token: </w:t>
      </w:r>
      <w:r>
        <w:t xml:space="preserve">0xD0676B28a457371D58d47E5247b439114e40Eb0F</w:t>
      </w:r>
    </w:p>
    <w:p>
      <w:pPr>
        <w:spacing w:after="100"/>
      </w:pPr>
      <w:r>
        <w:rPr>
          <w:b/>
          <w:bCs/>
        </w:rPr>
        <w:t xml:space="preserve">URMOM Token: </w:t>
      </w:r>
      <w:r>
        <w:t xml:space="preserve">0xe43b3cEE3554e120213b8B69Caf690B6C04A7ec0</w:t>
      </w:r>
    </w:p>
    <w:p>
      <w:pPr>
        <w:spacing w:after="100"/>
      </w:pPr>
      <w:r>
        <w:rPr>
          <w:b/>
          <w:bCs/>
        </w:rPr>
        <w:t xml:space="preserve">DTGC/PLS LP: </w:t>
      </w:r>
      <w:r>
        <w:t xml:space="preserve">0xc33944a6020FB5620001A202Eaa67214A1AB9193</w:t>
      </w:r>
    </w:p>
    <w:p>
      <w:pPr>
        <w:spacing w:after="100"/>
      </w:pPr>
      <w:r>
        <w:rPr>
          <w:b/>
          <w:bCs/>
        </w:rPr>
        <w:t xml:space="preserve">DTGC/URMOM LP: </w:t>
      </w:r>
      <w:r>
        <w:t xml:space="preserve">0x670c972Bb5388E087a2934a063064d97278e01F3</w:t>
      </w:r>
    </w:p>
    <w:p>
      <w:pPr>
        <w:spacing w:after="100"/>
      </w:pPr>
      <w:r>
        <w:rPr>
          <w:b/>
          <w:bCs/>
        </w:rPr>
        <w:t xml:space="preserve">Staking V2: </w:t>
      </w:r>
      <w:r>
        <w:t xml:space="preserve">0x0c1984e3804Bd74DAaB66c4540bBeac751efB643</w:t>
      </w:r>
    </w:p>
    <w:p>
      <w:pPr>
        <w:spacing w:after="100"/>
      </w:pPr>
      <w:r>
        <w:rPr>
          <w:b/>
          <w:bCs/>
        </w:rPr>
        <w:t xml:space="preserve">LP Staking V2: </w:t>
      </w:r>
      <w:r>
        <w:t xml:space="preserve">0x0b07eD8929884E9bBDEAD6B42465F2A265044f18</w:t>
      </w:r>
    </w:p>
    <w:p>
      <w:pPr>
        <w:spacing w:after="100"/>
      </w:pPr>
      <w:r>
        <w:rPr>
          <w:b/>
          <w:bCs/>
        </w:rPr>
        <w:t xml:space="preserve">DAO Treasury: </w:t>
      </w:r>
      <w:r>
        <w:t xml:space="preserve">0x22289ce7d7B962e804E9C8C6C57D2eD4Ffe0AbFC</w:t>
      </w:r>
    </w:p>
    <w:p>
      <w:pPr>
        <w:spacing w:after="100"/>
      </w:pPr>
      <w:r>
        <w:rPr>
          <w:b/>
          <w:bCs/>
        </w:rPr>
        <w:t xml:space="preserve">Burn Address: </w:t>
      </w:r>
      <w:r>
        <w:t xml:space="preserve">0x0000000000000000000000000000000000000369</w:t>
      </w:r>
    </w:p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dtgc.io • PulseChain • January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• dtgc.io • PulseChain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D4AF37"/>
        <w:sz w:val="20"/>
        <w:szCs w:val="20"/>
      </w:rPr>
      <w:t xml:space="preserve">DT GOLD COIN • WHITE PAPER V19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D4AF37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4AF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2026-01-02T03:35:05.265Z</dcterms:created>
  <dcterms:modified xsi:type="dcterms:W3CDTF">2026-01-02T03:35:05.266Z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