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gold-paper-quant-v4"/>
    <w:p>
      <w:pPr>
        <w:pStyle w:val="Heading1"/>
      </w:pPr>
      <w:r>
        <w:t xml:space="preserve">GOLD PAPER QUANT V4</w:t>
      </w:r>
    </w:p>
    <w:bookmarkStart w:id="21" w:name="quantitative-analysis"/>
    <w:p>
      <w:pPr>
        <w:pStyle w:val="Heading2"/>
      </w:pPr>
      <w:r>
        <w:t xml:space="preserve">Quantitative Analysis</w:t>
      </w:r>
    </w:p>
    <w:bookmarkStart w:id="20" w:name="X60a59e1dec70c9b29509df996a4ca2e79359b0e"/>
    <w:p>
      <w:pPr>
        <w:pStyle w:val="Heading3"/>
      </w:pPr>
      <w:r>
        <w:t xml:space="preserve">Risk Assessment • ROI Modeling • Multi-Stake Scenarios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multi-stake-roi-analysis"/>
    <w:p>
      <w:pPr>
        <w:pStyle w:val="Heading2"/>
      </w:pPr>
      <w:r>
        <w:t xml:space="preserve">1. Multi-Stake ROI Analysis</w:t>
      </w:r>
    </w:p>
    <w:p>
      <w:pPr>
        <w:pStyle w:val="FirstParagraph"/>
      </w:pPr>
      <w:r>
        <w:t xml:space="preserve">V4’s unlimited multi-stake capability enables sophisticated portfolio strategies. Below are modeled scenarios demonstrating optimal allocation across tiers.</w:t>
      </w:r>
    </w:p>
    <w:bookmarkStart w:id="22" w:name="scenario-10000-portfolio-1-year-hold"/>
    <w:p>
      <w:pPr>
        <w:pStyle w:val="Heading3"/>
      </w:pPr>
      <w:r>
        <w:t xml:space="preserve">Scenario: $10,000 Portfolio (1-Year Hold)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Blended APR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1Y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$2,240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$3,710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$5,180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Diamond+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$7,000</w:t>
            </w:r>
          </w:p>
        </w:tc>
      </w:tr>
    </w:tbl>
    <w:p>
      <w:pPr>
        <w:pStyle w:val="BodyText"/>
      </w:pPr>
      <w:r>
        <w:rPr>
          <w:iCs/>
          <w:i/>
        </w:rPr>
        <w:t xml:space="preserve">Assumes constant APR and no price appreciation. Actual returns may vary.</w:t>
      </w:r>
    </w:p>
    <w:bookmarkEnd w:id="22"/>
    <w:bookmarkStart w:id="23" w:name="compounding-strategy"/>
    <w:p>
      <w:pPr>
        <w:pStyle w:val="Heading3"/>
      </w:pPr>
      <w:r>
        <w:t xml:space="preserve">Compounding Strategy</w:t>
      </w:r>
    </w:p>
    <w:p>
      <w:pPr>
        <w:pStyle w:val="FirstParagraph"/>
      </w:pPr>
      <w:r>
        <w:t xml:space="preserve">With V4’s claim-without-unstaking feature, users can compound returns: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APR (70% 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~72.3%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~73.5%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risk-assessment"/>
    <w:p>
      <w:pPr>
        <w:pStyle w:val="Heading2"/>
      </w:pPr>
      <w:r>
        <w:t xml:space="preserve">2. Risk Assessment</w:t>
      </w:r>
    </w:p>
    <w:bookmarkStart w:id="25" w:name="smart-contract-risk"/>
    <w:p>
      <w:pPr>
        <w:pStyle w:val="Heading3"/>
      </w:pPr>
      <w:r>
        <w:t xml:space="preserve">Smart Contract Risk</w:t>
      </w:r>
    </w:p>
    <w:p>
      <w:pPr>
        <w:pStyle w:val="FirstParagraph"/>
      </w:pPr>
      <w:r>
        <w:rPr>
          <w:bCs/>
          <w:b/>
        </w:rPr>
        <w:t xml:space="preserve">Risk Level: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Cs/>
          <w:b/>
        </w:rPr>
        <w:t xml:space="preserve">Mitigations:</w:t>
      </w:r>
      <w:r>
        <w:t xml:space="preserve"> </w:t>
      </w:r>
      <w:r>
        <w:t xml:space="preserve">- OpenZeppelin audited base contracts</w:t>
      </w:r>
      <w:r>
        <w:t xml:space="preserve"> </w:t>
      </w:r>
      <w:r>
        <w:t xml:space="preserve">- ReentrancyGuard on all state-changing functions</w:t>
      </w:r>
      <w:r>
        <w:t xml:space="preserve"> </w:t>
      </w:r>
      <w:r>
        <w:t xml:space="preserve">- Verified source code on PulseScan</w:t>
      </w:r>
      <w:r>
        <w:t xml:space="preserve"> </w:t>
      </w:r>
      <w:r>
        <w:t xml:space="preserve">- Immutable token address prevents tampering</w:t>
      </w:r>
    </w:p>
    <w:bookmarkEnd w:id="25"/>
    <w:bookmarkStart w:id="26" w:name="impermanent-loss-lp-staking"/>
    <w:p>
      <w:pPr>
        <w:pStyle w:val="Heading3"/>
      </w:pPr>
      <w:r>
        <w:t xml:space="preserve">Impermanent Loss (LP Staking)</w:t>
      </w:r>
    </w:p>
    <w:p>
      <w:pPr>
        <w:pStyle w:val="FirstParagraph"/>
      </w:pPr>
      <w:r>
        <w:t xml:space="preserve">LP stakers face impermanent loss risk when token prices diverge. The high APR (42-70%) is designed to compensate for this risk.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Price Divergence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Impermanent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~36.8%</w:t>
            </w:r>
          </w:p>
        </w:tc>
      </w:tr>
    </w:tbl>
    <w:p>
      <w:pPr>
        <w:pStyle w:val="BodyText"/>
      </w:pPr>
      <w:r>
        <w:rPr>
          <w:bCs/>
          <w:b/>
        </w:rPr>
        <w:t xml:space="preserve">Breakeven Analysis:</w:t>
      </w:r>
      <w:r>
        <w:t xml:space="preserve"> </w:t>
      </w:r>
      <w:r>
        <w:t xml:space="preserve">At 70% APR, Diamond+ stakers break even on IL up to ~95% price divergence over 90 days.</w:t>
      </w:r>
    </w:p>
    <w:bookmarkEnd w:id="26"/>
    <w:bookmarkStart w:id="27" w:name="early-exit-risk"/>
    <w:p>
      <w:pPr>
        <w:pStyle w:val="Heading3"/>
      </w:pPr>
      <w:r>
        <w:t xml:space="preserve">Early Exit Risk</w:t>
      </w:r>
    </w:p>
    <w:p>
      <w:pPr>
        <w:pStyle w:val="FirstParagraph"/>
      </w:pPr>
      <w:r>
        <w:rPr>
          <w:bCs/>
          <w:b/>
        </w:rPr>
        <w:t xml:space="preserve">20% Early Withdrawal Fee</w:t>
      </w:r>
      <w:r>
        <w:t xml:space="preserve"> </w:t>
      </w:r>
      <w:r>
        <w:t xml:space="preserve">applies if unstaking before lock period ends.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 at 50% lock (Gold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-11.6% (lost 20% fee, earned 8.4%)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 at 75% lock (Gold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-7.4% (lost 20% fee, earned 12.6%)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term (Gold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+16.8% (full APR, no fee)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market-cap-growth-phases"/>
    <w:p>
      <w:pPr>
        <w:pStyle w:val="Heading2"/>
      </w:pPr>
      <w:r>
        <w:t xml:space="preserve">3. Market Cap Growth Phases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Sustainability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🌱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$50K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but volatile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Accumulate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🌿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 - $250K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 &amp; compound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🌳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$250K - $1M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Diversify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🏆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$1M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Sustainable long-term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 staking focus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reward-pool-sustainability"/>
    <w:p>
      <w:pPr>
        <w:pStyle w:val="Heading2"/>
      </w:pPr>
      <w:r>
        <w:t xml:space="preserve">4. Reward Pool Sustainability</w:t>
      </w:r>
    </w:p>
    <w:p>
      <w:pPr>
        <w:pStyle w:val="FirstParagraph"/>
      </w:pPr>
      <w:r>
        <w:t xml:space="preserve">The DTGC staking system is designed for long-term sustainability through multiple revenue streams:</w:t>
      </w:r>
    </w:p>
    <w:bookmarkStart w:id="30" w:name="inflows-to-reward-pool"/>
    <w:p>
      <w:pPr>
        <w:pStyle w:val="Heading3"/>
      </w:pPr>
      <w:r>
        <w:t xml:space="preserve">Inflows to Reward Pool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Monthly (at $1M daily volume)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Buy/Sell Tax → DAO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~$562,500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Withdrawal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of early exits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 DTGC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</w:t>
            </w:r>
          </w:p>
        </w:tc>
      </w:tr>
    </w:tbl>
    <w:bookmarkEnd w:id="30"/>
    <w:bookmarkStart w:id="31" w:name="outflows-from-reward-pool"/>
    <w:p>
      <w:pPr>
        <w:pStyle w:val="Heading3"/>
      </w:pPr>
      <w:r>
        <w:t xml:space="preserve">Outflows from Reward Pool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Staking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Monthly Payout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DTGC Staking (avg)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~1.4% of staked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 Diamond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~3.5% of staked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 Diamond+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~5.8% of staked</w:t>
            </w:r>
          </w:p>
        </w:tc>
      </w:tr>
    </w:tbl>
    <w:bookmarkEnd w:id="31"/>
    <w:bookmarkStart w:id="32" w:name="sustainability-threshold"/>
    <w:p>
      <w:pPr>
        <w:pStyle w:val="Heading3"/>
      </w:pPr>
      <w:r>
        <w:t xml:space="preserve">Sustainability Threshold</w:t>
      </w:r>
    </w:p>
    <w:p>
      <w:pPr>
        <w:pStyle w:val="FirstParagraph"/>
      </w:pPr>
      <w:r>
        <w:rPr>
          <w:bCs/>
          <w:b/>
        </w:rPr>
        <w:t xml:space="preserve">Break-even daily volume:</w:t>
      </w:r>
      <w:r>
        <w:t xml:space="preserve"> </w:t>
      </w:r>
      <w:r>
        <w:t xml:space="preserve">~$150K at current staking levels</w:t>
      </w:r>
    </w:p>
    <w:p>
      <w:pPr>
        <w:pStyle w:val="BodyText"/>
      </w:pPr>
      <w:r>
        <w:t xml:space="preserve">Above this volume, reward pools grow. Below, they slowly deplete from the 500M reserve.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ortfolio-optimization-model"/>
    <w:p>
      <w:pPr>
        <w:pStyle w:val="Heading2"/>
      </w:pPr>
      <w:r>
        <w:t xml:space="preserve">5. Portfolio Optimization Model</w:t>
      </w:r>
    </w:p>
    <w:bookmarkStart w:id="34" w:name="Xea361304237090f74471dfea5111cb16a417668"/>
    <w:p>
      <w:pPr>
        <w:pStyle w:val="Heading3"/>
      </w:pPr>
      <w:r>
        <w:t xml:space="preserve">Risk-Adjusted Returns (Sharpe Ratio Approximation)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(σ)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Risk-Adjusted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100% DTGC Whale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50/50 DTGC/Diamond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100% Diamond+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(IL risk)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</w:tr>
    </w:tbl>
    <w:bookmarkEnd w:id="34"/>
    <w:bookmarkStart w:id="35" w:name="recommended-allocation-by-risk-tolerance"/>
    <w:p>
      <w:pPr>
        <w:pStyle w:val="Heading3"/>
      </w:pPr>
      <w:r>
        <w:t xml:space="preserve">Recommended Allocation by Risk Tolerance</w:t>
      </w:r>
    </w:p>
    <w:p>
      <w:pPr>
        <w:pStyle w:val="FirstParagraph"/>
      </w:pPr>
      <w:r>
        <w:rPr>
          <w:bCs/>
          <w:b/>
        </w:rPr>
        <w:t xml:space="preserve">Conservative (Low Risk):</w:t>
      </w:r>
      <w:r>
        <w:t xml:space="preserve"> </w:t>
      </w:r>
      <w:r>
        <w:t xml:space="preserve">- 70% DTGC Whale tier</w:t>
      </w:r>
      <w:r>
        <w:t xml:space="preserve"> </w:t>
      </w:r>
      <w:r>
        <w:t xml:space="preserve">- 20% Diamond LP</w:t>
      </w:r>
      <w:r>
        <w:t xml:space="preserve"> </w:t>
      </w:r>
      <w:r>
        <w:t xml:space="preserve">- 10% Diamond+ LP</w:t>
      </w:r>
    </w:p>
    <w:p>
      <w:pPr>
        <w:pStyle w:val="BodyText"/>
      </w:pPr>
      <w:r>
        <w:rPr>
          <w:bCs/>
          <w:b/>
        </w:rPr>
        <w:t xml:space="preserve">Moderate (Medium Risk):</w:t>
      </w:r>
      <w:r>
        <w:t xml:space="preserve"> </w:t>
      </w:r>
      <w:r>
        <w:t xml:space="preserve">- 40% DTGC Gold tier</w:t>
      </w:r>
      <w:r>
        <w:t xml:space="preserve"> </w:t>
      </w:r>
      <w:r>
        <w:t xml:space="preserve">- 40% Diamond LP</w:t>
      </w:r>
      <w:r>
        <w:t xml:space="preserve"> </w:t>
      </w:r>
      <w:r>
        <w:t xml:space="preserve">- 20% Diamond+ LP</w:t>
      </w:r>
    </w:p>
    <w:p>
      <w:pPr>
        <w:pStyle w:val="BodyText"/>
      </w:pPr>
      <w:r>
        <w:rPr>
          <w:bCs/>
          <w:b/>
        </w:rPr>
        <w:t xml:space="preserve">Aggressive (High Risk):</w:t>
      </w:r>
      <w:r>
        <w:t xml:space="preserve"> </w:t>
      </w:r>
      <w:r>
        <w:t xml:space="preserve">- 20% DTGC Gold tier</w:t>
      </w:r>
      <w:r>
        <w:t xml:space="preserve"> </w:t>
      </w:r>
      <w:r>
        <w:t xml:space="preserve">- 30% Diamond LP</w:t>
      </w:r>
      <w:r>
        <w:t xml:space="preserve"> </w:t>
      </w:r>
      <w:r>
        <w:t xml:space="preserve">- 50% Diamond+ LP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rice-sensitivity-analysis"/>
    <w:p>
      <w:pPr>
        <w:pStyle w:val="Heading2"/>
      </w:pPr>
      <w:r>
        <w:t xml:space="preserve">6. Price Sensitivity Analysis</w:t>
      </w:r>
    </w:p>
    <w:bookmarkStart w:id="37" w:name="scenario-2x-price-increase-over-90-days"/>
    <w:p>
      <w:pPr>
        <w:pStyle w:val="Heading3"/>
      </w:pPr>
      <w:r>
        <w:t xml:space="preserve">Scenario: 2x Price Increase Over 90 Days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Staking Rewards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DTGC Staking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+104.2%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Diamond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+100% (with 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+95% - 105%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Diamond+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+100% (with 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+95% - 110%</w:t>
            </w:r>
          </w:p>
        </w:tc>
      </w:tr>
    </w:tbl>
    <w:bookmarkEnd w:id="37"/>
    <w:bookmarkStart w:id="38" w:name="scenario-50-price-decrease-over-90-days"/>
    <w:p>
      <w:pPr>
        <w:pStyle w:val="Heading3"/>
      </w:pPr>
      <w:r>
        <w:t xml:space="preserve">Scenario: 50% Price Decrease Over 90 Days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Staking Rewards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DTGC Staking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-45.8%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Diamond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-50% (with 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-45% to -55%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Diamond+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-50% (with 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-40% to -50%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1" w:name="key-metrics-dashboard"/>
    <w:p>
      <w:pPr>
        <w:pStyle w:val="Heading2"/>
      </w:pPr>
      <w:r>
        <w:t xml:space="preserve">7. Key Metrics Dashboard</w:t>
      </w:r>
    </w:p>
    <w:bookmarkStart w:id="40" w:name="contract-health-indicators"/>
    <w:p>
      <w:pPr>
        <w:pStyle w:val="Heading3"/>
      </w:pPr>
      <w:r>
        <w:t xml:space="preserve">Contract Health Indicators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Reward Pool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10M DTGC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5M DTGC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TVL / Reward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$100K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$50K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Stakers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3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DTGC V4 represents best-in-class DeFi infrastructure on PulseChain. The unlimited multi-stake architecture, combined with sustainable tokenomics and competitive APRs, positions DTGC as a premium choice for yield-seeking investors.</w:t>
      </w:r>
    </w:p>
    <w:bookmarkStart w:id="42" w:name="key-takeaways"/>
    <w:p>
      <w:pPr>
        <w:pStyle w:val="Heading3"/>
      </w:pPr>
      <w:r>
        <w:t xml:space="preserve">Key Takeaways</w:t>
      </w:r>
    </w:p>
    <w:p>
      <w:pPr>
        <w:pStyle w:val="FirstParagraph"/>
      </w:pPr>
      <w:r>
        <w:t xml:space="preserve">✅ V4 enables unlimited concurrent staking positions</w:t>
      </w:r>
      <w:r>
        <w:br/>
      </w:r>
      <w:r>
        <w:t xml:space="preserve">✅ Diamond+ LP offers up to 70% APR</w:t>
      </w:r>
      <w:r>
        <w:br/>
      </w:r>
      <w:r>
        <w:t xml:space="preserve">✅ 91% supply is protocol-controlled (low float)</w:t>
      </w:r>
      <w:r>
        <w:br/>
      </w:r>
      <w:r>
        <w:t xml:space="preserve">✅ Sustainable fee model funds long-term rewards</w:t>
      </w:r>
      <w:r>
        <w:br/>
      </w:r>
      <w:r>
        <w:t xml:space="preserve">✅ Claim rewards without unstaking for compounding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GOLD PAPER QUANT V4</w:t>
      </w:r>
      <w:r>
        <w:br/>
      </w:r>
      <w:r>
        <w:t xml:space="preserve">dtgc.io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2026-01-05T15:00:13Z</dcterms:created>
  <dcterms:modified xsi:type="dcterms:W3CDTF">2026-01-05T15:00:13Z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