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METALS</w:t>
      </w: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40"/>
          <w:szCs w:val="40"/>
        </w:rPr>
        <w:t xml:space="preserve">ARBITRUM × PULSECHAIN</w:t>
      </w:r>
    </w:p>
    <w:p>
      <w:pPr>
        <w:spacing w:after="400"/>
      </w:pPr>
    </w:p>
    <w:p>
      <w:pPr>
        <w:jc w:val="center"/>
      </w:pPr>
      <w:r>
        <w:rPr>
          <w:color w:val="cccccc"/>
          <w:sz w:val="28"/>
          <w:szCs w:val="28"/>
        </w:rPr>
        <w:t xml:space="preserve">─────────────────────────────────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B8860B"/>
          <w:sz w:val="56"/>
          <w:szCs w:val="56"/>
        </w:rPr>
        <w:t xml:space="preserve">Q7 AUTO-PERP ENGINE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Quantitative Trading System Architecture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Developed by High-Frequency Quantitative Traders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New York • London • Singapore</w:t>
      </w:r>
    </w:p>
    <w:p>
      <w:pPr>
        <w:spacing w:after="800"/>
      </w:pPr>
    </w:p>
    <w:p>
      <w:pPr>
        <w:jc w:val="center"/>
      </w:pPr>
      <w:r>
        <w:rPr>
          <w:b/>
          <w:bCs/>
          <w:color w:val="333333"/>
          <w:sz w:val="24"/>
          <w:szCs w:val="24"/>
        </w:rPr>
        <w:t xml:space="preserve">WHITEPAPER v1.0</w:t>
      </w:r>
    </w:p>
    <w:p>
      <w:pPr>
        <w:jc w:val="center"/>
      </w:pPr>
      <w:r>
        <w:rPr>
          <w:color w:val="666666"/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The Q7 Auto-Perp Engine represents the culmination of years of quantitative research conducted by elite trading desks across Wall Street. Originally architected by high-frequency traders from major New York financial institutions, the Q7 system has been refined through millions of simulated and live market cycles to achieve exceptional risk-adjusted returns in the perpetual futures market.</w:t>
      </w:r>
    </w:p>
    <w:p>
      <w:pPr>
        <w:spacing w:after="200"/>
      </w:pPr>
      <w:r>
        <w:rPr>
          <w:sz w:val="24"/>
          <w:szCs w:val="24"/>
        </w:rPr>
        <w:t xml:space="preserve">This paper introduces the Metals framework—a cross-chain capital efficiency system that bridges Arbitrum's high-performance DeFi ecosystem with PulseChain's growth-oriented tokenomics. At its core, the 5% Win Reallocation Protocol automatically captures a portion of profitable trades and channels them through ZapperX into PLS tokens, creating a self-sustaining flywheel that compounds capital across both ecosystems.</w:t>
      </w:r>
    </w:p>
    <w:p>
      <w:pPr>
        <w:pBdr>
          <w:left w:val="single" w:color="B8860B" w:sz="24"/>
        </w:pBdr>
        <w:shd w:fill="F5F5F5" w:val="clear"/>
        <w:spacing w:after="300"/>
        <w:ind w:left="200"/>
      </w:pPr>
      <w:r>
        <w:rPr>
          <w:i/>
          <w:iCs/>
          <w:color w:val="444444"/>
          <w:sz w:val="24"/>
          <w:szCs w:val="24"/>
        </w:rPr>
        <w:t xml:space="preserve">"The Q7 engine doesn't predict markets—it adapts to them. Through dynamic risk allocation and multi-timeframe confluence analysis, it identifies statistical edges that persist across market regimes."</w:t>
      </w:r>
    </w:p>
    <w:p>
      <w:pPr>
        <w:spacing w:after="300"/>
        <w:jc w:val="right"/>
      </w:pPr>
      <w:r>
        <w:rPr>
          <w:color w:val="888888"/>
          <w:sz w:val="20"/>
          <w:szCs w:val="20"/>
        </w:rPr>
        <w:t xml:space="preserve">— Q7 Development Team</w:t>
      </w:r>
    </w:p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The D-RAM Framework</w:t>
      </w:r>
    </w:p>
    <w:p>
      <w:pPr>
        <w:spacing w:after="200"/>
      </w:pPr>
      <w:r>
        <w:rPr>
          <w:sz w:val="24"/>
          <w:szCs w:val="24"/>
        </w:rPr>
        <w:t xml:space="preserve">The Q7 engine operates on the proprietary D-RAM (Dynamic Risk Allocation Model) framework v5.2.6, which orchestrates position sizing, entry timing, and exit management through a unified decision matrix. D-RAM continuously analyzes: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Multi-timeframe trend confluence (1H, 4H, Daily, Weekly)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Volatility regime classification (Low/Medium/High/Extreme)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Liquidity depth and order book imbalance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Cross-asset correlation breakdown signals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Funding rate arbitrage opportunities</w:t>
      </w:r>
    </w:p>
    <w:p>
      <w:pPr>
        <w:pStyle w:val="Heading2"/>
      </w:pPr>
      <w:r>
        <w:t xml:space="preserve">gTrade Integration</w:t>
      </w:r>
    </w:p>
    <w:p>
      <w:pPr>
        <w:spacing w:after="200"/>
      </w:pPr>
      <w:r>
        <w:rPr>
          <w:sz w:val="24"/>
          <w:szCs w:val="24"/>
        </w:rPr>
        <w:t xml:space="preserve">The Q7 system interfaces directly with gTrade on Arbitrum, leveraging its synthetic asset infrastructure for capital-efficient perpetual trading. gTrade's architecture enables up to 150x leverage on major pairs with guaranteed execution—critical for the Q7's time-sensitive entry algorithms.</w:t>
      </w:r>
    </w:p>
    <w:p>
      <w:r>
        <w:br w:type="page"/>
      </w:r>
    </w:p>
    <w:p>
      <w:pPr>
        <w:pStyle w:val="Heading1"/>
      </w:pPr>
      <w:r>
        <w:t xml:space="preserve">THE 5% WIN FLYWHEEL</w:t>
      </w:r>
    </w:p>
    <w:p>
      <w:pPr>
        <w:pStyle w:val="Heading2"/>
      </w:pPr>
      <w:r>
        <w:t xml:space="preserve">Profit Reallocation Protocol</w:t>
      </w:r>
    </w:p>
    <w:p>
      <w:pPr>
        <w:spacing w:after="200"/>
      </w:pPr>
      <w:r>
        <w:rPr>
          <w:sz w:val="24"/>
          <w:szCs w:val="24"/>
        </w:rPr>
        <w:t xml:space="preserve">A foundational innovation of the Metals framework is the automated 5% Win Reallocation Protocol. This mechanism captures 5% of every profitable trade and redirects it through a cross-chain pipeline to accumulate PulseChain (PLS) tokens in a dedicated growth engine wallet.</w:t>
      </w:r>
    </w:p>
    <w:p>
      <w:pPr>
        <w:pStyle w:val="Heading3"/>
      </w:pPr>
      <w:r>
        <w:t xml:space="preserve">Execution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4"/>
                <w:szCs w:val="24"/>
              </w:rPr>
              <w:t xml:space="preserve">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Profitable trade closes on gTrade (Arbitrum)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4"/>
                <w:szCs w:val="24"/>
              </w:rPr>
              <w:t xml:space="preserve">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System calculates 5% of realized profit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4"/>
                <w:szCs w:val="24"/>
              </w:rPr>
              <w:t xml:space="preserve">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5% USDC routed to ZapperX bridge contract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4"/>
                <w:szCs w:val="24"/>
              </w:rPr>
              <w:t xml:space="preserve">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ZapperX executes atomic swap: USDC → PLS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4"/>
                <w:szCs w:val="24"/>
              </w:rPr>
              <w:t xml:space="preserve">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PLS tokens transferred to Growth Engine wallet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4"/>
                <w:szCs w:val="24"/>
              </w:rPr>
              <w:t xml:space="preserve">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Flywheel cycle complete; system monitors for next win</w:t>
            </w:r>
          </w:p>
        </w:tc>
      </w:tr>
    </w:tbl>
    <w:p>
      <w:pPr>
        <w:pStyle w:val="Heading2"/>
        <w:spacing w:before="400"/>
      </w:pPr>
      <w:r>
        <w:t xml:space="preserve">Growth Engine Wallet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Destination Address: </w:t>
      </w:r>
      <w:r>
        <w:rPr>
          <w:rFonts w:ascii="Courier New" w:cs="Courier New" w:eastAsia="Courier New" w:hAnsi="Courier New"/>
          <w:color w:val="0066cc"/>
          <w:sz w:val="22"/>
          <w:szCs w:val="22"/>
        </w:rPr>
        <w:t xml:space="preserve">0x1449a7d9973e6215534d785e3e306261156eb610</w:t>
      </w:r>
    </w:p>
    <w:p>
      <w:pPr>
        <w:spacing w:after="200"/>
      </w:pPr>
      <w:r>
        <w:rPr>
          <w:sz w:val="24"/>
          <w:szCs w:val="24"/>
        </w:rPr>
        <w:t xml:space="preserve">This wallet serves as the accumulation point for PLS tokens. As the flywheel operates, the wallet's holdings grow automatically, creating a compounding effect where successful Arbitrum trading performance directly translates to PulseChain ecosystem growth.</w:t>
      </w:r>
    </w:p>
    <w:p>
      <w:r>
        <w:br w:type="page"/>
      </w:r>
    </w:p>
    <w:p>
      <w:pPr>
        <w:pStyle w:val="Heading1"/>
      </w:pPr>
      <w:r>
        <w:t xml:space="preserve">TECHNICAL SPECIFICATIONS</w:t>
      </w:r>
    </w:p>
    <w:p>
      <w:pPr>
        <w:pStyle w:val="Heading2"/>
      </w:pPr>
      <w:r>
        <w:t xml:space="preserve">ZapperX Bridge Integration</w:t>
      </w:r>
    </w:p>
    <w:p>
      <w:pPr>
        <w:spacing w:after="200"/>
      </w:pPr>
      <w:r>
        <w:rPr>
          <w:sz w:val="24"/>
          <w:szCs w:val="24"/>
        </w:rPr>
        <w:t xml:space="preserve">ZapperX provides the cross-chain infrastructure enabling seamless USDC-to-PLS conversion. The bridge operates through atomic swap mechanics with the following characteristics: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Source Chain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Arbitrum 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Destination Chain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PulseChain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Input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USDC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Output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Bridge Mechanism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Atomic Swap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Settlement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~2-5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Slippage Tolerance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0.5% max</w:t>
            </w:r>
          </w:p>
        </w:tc>
      </w:tr>
    </w:tbl>
    <w:p>
      <w:pPr>
        <w:pStyle w:val="Heading2"/>
        <w:spacing w:before="400"/>
      </w:pPr>
      <w:r>
        <w:t xml:space="preserve">Risk Parameters</w:t>
      </w:r>
    </w:p>
    <w:p>
      <w:pPr>
        <w:spacing w:after="200"/>
      </w:pPr>
      <w:r>
        <w:rPr>
          <w:sz w:val="24"/>
          <w:szCs w:val="24"/>
        </w:rPr>
        <w:t xml:space="preserve">The Q7 engine implements strict risk management protocols to preserve capital: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Maximum position size: 2% of total portfolio per trade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Maximum concurrent positions: 60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Dynamic stop-loss: ATR-based trailing stops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Maximum drawdown trigger: 15% portfolio value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Correlation limit: No more than 30% exposure to correlated assets</w:t>
      </w:r>
    </w:p>
    <w:p>
      <w:r>
        <w:br w:type="page"/>
      </w:r>
    </w:p>
    <w:p>
      <w:pPr>
        <w:pStyle w:val="Heading1"/>
      </w:pPr>
      <w:r>
        <w:t xml:space="preserve">PERFORMANCE FRAMEWORK</w:t>
      </w:r>
    </w:p>
    <w:p>
      <w:pPr>
        <w:pStyle w:val="Heading2"/>
      </w:pPr>
      <w:r>
        <w:t xml:space="preserve">Key Performance Indicators</w:t>
      </w:r>
    </w:p>
    <w:p>
      <w:pPr>
        <w:spacing w:after="200"/>
      </w:pPr>
      <w:r>
        <w:rPr>
          <w:sz w:val="24"/>
          <w:szCs w:val="24"/>
        </w:rPr>
        <w:t xml:space="preserve">The Q7 system tracks comprehensive metrics to evaluate trading performance and flywheel efficiency: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F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F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D4F2B"/>
                <w:sz w:val="22"/>
                <w:szCs w:val="22"/>
              </w:rPr>
              <w:t xml:space="preserve">Win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Percentage of profitable trades (target: &gt;75%)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D4F2B"/>
                <w:sz w:val="22"/>
                <w:szCs w:val="22"/>
              </w:rPr>
              <w:t xml:space="preserve">Sharpe Ratio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Risk-adjusted return measurement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D4F2B"/>
                <w:sz w:val="22"/>
                <w:szCs w:val="22"/>
              </w:rPr>
              <w:t xml:space="preserve">Max Drawdown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Largest peak-to-trough decline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D4F2B"/>
                <w:sz w:val="22"/>
                <w:szCs w:val="22"/>
              </w:rPr>
              <w:t xml:space="preserve">Flywheel Efficiency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PLS accumulated per $100 profit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D4F2B"/>
                <w:sz w:val="22"/>
                <w:szCs w:val="22"/>
              </w:rPr>
              <w:t xml:space="preserve">ROI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Return on initial capital deployed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D4F2B"/>
                <w:sz w:val="22"/>
                <w:szCs w:val="22"/>
              </w:rPr>
              <w:t xml:space="preserve">Trade Frequency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Average trades per 24-hour period</w:t>
            </w:r>
          </w:p>
        </w:tc>
      </w:tr>
    </w:tbl>
    <w:p>
      <w:pPr>
        <w:pStyle w:val="Heading2"/>
        <w:spacing w:before="400"/>
      </w:pPr>
      <w:r>
        <w:t xml:space="preserve">Compounding Effect</w:t>
      </w:r>
    </w:p>
    <w:p>
      <w:pPr>
        <w:spacing w:after="200"/>
      </w:pPr>
      <w:r>
        <w:rPr>
          <w:sz w:val="24"/>
          <w:szCs w:val="24"/>
        </w:rPr>
        <w:t xml:space="preserve">The 5% reallocation creates exponential growth potential. Assuming consistent performance: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Month 1: Base PLS accumulation begins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Month 3: PLS staking rewards compound with new allocations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Month 6: Growth engine wallet becomes significant yield source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Year 1+: Dual-chain passive income stream established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rPr>
          <w:sz w:val="24"/>
          <w:szCs w:val="24"/>
        </w:rPr>
        <w:t xml:space="preserve">The Metals Arbitrum × PulseChain framework represents a paradigm shift in DeFi capital allocation. By combining institutional-grade quantitative trading systems with automated cross-chain value transfer, we create a self-reinforcing ecosystem that grows stronger with every successful trade.</w:t>
      </w:r>
    </w:p>
    <w:p>
      <w:pPr>
        <w:spacing w:after="200"/>
      </w:pPr>
      <w:r>
        <w:rPr>
          <w:sz w:val="24"/>
          <w:szCs w:val="24"/>
        </w:rPr>
        <w:t xml:space="preserve">The Q7 Auto-Perp Engine, born from the expertise of New York's quantitative trading elite, provides the alpha generation engine. The 5% Win Flywheel ensures that success in one ecosystem catalyzes growth in another. Together, they form Metals—a framework for building lasting wealth across the decentralized frontier.</w:t>
      </w:r>
    </w:p>
    <w:p>
      <w:pPr>
        <w:pBdr>
          <w:left w:val="single" w:color="B8860B" w:sz="24"/>
        </w:pBdr>
        <w:shd w:fill="FFF8E7" w:val="clear"/>
        <w:spacing w:after="400"/>
        <w:ind w:left="200"/>
      </w:pPr>
      <w:r>
        <w:rPr>
          <w:b/>
          <w:bCs/>
          <w:i/>
          <w:iCs/>
          <w:color w:val="B8860B"/>
          <w:sz w:val="28"/>
          <w:szCs w:val="28"/>
        </w:rPr>
        <w:t xml:space="preserve">This is the way.</w:t>
      </w:r>
    </w:p>
    <w:p>
      <w:pPr>
        <w:pStyle w:val="Heading1"/>
      </w:pPr>
      <w:r>
        <w:t xml:space="preserve">APPENDIX: SMART CONTRACT ADDRESSES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Growth Engine Wallet (PulseChain):</w:t>
      </w:r>
    </w:p>
    <w:p>
      <w:pPr>
        <w:spacing w:after="20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0x1449a7d9973e6215534d785e3e306261156eb610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gTrade Contract (Arbitrum):</w:t>
      </w:r>
    </w:p>
    <w:p>
      <w:pPr>
        <w:spacing w:after="2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Integrated via official gTrade API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ZapperX Bridge:</w:t>
      </w:r>
    </w:p>
    <w:p>
      <w:pPr>
        <w:spacing w:after="4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Cross-chain atomic swap protocol</w:t>
      </w:r>
    </w:p>
    <w:p>
      <w:pPr>
        <w:spacing w:before="400"/>
        <w:jc w:val="center"/>
      </w:pPr>
      <w:r>
        <w:rPr>
          <w:color w:val="cccccc"/>
          <w:sz w:val="28"/>
          <w:szCs w:val="28"/>
        </w:rPr>
        <w:t xml:space="preserve">─────────────────────────────────</w:t>
      </w:r>
    </w:p>
    <w:p>
      <w:pPr>
        <w:spacing w:after="100"/>
        <w:jc w:val="center"/>
      </w:pPr>
      <w:r>
        <w:rPr>
          <w:b/>
          <w:bCs/>
          <w:color w:val="B8860B"/>
          <w:sz w:val="28"/>
          <w:szCs w:val="28"/>
        </w:rPr>
        <w:t xml:space="preserve">DTGC.io/gold</w:t>
      </w:r>
    </w:p>
    <w:p>
      <w:pPr>
        <w:jc w:val="center"/>
      </w:pPr>
      <w:r>
        <w:rPr>
          <w:color w:val="888888"/>
          <w:sz w:val="20"/>
          <w:szCs w:val="20"/>
        </w:rPr>
        <w:t xml:space="preserve">Decentralized Trading • Generational Capital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DTGC.io | Confidential </w:t>
    </w:r>
    <w:r>
      <w:rPr>
        <w:color w:val="888888"/>
        <w:sz w:val="18"/>
        <w:szCs w:val="18"/>
      </w:rPr>
      <w:t xml:space="preserve">|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METALS ARBITRUM × PULSECHAIN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2026-02-05T15:29:10.189Z</dcterms:created>
  <dcterms:modified xsi:type="dcterms:W3CDTF">2026-02-05T15:29:10.190Z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