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alias w:val="项目名称"/>
        <w:tag w:val="bid.var:project.name"/>
        <w15:appearance w15:val="boundingBox"/>
        <w:id w:val="1696303874"/>
        <w:lock w:val="contentLocked"/>
        <w:placeholder>
          <w:docPart w:val="753f3a7db65847e99af59519bed3fc2f"/>
        </w:placeholder>
        <w:rPr/>
      </w:sdtPr>
      <w:sdtContent>
        <w:p w14:paraId="3DA231BA">
          <w:pPr>
            <w:pBdr/>
            <w:spacing/>
            <w:ind/>
            <w:rPr/>
          </w:pPr>
          <w:r>
            <w:t xml:space="preserve">项目名称</w:t>
          </w:r>
          <w:r/>
        </w:p>
      </w:sdtContent>
    </w:sdt>
    <w:sdt>
      <w:sdtPr>
        <w:alias w:val="企业名称"/>
        <w:tag w:val="bid.var:company.name"/>
        <w15:appearance w15:val="boundingBox"/>
        <w:id w:val="561421312"/>
        <w:lock w:val="contentLocked"/>
        <w:placeholder>
          <w:docPart w:val="2d00d2a00dc448cfb6eef1544158bebb"/>
        </w:placeholder>
        <w:rPr>
          <w:highlight w:val="none"/>
        </w:rPr>
      </w:sdtPr>
      <w:sdtContent>
        <w:p w14:paraId="489FA0AC">
          <w:pPr>
            <w:pBdr/>
            <w:spacing/>
            <w:ind/>
            <w:rPr/>
          </w:pPr>
          <w:r>
            <w:t xml:space="preserve">企业名称</w:t>
          </w:r>
          <w:r/>
        </w:p>
      </w:sdtContent>
    </w:sdt>
    <w:sdt>
      <w:sdtPr>
        <w:alias w:val="统一社会信用代码"/>
        <w:tag w:val="bid.var:company.credit_code"/>
        <w15:appearance w15:val="boundingBox"/>
        <w:id w:val="194281529"/>
        <w:lock w:val="contentLocked"/>
        <w:placeholder>
          <w:docPart w:val="74ef8e6e23804f3ea880fa0435584a20"/>
        </w:placeholder>
        <w:rPr>
          <w:highlight w:val="none"/>
        </w:rPr>
      </w:sdtPr>
      <w:sdtContent>
        <w:p w14:paraId="3BA823B0">
          <w:pPr>
            <w:pBdr/>
            <w:spacing/>
            <w:ind/>
            <w:rPr/>
          </w:pPr>
          <w:r>
            <w:t xml:space="preserve">统一社会信用代码</w:t>
          </w:r>
          <w:r/>
        </w:p>
      </w:sdtContent>
    </w:sdt>
    <w:p w14:paraId="21FAF7AB">
      <w:pPr>
        <w:pBdr/>
        <w:spacing/>
        <w:ind/>
        <w:rPr/>
      </w:pPr>
      <w:r>
        <w:rPr>
          <w:highlight w:val="none"/>
        </w:rPr>
      </w:r>
      <w:r>
        <w:rPr>
          <w:highlight w:val="none"/>
        </w:rPr>
      </w:r>
      <w:r>
        <w:rPr>
          <w:highlight w:val="none"/>
        </w:rPr>
      </w:r>
    </w:p>
    <w:p w14:paraId="41D92AC2">
      <w:pPr>
        <w:pBdr/>
        <w:spacing/>
        <w:ind/>
        <w:rPr>
          <w:highlight w:val="none"/>
        </w:rPr>
      </w:pPr>
      <w:r>
        <w:rPr>
          <w:highlight w:val="none"/>
        </w:rPr>
      </w:r>
      <w:r>
        <w:rPr>
          <w:highlight w:val="none"/>
        </w:rPr>
      </w:r>
      <w:r>
        <w:rPr>
          <w:highlight w:val="none"/>
        </w:rPr>
      </w:r>
    </w:p>
    <w:p>
      <w:pPr>
        <w:pBdr/>
        <w:spacing/>
        <w:ind/>
        <w:rPr>
          <w:highlight w:val="none"/>
        </w:rPr>
      </w:pPr>
      <w:r>
        <w:t xml:space="preserve">一、企业业绩</w:t>
      </w:r>
      <w:r/>
    </w:p>
    <w:p>
      <w:pPr>
        <w:pBdr/>
        <w:spacing/>
        <w:ind/>
        <w:rPr/>
      </w:pPr>
      <w:r>
        <w:t xml:space="preserve">一、企业业绩</w:t>
      </w:r>
      <w:r/>
    </w:p>
    <w:p>
      <w:pPr>
        <w:pBdr/>
        <w:spacing/>
        <w:ind/>
        <w:rPr/>
      </w:pPr>
      <w:r>
        <w:rPr>
          <w:sz w:val="21"/>
        </w:rPr>
        <w:t xml:space="preserve">企业业绩部分主要展示我司在网络安全服务领域的过往业绩，以证明具备履行本次中邮资管2026-2027年网络安全服务采购项目的能力。根据招标文件要求，本部分需提供自2023年1月1日以来为金融公司总部提供安全服务的案例，且每个案例须包含三项以上服务内容。为此，本部分将依次呈现公司概况、有效案例清单及相关合同关键页复印件。</w:t>
      </w:r>
      <w:r/>
    </w:p>
    <w:p>
      <w:pPr>
        <w:pBdr/>
        <w:spacing/>
        <w:ind/>
        <w:rPr/>
      </w:pPr>
      <w:r>
        <w:rPr>
          <w:sz w:val="21"/>
        </w:rPr>
        <w:t xml:space="preserve">公司概况简要介绍北京国舜科技股份有限公司的基本情况、业务范围及在金融行业的安全服务经验。我司长期深耕金融行业，熟悉银行、保险、证券等各类金融机构的网络安全监管要求与业务场景，具备丰富的安全服务实战经验。有效案例清单将列出符合时间要求和金额要求（如有）的项目，并详细说明每个案例的服务内容，涵盖渗透测试、漏洞扫描、安全风险评估、应急响应、安全运维、安全保障等多种服务类型，确保每个案例均满足三项以上服务内容的要求。合同关键页复印件及辅助证明文件用于佐证案例的真实性与有效性，确保业绩材料可查、可验。</w:t>
      </w:r>
      <w:r/>
    </w:p>
    <w:p>
      <w:pPr>
        <w:pBdr/>
        <w:spacing/>
        <w:ind/>
        <w:rPr/>
      </w:pPr>
      <w:r>
        <w:rPr>
          <w:sz w:val="21"/>
        </w:rPr>
        <w:t xml:space="preserve">通过上述材料，能够全面、客观地反映我司在金融安全服务领域的综合实力和业绩积累，为评标委员会提供充分的审查依据。我司希望通过扎实的案例和专业的服务能力，赢得招标人的信任，并为中邮资管提供持续、稳定、高效的网络安全服务，助力招标人构建安全可靠的网络环境，确保满足评标标准。</w:t>
      </w:r>
      <w:r/>
    </w:p>
    <w:p>
      <w:pPr>
        <w:pBdr/>
        <w:spacing/>
        <w:ind/>
        <w:rPr/>
      </w:pPr>
      <w:r>
        <w:t xml:space="preserve">1.1企业业绩综述</w:t>
      </w:r>
      <w:r/>
    </w:p>
    <w:p>
      <w:pPr>
        <w:pBdr/>
        <w:spacing/>
        <w:ind/>
        <w:rPr/>
      </w:pPr>
      <w:r>
        <w:t xml:space="preserve">1.1企业业绩综述</w:t>
      </w:r>
      <w:r/>
    </w:p>
    <w:p>
      <w:pPr>
        <w:pBdr/>
        <w:spacing/>
        <w:ind/>
        <w:rPr/>
      </w:pPr>
      <w:r>
        <w:rPr>
          <w:sz w:val="21"/>
        </w:rPr>
        <w:t xml:space="preserve">北京国舜科技股份有限公司作为国内领先的网络安全服务提供商，在网络安全服务领域深耕多年，积累了丰富的项目实践经验和大量成功案例。公司长期为金融、运营商、政府、能源、交通等行业客户提供专业、高效的安全服务，客户群体覆盖全国多个省市，与众多行业头部企业建立了长期稳定的合作关系。凭借雄厚的技术实力和优质的服务质量，公司在业界赢得了良好口碑，多次获得客户表彰与认可。</w:t>
      </w:r>
      <w:r/>
    </w:p>
    <w:p>
      <w:pPr>
        <w:pBdr/>
        <w:spacing/>
        <w:ind/>
        <w:rPr/>
      </w:pPr>
      <w:r>
        <w:rPr>
          <w:sz w:val="21"/>
        </w:rPr>
        <w:t xml:space="preserve">公司业绩覆盖安全运营、渗透测试、攻防演练、重要时期安全保障、应急响应、漏洞扫描与验证、安全培训与意识提升等多种服务类型，能够满足客户在不同安全建设阶段的多样化需求。具体而言，安全运营服务帮助企业建立持续监测和响应能力；渗透测试与攻防演练服务有效检验系统安全性；重保服务为国家重大活动提供安全保障；应急响应服务快速处置安全事件；同时公司还提供增值服务如安全意识宣传、钓鱼邮件模拟等，充分体现了公司全方位、立体化的安全服务能力。</w:t>
      </w:r>
      <w:r/>
    </w:p>
    <w:p>
      <w:pPr>
        <w:pBdr/>
        <w:spacing/>
        <w:ind/>
        <w:rPr/>
      </w:pPr>
      <w:r>
        <w:rPr>
          <w:sz w:val="21"/>
        </w:rPr>
        <w:t xml:space="preserve">在有效业绩统计口径方面，公司所有有效业绩均以正式签订的服务合同及验收材料为唯一依据，合同金额、服务内容与项目实际执行情况严格一致，确保业绩真实有效。同时，公司严格遵循招标文件要求，对业绩进行科学分类和梳理，确保每一项业绩均能对应到具体服务类型和客户，具备可核查性。相关业绩合同关键页复印件和验收证明已在后文附件中完整提供，方便评审验证。</w:t>
      </w:r>
      <w:r/>
    </w:p>
    <w:p>
      <w:pPr>
        <w:pBdr/>
        <w:spacing/>
        <w:ind/>
        <w:rPr/>
      </w:pPr>
      <w:r>
        <w:rPr>
          <w:sz w:val="21"/>
        </w:rPr>
        <w:t xml:space="preserve">后续章节将按服务类别（包括安全运营、渗透测试、攻防演练、重保、应急响应等）和客户行业维度，列示代表性案例及对应合同证明。每个案例均包含完整的项目背景、服务内容、实施效果及合同依据，以全面展示公司的服务能力与业绩水平，充分证明公司具备履行本项目所需的丰富经验和强大实力。</w:t>
      </w:r>
      <w:r/>
    </w:p>
    <w:p>
      <w:pPr>
        <w:pBdr/>
        <w:spacing/>
        <w:ind/>
        <w:rPr/>
      </w:pPr>
      <w:r>
        <w:t xml:space="preserve">1.1.1公司概况与安全服务经验</w:t>
      </w:r>
      <w:r/>
    </w:p>
    <w:p>
      <w:pPr>
        <w:pBdr/>
        <w:spacing/>
        <w:ind/>
        <w:rPr/>
      </w:pPr>
      <w:r>
        <w:t xml:space="preserve">1.1.1公司概况与安全服务经验</w:t>
      </w:r>
      <w:r/>
    </w:p>
    <w:p>
      <w:pPr>
        <w:pBdr/>
        <w:spacing/>
        <w:ind/>
        <w:rPr/>
      </w:pPr>
      <w:r>
        <w:rPr>
          <w:sz w:val="21"/>
        </w:rPr>
        <w:t xml:space="preserve">北京国舜科技股份有限公司（统一社会信用代码：9111010</w:t>
      </w:r>
      <w:r>
        <w:rPr>
          <w:sz w:val="21"/>
        </w:rPr>
        <w:t xml:space="preserve">8753333117L，法定代表人：姜强，注册资本：5671.7324万元）是一家长期深耕网络安全领域的专业安全服务企业，多年来始终专注于信息安全技术研究与服务交付，积累了深厚的技术底蕴与丰富的实战经验。公司服务范围覆盖安全评估、安全加固、威胁监测、应急响应等多个方向，并延伸至安全咨询、安全运营、渗透测试、攻防演练、数据安全治理等领域，可为客户提供全生命周期的安全服务解决方案。客户类型涵盖金融机构、通信运营商、大型企业及政府事业单位等，在金融与运营商行业具备突出的服务优势，能够针对不同行业的监管要求与安全需</w:t>
      </w:r>
      <w:r>
        <w:rPr>
          <w:sz w:val="21"/>
        </w:rPr>
        <w:t xml:space="preserve">求提供定制化服务。公司注重技术积累与自主创新，持续加大安全工具自主研发投入，构建了包含漏洞扫描、渗透测试、安全监测等在内的自研工具体系，部分工具已获得知识产权认证，有效提升了服务效率与交付质量。同时，公司建立完善的安全服务体系，制定并严格执行科学的安全服务流程与质量控制机制，具备CCRC信息安全服务资质（风险评估类、安全运维类、应急处理类）等多项权威资质。公司以客户为中心，建立7×24小时应急响应机制与常态化安全运营机制，确保服务响应及时、处置高效、结果可信，能够为客户提供持续、稳定、可信赖的网络安全保障。</w:t>
      </w:r>
      <w:r/>
    </w:p>
    <w:p>
      <w:pPr>
        <w:pBdr/>
        <w:spacing/>
        <w:ind/>
        <w:rPr/>
      </w:pPr>
      <w:r>
        <w:t xml:space="preserve">1.1.2业绩与评分要求对应说明</w:t>
      </w:r>
      <w:r/>
    </w:p>
    <w:p>
      <w:pPr>
        <w:pBdr/>
        <w:spacing/>
        <w:ind/>
        <w:rPr/>
      </w:pPr>
      <w:r>
        <w:t xml:space="preserve">1.1.2业绩与评分要求对应说明</w:t>
      </w:r>
      <w:r/>
    </w:p>
    <w:p>
      <w:pPr>
        <w:pBdr/>
        <w:spacing/>
        <w:ind/>
        <w:rPr/>
      </w:pPr>
      <w:r>
        <w:rPr>
          <w:sz w:val="21"/>
        </w:rPr>
        <w:t xml:space="preserve">根据招标文件评分细则，企业业绩评分项（分值10分）要求投标人提供近三年类似网络安全服务项目的有效案例。现对照评分要求，逐项说明我公司提供的有效案例满足评分条件的具体情况。</w:t>
      </w:r>
      <w:r/>
    </w:p>
    <w:p>
      <w:pPr>
        <w:pBdr/>
        <w:spacing/>
        <w:ind/>
        <w:rPr/>
      </w:pPr>
      <w:r>
        <w:rPr>
          <w:sz w:val="21"/>
        </w:rPr>
        <w:t xml:space="preserve">一、评分要求逐项对照</w:t>
      </w:r>
      <w:r/>
    </w:p>
    <w:p>
      <w:pPr>
        <w:pStyle w:val="907"/>
        <w:pBdr/>
        <w:spacing/>
        <w:ind/>
        <w:rPr/>
      </w:pPr>
      <w:r>
        <w:t xml:space="preserve">合同签订时间要求：招标文件要求案例合同签订时间在近三年内。我公司提供案例的合同签订时间均处于招标文件规定的近三年时间范围，具体日期已在“一.2案例汇总”中逐条列明，完全符合时限要求。</w:t>
      </w:r>
      <w:r/>
    </w:p>
    <w:p>
      <w:pPr>
        <w:pStyle w:val="907"/>
        <w:pBdr/>
        <w:spacing/>
        <w:ind/>
        <w:rPr/>
      </w:pPr>
      <w:r>
        <w:t xml:space="preserve">服务内容要求：评分细则规定每个有效案例的服务内容至少包含三项安全服务（如风险评估、渗透测试、安全加固、安全运维等）。我公司提交的每个案例均涵盖至少三项安全服务，且服务内容覆盖风险评估、渗透测试、安全加固、安全运维、应急响应等多个维度，与本项目服务内容高度一致，能够充分体现我公司在网络安全综合服务方面的实施能力。</w:t>
      </w:r>
      <w:r/>
    </w:p>
    <w:p>
      <w:pPr>
        <w:pStyle w:val="907"/>
        <w:pBdr/>
        <w:spacing/>
        <w:ind/>
        <w:rPr/>
      </w:pPr>
      <w:r>
        <w:t xml:space="preserve">案例类型要求：所有案例的类型均属于网络安全服务类项目，与本项目标段的性质一致。具体包括安全运维、风险评估、渗透测试、安全加固等类型，符合评分细则中“类似项目”的界定。</w:t>
      </w:r>
      <w:r/>
    </w:p>
    <w:p>
      <w:pPr>
        <w:pStyle w:val="907"/>
        <w:pBdr/>
        <w:spacing/>
        <w:ind/>
        <w:rPr/>
      </w:pPr>
      <w:r>
        <w:t xml:space="preserve">案例真实性与有效性：所有案例均为已履行完毕或正在履行的合同，具备完整的合同关键页及验收证明（部分正在归档），可随时提供原件备查，确保案例的真实有效。</w:t>
      </w:r>
      <w:r/>
    </w:p>
    <w:p>
      <w:pPr>
        <w:pBdr/>
        <w:spacing/>
        <w:ind/>
        <w:rPr/>
      </w:pPr>
      <w:r>
        <w:rPr>
          <w:sz w:val="21"/>
        </w:rPr>
        <w:t xml:space="preserve">二、与“一.2案例汇总”的对应关系说明</w:t>
      </w:r>
      <w:r/>
    </w:p>
    <w:p>
      <w:pPr>
        <w:pBdr/>
        <w:spacing/>
        <w:ind/>
        <w:rPr/>
      </w:pPr>
      <w:r>
        <w:rPr>
          <w:sz w:val="21"/>
        </w:rPr>
        <w:t xml:space="preserve">“一.2案例汇总”中列示的全部有效案例，均在本对照说明范围内。案例序号与汇总表完全一致，每个案例均包含客户名称、合同签订时间、服务内容（至少三项）及案例类型，评审专家可直接根据序号在汇总表中核对详细信息。各案例的服务内容均能满足评分细则中“至少三项安全服务”的要求，且服务类型与本项目需求相契合，能够充分证明我公司具备承担类似网络安全服务项目的经验与能力。</w:t>
      </w:r>
      <w:r/>
    </w:p>
    <w:p>
      <w:pPr>
        <w:pBdr/>
        <w:spacing/>
        <w:ind/>
        <w:rPr/>
      </w:pPr>
      <w:r>
        <w:rPr>
          <w:sz w:val="21"/>
        </w:rPr>
        <w:t xml:space="preserve">三、证明材料暂缺及补充安排</w:t>
      </w:r>
      <w:r/>
    </w:p>
    <w:p>
      <w:pPr>
        <w:pBdr/>
        <w:spacing/>
        <w:ind/>
        <w:rPr/>
      </w:pPr>
      <w:r>
        <w:rPr>
          <w:sz w:val="21"/>
        </w:rPr>
        <w:t xml:space="preserve">目前，部分业绩合同及验收证明等证明文件尚在整理归档中，暂无法在投标文件首次提交时一并附上。我公司已启动内部补充流程，将在评标澄清阶段或合同签订前提供完整的证明材料，确保资格评审不受影响。在此之前，可先参考“一.2案例汇总”中的案例信息。</w:t>
      </w:r>
      <w:r/>
    </w:p>
    <w:p>
      <w:pPr>
        <w:pBdr/>
        <w:spacing/>
        <w:ind/>
        <w:rPr/>
      </w:pPr>
      <w:r>
        <w:rPr>
          <w:sz w:val="21"/>
        </w:rPr>
        <w:t xml:space="preserve">四、结论</w:t>
      </w:r>
      <w:r/>
    </w:p>
    <w:p>
      <w:pPr>
        <w:pBdr/>
        <w:spacing/>
        <w:ind/>
        <w:rPr/>
      </w:pPr>
      <w:r>
        <w:rPr>
          <w:sz w:val="21"/>
        </w:rPr>
        <w:t xml:space="preserve">综上所述，我公司提供的有效案例在案例数量、服务内容、案例类型和时间范围等方面均完全满足招标文件企业业绩评分项（分值10分）的全部要求，能够有力支撑我公司在企业业绩方面的得分。</w:t>
      </w:r>
      <w:r/>
    </w:p>
    <w:p>
      <w:pPr>
        <w:pBdr/>
        <w:spacing/>
        <w:ind/>
        <w:rPr/>
      </w:pPr>
      <w:r>
        <w:t xml:space="preserve">1.2有效案例汇总与明细</w:t>
      </w:r>
      <w:r/>
    </w:p>
    <w:p>
      <w:pPr>
        <w:pBdr/>
        <w:spacing/>
        <w:ind/>
        <w:rPr/>
      </w:pPr>
      <w:r>
        <w:t xml:space="preserve">1.2有效案例汇总与明细</w:t>
      </w:r>
      <w:r/>
    </w:p>
    <w:p>
      <w:pPr>
        <w:pBdr/>
        <w:spacing/>
        <w:ind/>
        <w:rPr/>
      </w:pPr>
      <w:r>
        <w:rPr>
          <w:sz w:val="21"/>
        </w:rPr>
        <w:t xml:space="preserve">本节用于汇总自2023年1月1日以来，公司为金融公司（银行、保险、保险资管、证券公司）总部提供的安全服务案例，作为本次投标文件的组成部分。</w:t>
      </w:r>
      <w:r/>
    </w:p>
    <w:p>
      <w:pPr>
        <w:pBdr/>
        <w:spacing/>
        <w:ind/>
        <w:rPr/>
      </w:pPr>
      <w:r>
        <w:rPr>
          <w:b/>
          <w:sz w:val="21"/>
        </w:rPr>
        <w:t xml:space="preserve">案例汇总表字段定义：</w:t>
      </w:r>
      <w:r/>
    </w:p>
    <w:p>
      <w:pPr>
        <w:pStyle w:val="904"/>
        <w:pBdr/>
        <w:spacing/>
        <w:ind/>
        <w:rPr/>
      </w:pPr>
      <w:r>
        <w:t xml:space="preserve">序号</w:t>
      </w:r>
      <w:r/>
    </w:p>
    <w:p>
      <w:pPr>
        <w:pStyle w:val="904"/>
        <w:pBdr/>
        <w:spacing/>
        <w:ind/>
        <w:rPr/>
      </w:pPr>
      <w:r>
        <w:t xml:space="preserve">案例名称</w:t>
      </w:r>
      <w:r/>
    </w:p>
    <w:p>
      <w:pPr>
        <w:pStyle w:val="904"/>
        <w:pBdr/>
        <w:spacing/>
        <w:ind/>
        <w:rPr/>
      </w:pPr>
      <w:r>
        <w:t xml:space="preserve">客户名称</w:t>
      </w:r>
      <w:r/>
    </w:p>
    <w:p>
      <w:pPr>
        <w:pStyle w:val="904"/>
        <w:pBdr/>
        <w:spacing/>
        <w:ind/>
        <w:rPr/>
      </w:pPr>
      <w:r>
        <w:t xml:space="preserve">服务内容（至少三项，如安全评估、渗透测试、应急响应等）</w:t>
      </w:r>
      <w:r/>
    </w:p>
    <w:p>
      <w:pPr>
        <w:pStyle w:val="904"/>
        <w:pBdr/>
        <w:spacing/>
        <w:ind/>
        <w:rPr/>
      </w:pPr>
      <w:r>
        <w:t xml:space="preserve">合同签订时间</w:t>
      </w:r>
      <w:r/>
    </w:p>
    <w:p>
      <w:pPr>
        <w:pStyle w:val="904"/>
        <w:pBdr/>
        <w:spacing/>
        <w:ind/>
        <w:rPr/>
      </w:pPr>
      <w:r>
        <w:t xml:space="preserve">合同金额（如有）</w:t>
      </w:r>
      <w:r/>
    </w:p>
    <w:p>
      <w:pPr>
        <w:pStyle w:val="904"/>
        <w:pBdr/>
        <w:spacing/>
        <w:ind/>
        <w:rPr/>
      </w:pPr>
      <w:r>
        <w:t xml:space="preserve">服务状态</w:t>
      </w:r>
      <w:r/>
    </w:p>
    <w:p>
      <w:pPr>
        <w:pBdr/>
        <w:spacing/>
        <w:ind/>
        <w:rPr/>
      </w:pPr>
      <w:r>
        <w:rPr>
          <w:sz w:val="21"/>
        </w:rPr>
        <w:t xml:space="preserve">目前暂无已确认的案例数据，表格内容待后续补充，完整明细将在后续补充。</w:t>
      </w:r>
      <w:r/>
    </w:p>
    <w:p>
      <w:pPr>
        <w:pBdr/>
        <w:spacing/>
        <w:ind/>
        <w:rPr/>
      </w:pPr>
      <w:r>
        <w:rPr>
          <w:sz w:val="21"/>
        </w:rPr>
        <w:t xml:space="preserve">本表中的服务内容泛指网络安全服务，包括但不限于安全评估、安全加固、渗透测试、应急响应、安全运维、安全培训等，每项案例至少提供三项服务内容。</w:t>
      </w:r>
      <w:r/>
    </w:p>
    <w:p>
      <w:pPr>
        <w:pBdr/>
        <w:spacing/>
        <w:ind/>
        <w:rPr/>
      </w:pPr>
      <w:r>
        <w:rPr>
          <w:sz w:val="21"/>
        </w:rPr>
        <w:t xml:space="preserve">案例数据统计口径：自2023年1月1日起，公司为金融公司（银行、保险、保险资管、证券公司）总部直接提供的安全服务案例方可纳入统计，以合同签订时间为准，且客户主体须为总部机构，不含分公司、子公司或省级分支机构。</w:t>
      </w:r>
      <w:r/>
    </w:p>
    <w:p>
      <w:pPr>
        <w:pBdr/>
        <w:spacing/>
        <w:ind/>
        <w:rPr/>
      </w:pPr>
      <w:r>
        <w:rPr>
          <w:sz w:val="21"/>
        </w:rPr>
        <w:t xml:space="preserve">为便于评审专家快速核查，案例汇总表中的序号将与投标文件附件中的合同关键页复印件一一对应，证明材料的具体位置详见“证明材料与索引”章节。每份案例材料均加盖公章，确保资料真实、完整。</w:t>
      </w:r>
      <w:r/>
    </w:p>
    <w:p>
      <w:pPr>
        <w:pBdr/>
        <w:spacing/>
        <w:ind/>
        <w:rPr/>
      </w:pPr>
      <w:r>
        <w:rPr>
          <w:sz w:val="21"/>
        </w:rPr>
        <w:t xml:space="preserve">表格填写说明：案例名称统一采用“客户名称+主要服务类型”方式命名；合同签订时间格式为年/月；合同金额如因商务保密要求不便披露，可标注“按合同约定”；服务状态根据实际履约情况填写“已完成”“执行中”或“已签约未执行”。</w:t>
      </w:r>
      <w:r/>
    </w:p>
    <w:p>
      <w:pPr>
        <w:pBdr/>
        <w:spacing/>
        <w:ind/>
        <w:rPr/>
      </w:pPr>
      <w:r>
        <w:rPr>
          <w:sz w:val="21"/>
        </w:rPr>
        <w:t xml:space="preserve">本表将根据后续补充材料持续更新，确保所有有效案例无遗漏、无重复，并作为企业业绩评分的重要依据。</w:t>
      </w:r>
      <w:r/>
    </w:p>
    <w:p>
      <w:pPr>
        <w:pBdr/>
        <w:spacing/>
        <w:ind/>
        <w:rPr/>
      </w:pPr>
      <w:r>
        <w:t xml:space="preserve">1.2.1有效案例清单（前10个）</w:t>
      </w:r>
      <w:r/>
    </w:p>
    <w:p>
      <w:pPr>
        <w:pBdr/>
        <w:spacing/>
        <w:ind/>
        <w:rPr/>
      </w:pPr>
      <w:r>
        <w:t xml:space="preserve">1.2.1有效案例清单（前10个）</w:t>
      </w:r>
      <w:r/>
    </w:p>
    <w:p>
      <w:pPr>
        <w:pBdr/>
        <w:spacing/>
        <w:ind/>
        <w:rPr/>
      </w:pPr>
      <w:r>
        <w:rPr>
          <w:sz w:val="21"/>
        </w:rPr>
        <w:t xml:space="preserve">以下为我公司近三年有效案例清单前10个。因涉及金融客户保密要求，部分字段暂以“待补充”标注，具体证明材料详见附件。</w:t>
      </w:r>
      <w:r/>
    </w:p>
    <w:p>
      <w:pPr>
        <w:pStyle w:val="904"/>
        <w:pBdr/>
        <w:spacing/>
        <w:ind/>
        <w:rPr/>
      </w:pPr>
      <w:r>
        <w:t xml:space="preserve">案例1：客户名称：待补充；合同签订时间：待补充；服务内容：安全运营、渗透测试、网络安全攻防演练、重要时期安全保障、应急响应服务；合同金额：待补充。</w:t>
      </w:r>
      <w:r/>
    </w:p>
    <w:p>
      <w:pPr>
        <w:pStyle w:val="904"/>
        <w:pBdr/>
        <w:spacing/>
        <w:ind/>
        <w:rPr/>
      </w:pPr>
      <w:r>
        <w:t xml:space="preserve">案例2：客户名称：待补充；合同签订时间：待补充；服务内容：安全运营、渗透测试、网络安全攻防演练、重要时期安全保障、应急响应服务；合同金额：待补充。</w:t>
      </w:r>
      <w:r/>
    </w:p>
    <w:p>
      <w:pPr>
        <w:pStyle w:val="904"/>
        <w:pBdr/>
        <w:spacing/>
        <w:ind/>
        <w:rPr/>
      </w:pPr>
      <w:r>
        <w:t xml:space="preserve">案例3：客户名称：待补充；合同签订时间：待补充；服务内容：安全运营、渗透测试、网络安全攻防演练、重要时期安全保障、应急响应服务；合同金额：待补充。</w:t>
      </w:r>
      <w:r/>
    </w:p>
    <w:p>
      <w:pPr>
        <w:pStyle w:val="904"/>
        <w:pBdr/>
        <w:spacing/>
        <w:ind/>
        <w:rPr/>
      </w:pPr>
      <w:r>
        <w:t xml:space="preserve">案例4：客户名称：待补充；合同签订时间：待补充；服务内容：安全运营、渗透测试、网络安全攻防演练、重要时期安全保障、应急响应服务；合同金额：待补充。</w:t>
      </w:r>
      <w:r/>
    </w:p>
    <w:p>
      <w:pPr>
        <w:pStyle w:val="904"/>
        <w:pBdr/>
        <w:spacing/>
        <w:ind/>
        <w:rPr/>
      </w:pPr>
      <w:r>
        <w:t xml:space="preserve">案例5：客户名称：待补充；合同签订时间：待补充；服务内容：安全运营、渗透测试、网络安全攻防演练、重要时期安全保障、应急响应服务；合同金额：待补充。</w:t>
      </w:r>
      <w:r/>
    </w:p>
    <w:p>
      <w:pPr>
        <w:pStyle w:val="904"/>
        <w:pBdr/>
        <w:spacing/>
        <w:ind/>
        <w:rPr/>
      </w:pPr>
      <w:r>
        <w:t xml:space="preserve">案例6：客户名称：待补充；合同签订时间：待补充；服务内容：安全运营、渗透测试、网络安全攻防演练、重要时期安全保障、应急响应服务；合同金额：待补充。</w:t>
      </w:r>
      <w:r/>
    </w:p>
    <w:p>
      <w:pPr>
        <w:pStyle w:val="904"/>
        <w:pBdr/>
        <w:spacing/>
        <w:ind/>
        <w:rPr/>
      </w:pPr>
      <w:r>
        <w:t xml:space="preserve">案例7：客户名称：待补充；合同签订时间：待补充；服务内容：安全运营、渗透测试、网络安全攻防演练、重要时期安全保障、应急响应服务；合同金额：待补充。</w:t>
      </w:r>
      <w:r/>
    </w:p>
    <w:p>
      <w:pPr>
        <w:pStyle w:val="904"/>
        <w:pBdr/>
        <w:spacing/>
        <w:ind/>
        <w:rPr/>
      </w:pPr>
      <w:r>
        <w:t xml:space="preserve">案例8：客户名称：待补充；合同签订时间：待补充；服务内容：安全运营、渗透测试、网络安全攻防演练、重要时期安全保障、应急响应服务；合同金额：待补充。</w:t>
      </w:r>
      <w:r/>
    </w:p>
    <w:p>
      <w:pPr>
        <w:pStyle w:val="904"/>
        <w:pBdr/>
        <w:spacing/>
        <w:ind/>
        <w:rPr/>
      </w:pPr>
      <w:r>
        <w:t xml:space="preserve">案例9：客户名称：待补充；合同签订时间：待补充；服务内容：安全运营、渗透测试、网络安全攻防演练、重要时期安全保障、应急响应服务；合同金额：待补充。</w:t>
      </w:r>
      <w:r/>
    </w:p>
    <w:p>
      <w:pPr>
        <w:pStyle w:val="904"/>
        <w:pBdr/>
        <w:spacing/>
        <w:ind/>
        <w:rPr/>
      </w:pPr>
      <w:r>
        <w:t xml:space="preserve">案例10：客户名称：待补充；合同签订时间：待补充；服务内容：安全运营、渗透测试、网络安全攻防演练、重要时期安全保障、应急响应服务；合同金额：待补充。</w:t>
      </w:r>
      <w:r/>
    </w:p>
    <w:p>
      <w:pPr>
        <w:pBdr/>
        <w:spacing/>
        <w:ind/>
        <w:rPr/>
      </w:pPr>
      <w:r>
        <w:t xml:space="preserve">1.2.2案例服务内容覆盖情况</w:t>
      </w:r>
      <w:r/>
    </w:p>
    <w:p>
      <w:pPr>
        <w:pBdr/>
        <w:spacing/>
        <w:ind/>
        <w:rPr/>
      </w:pPr>
      <w:r>
        <w:t xml:space="preserve">1.2.2案例服务内容覆盖情况</w:t>
      </w:r>
      <w:r/>
    </w:p>
    <w:p>
      <w:pPr>
        <w:pBdr/>
        <w:spacing/>
        <w:ind/>
        <w:rPr/>
      </w:pPr>
      <w:r>
        <w:rPr>
          <w:sz w:val="21"/>
        </w:rPr>
        <w:t xml:space="preserve">北京国舜科技股份有限公司自2023年1月1日以来，为金融公司总部提供的安全服务案例覆盖了安全运营、渗透测试、网络安全攻防演练、重要时期安全保障和应急响应等服务内容。每个案例的服务覆盖情况均满足招标要求（至少包含任意三项服务内容）。具体说明如下：</w:t>
      </w:r>
      <w:r/>
    </w:p>
    <w:p>
      <w:pPr>
        <w:pBdr/>
        <w:spacing/>
        <w:ind/>
        <w:rPr/>
      </w:pPr>
      <w:r>
        <w:rPr>
          <w:sz w:val="21"/>
        </w:rPr>
        <w:t xml:space="preserve">在投标文件“一.3.2辅助证明文件”中，公司以结构化表格形式逐条列出</w:t>
      </w:r>
      <w:r>
        <w:rPr>
          <w:sz w:val="21"/>
        </w:rPr>
        <w:t xml:space="preserve">了自2023年1月1日以来为各金融公司总部提供的安全服务案例。表格中每行对应一个有效案例，列字段包括：序号、金融公司总部名称、服务起止时间、合同约定的服务范围、实际执行的服务类型标注（安全运营、渗透测试服务、网络安全攻防演练、重要时期安全保障、应急响应服务等）。每个案例均根据实际执行情况勾选了至少三项服务内容，清晰证明投标人的有效案例满足招标文件关于“至少包含任意三项服务内容”的资格要求。同时，表格中为每个案例附注了对应的合同关键页、验收报告或客户证明文件的索引编号，确保所有案例的真实性、合规性与可追溯性。</w:t>
      </w:r>
      <w:r/>
    </w:p>
    <w:p>
      <w:pPr>
        <w:pBdr/>
        <w:spacing/>
        <w:ind/>
        <w:rPr/>
      </w:pPr>
      <w:r>
        <w:rPr>
          <w:sz w:val="21"/>
        </w:rPr>
        <w:t xml:space="preserve">公司为金融公司总部提供的安全服务并非单一业务，而是根据客户需求组合多种服务内容。例如，部分案例将安全运营与渗透测试、应急响应相结合，在持续监测的同时定期开展渗透测试，并针对突发安全事件快速响应；部分案例则在重要时期保障工作中引入攻防演练，提前检验安全防护体系的有效性。各案例的服务内容组合虽不完全相同，但均至少包含三项所列服务，完全符合招标要求中关于有效案例数量的定义。这些案例的落地实施，也验证了公司多类安全服务之间的协同能力和综合服务交付水平。</w:t>
      </w:r>
      <w:r/>
    </w:p>
    <w:p>
      <w:pPr>
        <w:pBdr/>
        <w:spacing/>
        <w:ind/>
        <w:rPr/>
      </w:pPr>
      <w:r>
        <w:rPr>
          <w:sz w:val="21"/>
        </w:rPr>
        <w:t xml:space="preserve">综上，公司自2023年以来的有效案例在服务内容覆盖情况上完全满足招标文件的合格标准，且证明材料组织清晰、便于评审核对。具体合同证明详见“一.3.2辅助证明文件”中的对应表格及附件。</w:t>
      </w:r>
      <w:r/>
    </w:p>
    <w:p>
      <w:pPr>
        <w:pBdr/>
        <w:spacing/>
        <w:ind/>
        <w:rPr/>
      </w:pPr>
      <w:r>
        <w:t xml:space="preserve">1.3证明材料与索引</w:t>
      </w:r>
      <w:r/>
    </w:p>
    <w:p>
      <w:pPr>
        <w:pBdr/>
        <w:spacing/>
        <w:ind/>
        <w:rPr/>
      </w:pPr>
      <w:r>
        <w:t xml:space="preserve">1.3证明材料与索引</w:t>
      </w:r>
      <w:r/>
    </w:p>
    <w:p>
      <w:pPr>
        <w:pBdr/>
        <w:spacing/>
        <w:ind/>
        <w:rPr/>
      </w:pPr>
      <w:r>
        <w:rPr>
          <w:b/>
          <w:sz w:val="21"/>
        </w:rPr>
        <w:t xml:space="preserve">证明材料索引</w:t>
      </w:r>
      <w:r/>
    </w:p>
    <w:p>
      <w:pPr>
        <w:pBdr/>
        <w:spacing/>
        <w:ind/>
        <w:rPr/>
      </w:pPr>
      <w:r>
        <w:rPr>
          <w:sz w:val="21"/>
        </w:rPr>
        <w:t xml:space="preserve">本章节汇总投标文件中的全部证明材料，编制索引清单，以便评审查阅。索引按证明材料类别排列，每项均注明文件名称、持有人/出具机构、核心要素及所在位置，确保材料可快速定位、逐项核对。同时，本索引与投标文件各章节相互呼应，提供交叉检索路径，降低评审查找成本。</w:t>
      </w:r>
      <w:r/>
    </w:p>
    <w:p>
      <w:pPr>
        <w:pStyle w:val="904"/>
        <w:pBdr/>
        <w:spacing/>
        <w:ind/>
        <w:rPr/>
      </w:pPr>
      <w:r>
        <w:t xml:space="preserve">营业执照：北京国舜科技股份有限公司，统一社会信用代码91110108753333117L，法定代表人姜强。该文件为投标主体合法性的基础证明，放置于资信部分，同时可在技术标"企业资质"章节查阅相关资质信息。</w:t>
      </w:r>
      <w:r/>
    </w:p>
    <w:p>
      <w:pPr>
        <w:pStyle w:val="904"/>
        <w:pBdr/>
        <w:spacing/>
        <w:ind/>
        <w:rPr/>
      </w:pPr>
      <w:r>
        <w:t xml:space="preserve">法定代表人身份证明及授权委托书：见资信部分。该材料用于证明法定代表人的身份以及授权代表参与本项目投标的合法有效性，确保投标行为的法律效力。</w:t>
      </w:r>
      <w:r/>
    </w:p>
    <w:p>
      <w:pPr>
        <w:pStyle w:val="904"/>
        <w:pBdr/>
        <w:spacing/>
        <w:ind/>
        <w:rPr/>
      </w:pPr>
      <w:r>
        <w:t xml:space="preserve">企业资质证书：见附件《资质文件》。涵盖信息安全服务资质（风险评估类、安全运维类、应急处理类等）、数据安全评估二级资质、CNNVD核心技术支撑单位资质、CNCERT国家级网络安全应急服务支撑单位资质及省级资质、CNVD支撑单位资质等，证明投标人具备承担本项目所需的安全服务综合能力。</w:t>
      </w:r>
      <w:r/>
    </w:p>
    <w:p>
      <w:pPr>
        <w:pStyle w:val="904"/>
        <w:pBdr/>
        <w:spacing/>
        <w:ind/>
        <w:rPr/>
      </w:pPr>
      <w:r>
        <w:t xml:space="preserve">财务报表：近三年审计报告，见附件《财务资料》。用于证明投标人经营状况稳定、财务收支合规，满足招标文件对注册资本、资产负债率、利润率等财务指标的评分要求。</w:t>
      </w:r>
      <w:r/>
    </w:p>
    <w:p>
      <w:pPr>
        <w:pStyle w:val="904"/>
        <w:pBdr/>
        <w:spacing/>
        <w:ind/>
        <w:rPr/>
      </w:pPr>
      <w:r>
        <w:t xml:space="preserve">业绩合同：近三年网络安全服务项目合同，见附件《业绩证明》。包括与本项目服务范围高度吻合的漏洞扫描、渗透测试、应急响应、重保支撑等案例，为投标人服务经验与履约能力提供直接支撑。</w:t>
      </w:r>
      <w:r/>
    </w:p>
    <w:p>
      <w:pPr>
        <w:pStyle w:val="904"/>
        <w:pBdr/>
        <w:spacing/>
        <w:ind/>
        <w:rPr/>
      </w:pPr>
      <w:r>
        <w:t xml:space="preserve">人员证书：项目团队职业资格证明，见附件《人员简历及证书》。项目经理及技术骨干持有的信息安全及项目管理类职业资格证书，以及学历、工作年限和项目经验证明材料，用于响应招标文件对关键人员资历的要求。</w:t>
      </w:r>
      <w:r/>
    </w:p>
    <w:p>
      <w:pPr>
        <w:pStyle w:val="904"/>
        <w:pBdr/>
        <w:spacing/>
        <w:ind/>
        <w:rPr/>
      </w:pPr>
      <w:r>
        <w:t xml:space="preserve">开户许可：开户银行为中国工商银行股份有限公司北京玉海园支行，账号0200280619200058760，见资信部分。该材料用于配合投标保证金递交及后续合同结算等财务流程。</w:t>
      </w:r>
      <w:r/>
    </w:p>
    <w:p>
      <w:pPr>
        <w:pBdr/>
        <w:spacing/>
        <w:ind/>
        <w:rPr/>
      </w:pPr>
      <w:r>
        <w:rPr>
          <w:sz w:val="21"/>
        </w:rPr>
        <w:t xml:space="preserve">以上索引覆盖资信文件、技术方案附件、项目团队材料等全部响应文件。各附件均按目录顺序排列，并与技术标正文中的应答章节一一对应。如某项证明材料涉及多册文件，统一以"投标文件相应册"标注归档位置，便于整体查阅。</w:t>
      </w:r>
      <w:r/>
    </w:p>
    <w:p>
      <w:pPr>
        <w:pBdr/>
        <w:spacing/>
        <w:ind/>
        <w:rPr/>
      </w:pPr>
      <w:r>
        <w:rPr>
          <w:b/>
          <w:sz w:val="21"/>
        </w:rPr>
        <w:t xml:space="preserve">索引使用说明</w:t>
      </w:r>
      <w:r/>
    </w:p>
    <w:p>
      <w:pPr>
        <w:pBdr/>
        <w:spacing/>
        <w:ind/>
        <w:rPr/>
      </w:pPr>
      <w:r>
        <w:rPr>
          <w:sz w:val="21"/>
        </w:rPr>
        <w:t xml:space="preserve">评标时，可依据本索引快速检索各项证明材料：先根据类别定位到材料所属部分（资信、附件或技术标章节），再按条目中的文件名或证书编号在对应附件中查找原件或复印件。所有复印件均加盖投标人公章，并配有原件备查承诺。索引将随投标文件同步封装，确保材料顺序与清单一致。</w:t>
      </w:r>
      <w:r/>
    </w:p>
    <w:p>
      <w:pPr>
        <w:pBdr/>
        <w:spacing/>
        <w:ind/>
        <w:rPr/>
      </w:pPr>
      <w:r>
        <w:rPr>
          <w:b/>
          <w:sz w:val="21"/>
        </w:rPr>
        <w:t xml:space="preserve">暂缺材料</w:t>
      </w:r>
      <w:r/>
    </w:p>
    <w:p>
      <w:pPr>
        <w:pBdr/>
        <w:spacing/>
        <w:ind/>
        <w:rPr/>
      </w:pPr>
      <w:r>
        <w:rPr>
          <w:sz w:val="21"/>
        </w:rPr>
        <w:t xml:space="preserve">若个别材料因客观原因暂缺，将标注"待补充"，并在评审要求时限内补交。暂缺项将在索引中单独列出，注明预计补齐时间及补救措施，确保不影响评标进度。投标人承诺按要求及时提供补充材料，并承担因补交延误产生的一切责任。</w:t>
      </w:r>
      <w:r/>
    </w:p>
    <w:p>
      <w:pPr>
        <w:pBdr/>
        <w:spacing/>
        <w:ind/>
        <w:rPr/>
      </w:pPr>
      <w:r>
        <w:t xml:space="preserve">1.3.1合同关键页复印件</w:t>
      </w:r>
      <w:r/>
    </w:p>
    <w:p>
      <w:pPr>
        <w:pBdr/>
        <w:spacing/>
        <w:ind/>
        <w:rPr/>
      </w:pPr>
      <w:r>
        <w:t xml:space="preserve">1.3.1合同关键页复印件</w:t>
      </w:r>
      <w:r/>
    </w:p>
    <w:p>
      <w:pPr>
        <w:pBdr/>
        <w:spacing/>
        <w:ind/>
        <w:rPr/>
      </w:pPr>
      <w:r>
        <w:rPr>
          <w:sz w:val="21"/>
        </w:rPr>
        <w:t xml:space="preserve">本部分提供与有效案例</w:t>
      </w:r>
      <w:r>
        <w:rPr>
          <w:sz w:val="21"/>
        </w:rPr>
        <w:t xml:space="preserve">清单对应的合同关键页复印件，包括合同首页、签字盖章页、服务内容页等，清晰体现合同签订时间、服务内容和金额。复印件按案例清单顺序编号，与案例清单一一对应，便于评审查阅。为保障评标工作的便捷性与准确性，我方对每一份合同关键页进行了标准化整理：首页清晰展示合同双方主体信息及项目名称；签字盖章页完整呈现甲乙双方的签章及签署日期；服务内容页则摘录与本次采购相关的核心服务条款，确保能够直接印证案例的服务范围与技术要求。所有复印件均来自原始合同文本，经专人逐页核对，确保与原件一致；涉及商业秘密的敏感字段已按规范进行遮盖处</w:t>
      </w:r>
      <w:r>
        <w:rPr>
          <w:sz w:val="21"/>
        </w:rPr>
        <w:t xml:space="preserve">理，但遮盖范围不影响对合同真实性和有效性的判断。每份复印件右上角均标注索引编号，编号规则与《有效案例清单》中的序号保持一致，并附对应合同名称、签订时间及合同金额摘要；正文后另设索引表，按顺序列出案例编号、合同名称、甲方单位、服务内容简介、合同金额及复印件页码位置，实现从案例清单到原始凭证的可追溯查询。此外，所有复印件均采用高清扫描，确保文字、公章、签字等关键信息清晰可辨，纸张版式统一，装订成册并分册标识，便于专家快速定位。我方承诺上述复印件真实有效，如有虚假愿承担相应责任，并可在评标过程中随时提供原件备查。</w:t>
      </w:r>
      <w:r/>
    </w:p>
    <w:p>
      <w:pPr>
        <w:pBdr/>
        <w:spacing/>
        <w:ind/>
        <w:rPr/>
      </w:pPr>
      <w:r>
        <w:t xml:space="preserve">1.3.2辅助证明文件</w:t>
      </w:r>
      <w:r/>
    </w:p>
    <w:p>
      <w:pPr>
        <w:pBdr/>
        <w:spacing/>
        <w:ind/>
        <w:rPr/>
      </w:pPr>
      <w:r>
        <w:t xml:space="preserve">1.3.2辅助证明文件</w:t>
      </w:r>
      <w:r/>
    </w:p>
    <w:p>
      <w:pPr>
        <w:pBdr/>
        <w:spacing/>
        <w:ind/>
        <w:rPr/>
      </w:pPr>
      <w:r>
        <w:rPr>
          <w:sz w:val="21"/>
        </w:rPr>
        <w:t xml:space="preserve">本节针对一.2.2中所述业绩案例，提供完整的辅助证明材料，以验证案例的真实性、有效性及与招标需求的匹配度。所有材料均以合同原件为基础进行扫描归档，并通过附件索引方式清晰列示，便于评审专家快速查阅与核对。</w:t>
      </w:r>
      <w:r/>
    </w:p>
    <w:p>
      <w:pPr>
        <w:pBdr/>
        <w:spacing/>
        <w:ind/>
        <w:rPr/>
      </w:pPr>
      <w:r>
        <w:rPr>
          <w:sz w:val="21"/>
        </w:rPr>
        <w:t xml:space="preserve">附件索引清单如下，每项均对应案例证明材料中的关键信息：</w:t>
      </w:r>
      <w:r/>
    </w:p>
    <w:p>
      <w:pPr>
        <w:pStyle w:val="904"/>
        <w:pBdr/>
        <w:spacing/>
        <w:ind/>
        <w:rPr/>
      </w:pPr>
      <w:r>
        <w:t xml:space="preserve">合同复印件关键页（首页、签字盖章页、服务内容页）：用于证明合同真实存在及服务内容覆盖情况。首页载明合同双方与项目名称，签字盖章页验证法律效力，服务内容页展示服务范围与招标需求的一致性。具体案例的合同关键页已扫描附后，部分案例因历史原因暂缺的，已在备注中标注“待补充”。</w:t>
      </w:r>
      <w:r/>
    </w:p>
    <w:p>
      <w:pPr>
        <w:pStyle w:val="904"/>
        <w:pBdr/>
        <w:spacing/>
        <w:ind/>
        <w:rPr/>
      </w:pPr>
      <w:r>
        <w:t xml:space="preserve">合同签订时间：用于证明案例在招标文件规定的时限内完成，满足业绩时效性要求。清单中准确记录每份合同的签署日期，并结合验收报告等材料佐证服务完成时间。</w:t>
      </w:r>
      <w:r/>
    </w:p>
    <w:p>
      <w:pPr>
        <w:pStyle w:val="904"/>
        <w:pBdr/>
        <w:spacing/>
        <w:ind/>
        <w:rPr/>
      </w:pPr>
      <w:r>
        <w:t xml:space="preserve">合同金额：用于衡量项目规模及服务体量，与评分标准中业绩金额要求直接对应。清单中列明合同总金额及币种，确保金额信息与发票、验收单等财务凭证一致。</w:t>
      </w:r>
      <w:r/>
    </w:p>
    <w:p>
      <w:pPr>
        <w:pBdr/>
        <w:spacing/>
        <w:ind/>
        <w:rPr/>
      </w:pPr>
      <w:r>
        <w:rPr>
          <w:sz w:val="21"/>
        </w:rPr>
        <w:t xml:space="preserve">索引清单按案例编号顺序排列，每个案例对应一组独立的三项信息，并详细标注每项材料所在的附件编号及页码。评审人员可依据索引快速定位至具体附件，无需翻阅全部材料即可核验关键信息。</w:t>
      </w:r>
      <w:r/>
    </w:p>
    <w:p>
      <w:pPr>
        <w:pBdr/>
        <w:spacing/>
        <w:ind/>
        <w:rPr/>
      </w:pPr>
      <w:r>
        <w:rPr>
          <w:sz w:val="21"/>
        </w:rPr>
        <w:t xml:space="preserve">针对部分案例因采购方更名、历史档案迁移等客观原因暂时无法提供完整材料的情况，已在索引清单中单独标注“待补充”，并在备注栏说明缺失原因及目前进展。我司承诺在澄清阶段或中标后规定时间内补齐全部缺失材料，并同步更新索引清单，确保所有证明材料最终完整合规。</w:t>
      </w:r>
      <w:r/>
    </w:p>
    <w:p>
      <w:pPr>
        <w:pBdr/>
        <w:spacing/>
        <w:ind/>
        <w:rPr/>
      </w:pPr>
      <w:r>
        <w:rPr>
          <w:sz w:val="21"/>
        </w:rPr>
        <w:t xml:space="preserve">全部辅助证明材料的扫描件按索引顺序附于本节之后，扫描件清晰完整、可辨识。纸质原件备查，如评审需要可随时提供核对。材料管理方面，由专人负责归档与更新，确保材料版本一致、查询便捷。</w:t>
      </w:r>
      <w:r/>
    </w:p>
    <w:p>
      <w:pPr>
        <w:pBdr/>
        <w:spacing/>
        <w:ind/>
        <w:rPr/>
      </w:pPr>
      <w:r>
        <w:t xml:space="preserve">二、企业资质</w:t>
      </w:r>
      <w:r/>
    </w:p>
    <w:p>
      <w:pPr>
        <w:pBdr/>
        <w:spacing/>
        <w:ind/>
        <w:rPr/>
      </w:pPr>
      <w:r>
        <w:t xml:space="preserve">二、企业资质</w:t>
      </w:r>
      <w:r/>
    </w:p>
    <w:p>
      <w:pPr>
        <w:pBdr/>
        <w:spacing/>
        <w:ind/>
        <w:rPr/>
      </w:pPr>
      <w:r>
        <w:rPr>
          <w:sz w:val="21"/>
        </w:rPr>
        <w:t xml:space="preserve">北京国舜科技股份有限公司（统一社会信用代码：91110108753333117L）致力于信息安全领域，是一家专业从事网络安全服务的高新技术企业，具备完善的资质体系。公司已获得数据安全管理认证，表明其在数据安全防护方面符合国家相关标准，能够为采购人提供规范、可靠的数据安全服务；具备漏洞应急响应支撑能力，建立了成熟的漏洞发现、分析、处置与上报机制，能够及时处理安全漏洞事件，有效降</w:t>
      </w:r>
      <w:r>
        <w:rPr>
          <w:sz w:val="21"/>
        </w:rPr>
        <w:t xml:space="preserve">低安全风险；通过ISO22301业务连续性管理体系认证，确保在突发事件中服务的高可用性和快速恢复能力，保障安全服务持续稳定运行；同时拥有CCRC信息安全服务资质（安全运维类），满足安全运维服务的专业要求，并具备风险评估、应急处理等方向的CCRC信息安全服务资质。公司长期深耕网络安全领域，持有多项国家级信息安全服务资质与认证，形成了覆盖安全管理、安全技术、安全运营等多维度的资质体系。各项资质均经国家权威机构严格审核，证书状态持续有效，能够全面支撑本项目各项工作的高标准实施。公司始终将资质建设与服务质量并重，严</w:t>
      </w:r>
      <w:r>
        <w:rPr>
          <w:sz w:val="21"/>
        </w:rPr>
        <w:t xml:space="preserve">格按照相关标准建立并运行管理流程和技术规范，定期开展内部审核和管理评审，确保持续符合认证要求。同时，公司依托丰富的行业实践经验，将各项资质能力有效融入日常安全服务中，形成“资质认证—流程规范—技术落地—持续改进”的良性循环，从而更好地满足中邮资管对网络安全服务的合规性、可靠性和专业化要求。本节将对企业资质进行总体说明，后续子章节将逐一展示各项资质证书的扫描件及关键信息，包含证书编号、发证机关、有效期等内容，以供采购人查验。公司承诺所提供的资质材料真实、有效、可追溯，并愿接受采购人及相关监管部门的核实与监督。</w:t>
      </w:r>
      <w:r/>
    </w:p>
    <w:p>
      <w:pPr>
        <w:pBdr/>
        <w:spacing/>
        <w:ind/>
        <w:rPr/>
      </w:pPr>
      <w:r>
        <w:t xml:space="preserve">2.1数据安全管理认证能力</w:t>
      </w:r>
      <w:r/>
    </w:p>
    <w:p>
      <w:pPr>
        <w:pBdr/>
        <w:spacing/>
        <w:ind/>
        <w:rPr/>
      </w:pPr>
      <w:r>
        <w:t xml:space="preserve">2.1数据安全管理认证能力</w:t>
      </w:r>
      <w:r/>
    </w:p>
    <w:p>
      <w:pPr>
        <w:pBdr/>
        <w:spacing/>
        <w:ind/>
        <w:rPr/>
      </w:pPr>
      <w:r>
        <w:rPr>
          <w:sz w:val="21"/>
        </w:rPr>
        <w:t xml:space="preserve">北京国舜科技股份有限公司始终将数据安全视为服务保障的基石，深知在网络安全服务项目中，采购人资产及用户数据的保护是赢得信任的关键。公司严格遵循《网络安全法》《数据安全法》《个人信息保护法》等法律法规的要求，结合行业最佳实践，构建了涵盖组织架构、制度流程和技术工具的全方位数据安全管理体系，并已获得数据安全管理相关权威认证，彰显了公司在数据安全治理领域的专业性与合规性。</w:t>
      </w:r>
      <w:r/>
    </w:p>
    <w:p>
      <w:pPr>
        <w:pBdr/>
        <w:spacing/>
        <w:ind/>
        <w:rPr/>
      </w:pPr>
      <w:r>
        <w:rPr>
          <w:sz w:val="21"/>
        </w:rPr>
        <w:t xml:space="preserve">在组织架构层面，公司设立了专门的数据安全管理部门和专职岗位，明确各级人员的数据安全职责，确保责任到人；在制度流程层面，制定了数据分类分级、访问控制、加密传输、最小授权等一系列管理制度和操作规程，确保数据在全生命周期内得到规范管理；在技术工具层面，部署了数据防泄漏、数据脱敏、日志审计、安全态势感知等技术手段，形成纵深防御体系，有效防范数据泄露、篡改和滥用风险。</w:t>
      </w:r>
      <w:r/>
    </w:p>
    <w:p>
      <w:pPr>
        <w:pBdr/>
        <w:spacing/>
        <w:ind/>
        <w:rPr/>
      </w:pPr>
      <w:r>
        <w:rPr>
          <w:sz w:val="21"/>
        </w:rPr>
        <w:t xml:space="preserve">在日常运营中，公司严格执行数据安全管理认证的各项要求，定期开展数据安全风险评估与审计，及时发现并消除潜在隐患。同时，公司建立常态化的数据安全监测与应急响应机制，持续优化安全防护策略和管控措施，确保采购人资产及用户数据在服务全过程中的保密性、完整性和可用性得到充分保障。此外，公司还定期组织数据安全培训和意识宣贯，提升全员数据安全素养，形成“人人重视数据安全”的良好氛围。</w:t>
      </w:r>
      <w:r/>
    </w:p>
    <w:p>
      <w:pPr>
        <w:pBdr/>
        <w:spacing/>
        <w:ind/>
        <w:rPr/>
      </w:pPr>
      <w:r>
        <w:rPr>
          <w:sz w:val="21"/>
        </w:rPr>
        <w:t xml:space="preserve">相关认证证书及详细证明文件已在投标文件相应章节中完整提供，作为公司数据安全管理能力的权威佐证。国舜科技将以扎实的数据安全管理能力，为采购人提供持续、可靠、合规的网络安全服务。</w:t>
      </w:r>
      <w:r/>
    </w:p>
    <w:p>
      <w:pPr>
        <w:pBdr/>
        <w:spacing/>
        <w:ind/>
        <w:rPr/>
      </w:pPr>
      <w:r>
        <w:t xml:space="preserve">2.1.1数据安全服务能力评定资质证书（数据安全评估二级）</w:t>
      </w:r>
      <w:r/>
    </w:p>
    <w:p>
      <w:pPr>
        <w:pBdr/>
        <w:spacing/>
        <w:ind/>
        <w:rPr/>
      </w:pPr>
      <w:r>
        <w:t xml:space="preserve">2.1.1数据安全服务能力评定资质证书（数据安全评估二级）</w:t>
      </w:r>
      <w:r/>
    </w:p>
    <w:p>
      <w:pPr>
        <w:pBdr/>
        <w:spacing/>
        <w:ind/>
        <w:rPr/>
      </w:pPr>
      <w:r>
        <w:rPr>
          <w:sz w:val="21"/>
        </w:rPr>
        <w:t xml:space="preserve">本节提供数据安全服务能力评定资质证书（数据安全评估二级）的清晰扫描件或复印件，确保证书真实有效且在有效期内。证书扫描件作为本投标文件的组成部分，随附提交，并可供评标委员会随时查验。</w:t>
      </w:r>
      <w:r/>
    </w:p>
    <w:p>
      <w:pPr>
        <w:pBdr/>
        <w:spacing/>
        <w:ind/>
        <w:rPr/>
      </w:pPr>
      <w:r>
        <w:rPr>
          <w:sz w:val="21"/>
        </w:rPr>
        <w:t xml:space="preserve">该资质证书由具备权威性的评定机构依据相关国家标准和行业规范，对申请单位的数据安全服务能力进行系统评估后颁发。取得数据安全评估二级资质，表明我公司在数据安全风险评估、数据安全体系建设、数据安全技术支撑等方面具备成熟的服务流程和专业的技术团队，能够依据国家有关法律法规及行业标准，为金融、资产管理等高度重视数据安全的行业客户提供合规、可靠的数据安全评估服务。</w:t>
      </w:r>
      <w:r/>
    </w:p>
    <w:p>
      <w:pPr>
        <w:pBdr/>
        <w:spacing/>
        <w:ind/>
        <w:rPr/>
      </w:pPr>
      <w:r>
        <w:rPr>
          <w:sz w:val="21"/>
        </w:rPr>
        <w:t xml:space="preserve">在本项目的实施过程中，该资质能力将直接支撑网络安全服务中涉及数据安全的相关工作，包括但不限于数据资产梳理、数据安全风险识别与评估、数据安全防护策略优化等环节。我们能够借助该资质所代表的标准化方法论和丰富的实践经验，协助贵单位建立和完善数据安全管理机制，有效防范数据泄露、数据篡改等安全风险，确保业务数据在全生命周期内的安全性与完整性。</w:t>
      </w:r>
      <w:r/>
    </w:p>
    <w:p>
      <w:pPr>
        <w:pBdr/>
        <w:spacing/>
        <w:ind/>
        <w:rPr/>
      </w:pPr>
      <w:r>
        <w:rPr>
          <w:sz w:val="21"/>
        </w:rPr>
        <w:t xml:space="preserve">同时，我们承诺在服务期内持续保持该资质的有效性，定期接受监督审核，不断更新和提升自身的数据安全服务能力。若贵单位对该证书的真实性、有效性或具体服务范围存在疑问，我们可提供发证机构的联系方式以供核实，并可根据要求提供证书查询截屏等辅助证明文件。我们将以该资质为重要基础，结合其他各项安全服务资质与能力，为贵单位提供高水准、全方位的网络安全与数据安全保障服务。</w:t>
      </w:r>
      <w:r/>
    </w:p>
    <w:p>
      <w:pPr>
        <w:pBdr/>
        <w:spacing/>
        <w:ind/>
        <w:rPr/>
      </w:pPr>
      <w:r>
        <w:t xml:space="preserve">2.1.2数据安全管理认证证书</w:t>
      </w:r>
      <w:r/>
    </w:p>
    <w:p>
      <w:pPr>
        <w:pBdr/>
        <w:spacing/>
        <w:ind/>
        <w:rPr/>
      </w:pPr>
      <w:r>
        <w:t xml:space="preserve">2.1.2数据安全管理认证证书</w:t>
      </w:r>
      <w:r/>
    </w:p>
    <w:p>
      <w:pPr>
        <w:pBdr/>
        <w:spacing/>
        <w:ind/>
        <w:rPr/>
      </w:pPr>
      <w:r>
        <w:rPr>
          <w:sz w:val="21"/>
        </w:rPr>
        <w:t xml:space="preserve">我公司（北京国舜科技股份有限公司）作为深耕网络安全领域多年的专业安全服务厂商，高度重视数据安全管理能力的建设与合规认证。公司在数据安全治理、数据安全评估、数据分类分级、数据安全风险评估、数据安全防护体系建设等方面已形成完整的技术服务体系和标准化交付流程，并通过中国网络安全审查技术与认证中心（CCRC）的严格审核，成功获得数据安全管理认证证书。</w:t>
      </w:r>
      <w:r/>
    </w:p>
    <w:p>
      <w:pPr>
        <w:pBdr/>
        <w:spacing/>
        <w:ind/>
        <w:rPr/>
      </w:pPr>
      <w:r>
        <w:rPr>
          <w:sz w:val="21"/>
        </w:rPr>
        <w:t xml:space="preserve">该证书的取得，标志着公司在数据安全管理领域达到了国家认证机构认可的能力水平，充分体现了公司在组织管理、制度流程、人员能力、技术工具、项目实施、服务保障等多个维度对数据安全合规要求的全面符合。证书的发证机构为中国网络安全审查技术与认证中心，证书编号、有效期限等具体信息以随本投标文件提交的附件证书扫描件为准。所附证书扫描件清晰完整，可供评标委员会核验，扫描件与原件一致。</w:t>
      </w:r>
      <w:r/>
    </w:p>
    <w:p>
      <w:pPr>
        <w:pBdr/>
        <w:spacing/>
        <w:ind/>
        <w:rPr/>
      </w:pPr>
      <w:r>
        <w:rPr>
          <w:sz w:val="21"/>
        </w:rPr>
        <w:t xml:space="preserve">公司将以该认证为基石，进一步落实数据安全法律法规和标准规范要求，将数据安全管理能力有效融入本项目各项安全服务中，在数据安全风险评估、数据安全管理制度优化、数据安全技术防护、数据安全应急响应等具体服务环节严格遵循认证体系要求，确保客户数据资产在服务全过程得到有效保护。同时，公司将持续完善数据安全管理体系，定期开展内部审核和管理评审，保持认证资质的持续有效性，并接受认证机构的监督审核，始终以高标准、严要求为客户提供可靠的数据安全服务。</w:t>
      </w:r>
      <w:r/>
    </w:p>
    <w:p>
      <w:pPr>
        <w:pBdr/>
        <w:spacing/>
        <w:ind/>
        <w:rPr/>
      </w:pPr>
      <w:r>
        <w:rPr>
          <w:sz w:val="21"/>
        </w:rPr>
        <w:t xml:space="preserve">本证书作为企业数据安全管理能力的权威证明，也是公司服务能力的重要组成部分。在项目实施过程中，公司将根据项目需求投入具备数据安全管理能力的专业团队，依托认证体系规范服务行为，确保数据安全服务交付质量。</w:t>
      </w:r>
      <w:r/>
    </w:p>
    <w:p>
      <w:pPr>
        <w:pBdr/>
        <w:spacing/>
        <w:ind/>
        <w:rPr/>
      </w:pPr>
      <w:r>
        <w:t xml:space="preserve">2.1.3数据安全认证能力专项说明</w:t>
      </w:r>
      <w:r/>
    </w:p>
    <w:p>
      <w:pPr>
        <w:pBdr/>
        <w:spacing/>
        <w:ind/>
        <w:rPr/>
      </w:pPr>
      <w:r>
        <w:t xml:space="preserve">2.1.3数据安全认证能力专项说明</w:t>
      </w:r>
      <w:r/>
    </w:p>
    <w:p>
      <w:pPr>
        <w:pBdr/>
        <w:spacing/>
        <w:ind/>
        <w:rPr/>
      </w:pPr>
      <w:r>
        <w:rPr>
          <w:sz w:val="21"/>
        </w:rPr>
        <w:t xml:space="preserve">我公司高度重视数据安全能力建设，已建立覆盖数据安全评估、数据安全管理、数据安全服务等维度的全方位认证体系。所持有的数据安全相关认证证书均由国家权威机构颁发，具备高度的专业性和公信力，充分证明我公司在数据安全领域的技术实力和服务水平。相关认证证书的名称、发证机构、证书编号及有效期已在投标文件资格证明材料中完整列示，可供采购人随时核查。</w:t>
      </w:r>
      <w:r/>
    </w:p>
    <w:p>
      <w:pPr>
        <w:pBdr/>
        <w:spacing/>
        <w:ind/>
        <w:rPr/>
      </w:pPr>
      <w:r>
        <w:rPr>
          <w:sz w:val="21"/>
        </w:rPr>
        <w:t xml:space="preserve">我公司数据安全认证能力与本项目数据安全服务需求高度匹配。一方面，数据安全评估类认证确保我公司能够依据国家相关标准和规范，对采购人的数据资产进行系统性的安全评估，准确识别数据在采集、存储、使用、传输、共享等环节面临的风险和脆弱性，为制定针对性的安全防护策略提供科学依据。另一方面，数据安全管理类认证体现了我公司在数据安全治理体系方面的成熟实践，涵盖数据安全组织架构、制度建设、人员管理、技术防护、应急响应等完整管理闭环，能够帮助采购人建立健全数据安全管理制度和操作规程，提升数据安全管理的规范性和有效性。</w:t>
      </w:r>
      <w:r/>
    </w:p>
    <w:p>
      <w:pPr>
        <w:pBdr/>
        <w:spacing/>
        <w:ind/>
        <w:rPr/>
      </w:pPr>
      <w:r>
        <w:rPr>
          <w:sz w:val="21"/>
        </w:rPr>
        <w:t xml:space="preserve">通过上述认证能力的落地应用，我公司能够为采购人提供合规、可靠的数据安全防护。在服务执行过程中，我们将严格执行认证体系要求的各项流程和控制措施，确保数据安全服务工作始终处于受控状态。同时，认证体系所要求的持续改进机制，将推动我们不断优化数据安全服务方案，及时应对新出现的数据安全威胁和挑战，从而有效保障采购人数据资产的保密性、完整性和可用性，降低数据安全事件的发生概率和潜在影响，为采购人业务的稳定运行和高质量发展提供坚实的安全保障。</w:t>
      </w:r>
      <w:r/>
    </w:p>
    <w:p>
      <w:pPr>
        <w:pBdr/>
        <w:spacing/>
        <w:ind/>
        <w:rPr/>
      </w:pPr>
      <w:r>
        <w:t xml:space="preserve">2.2漏洞应急响应支撑能力</w:t>
      </w:r>
      <w:r/>
    </w:p>
    <w:p>
      <w:pPr>
        <w:pBdr/>
        <w:spacing/>
        <w:ind/>
        <w:rPr/>
      </w:pPr>
      <w:r>
        <w:t xml:space="preserve">2.2漏洞应急响应支撑能力</w:t>
      </w:r>
      <w:r/>
    </w:p>
    <w:p>
      <w:pPr>
        <w:pBdr/>
        <w:spacing/>
        <w:ind/>
        <w:rPr/>
      </w:pPr>
      <w:r>
        <w:rPr>
          <w:sz w:val="21"/>
        </w:rPr>
        <w:t xml:space="preserve">北京国舜科技股份有限公司已获得CNCERT省级网络安全应急服务支撑单位资质，这一资质充分体现了公司在网络安全应急领域的技术实力和责任担当。作为省级支撑单位，公司积极参与省内网络安全漏洞监测与通报工作，长期承担漏洞信息报送、风险预警和应急响应支持等职责，积累了覆盖多行业、多场景</w:t>
      </w:r>
      <w:r>
        <w:rPr>
          <w:sz w:val="21"/>
        </w:rPr>
        <w:t xml:space="preserve">的漏洞应急响应实战经验。公司设有专门的漏洞应急响应团队，由资深安全分析师、渗透测试专家和应急响应工程师组成，全天候保持应急响应机制待命，确保任何时间发现的安全漏洞都能得到及时关注和处置。公司建立了从漏洞发现、分析、研判到应急处置的完整闭环流程，涵盖漏洞信息收集、危害评估、影响范围判断、修复方案制定、复测验证和总结归档等多个环节。针对突发的安全漏洞事件，能够在第一时间启动应急响应流程，迅速调动技术资源，结合威胁情报和漏洞库数据，对漏洞原理、攻击路径和潜在影响进行深入分析，为客户提供精准、可落地的处置建议和技术</w:t>
      </w:r>
      <w:r>
        <w:rPr>
          <w:sz w:val="21"/>
        </w:rPr>
        <w:t xml:space="preserve">支撑。同时，公司还建立了漏洞应急知识库，将每次应急响应的经验沉淀固化，持续优化响应流程和防护策略，最大限度降低安全风险。在本项目中，公司将充分发挥自身在漏洞应急响应领域的专业优势，为采购方提供及时、专业的安全保障服务。具体而言，将建立与采购方安全团队的常态化联动机制，共享漏洞情报与威胁预警信息，协助采购方完善漏洞管理流程；定期开展漏洞应急响应桌面推演和实战演练，提升双方协同应对能力；在发生重大漏洞事件时，承诺第一时间响应，提供全天候技术支持，协助采购方快速完成漏洞修复和风险处置，确保网络环境的安全稳定运行。</w:t>
      </w:r>
      <w:r/>
    </w:p>
    <w:p>
      <w:pPr>
        <w:pBdr/>
        <w:spacing/>
        <w:ind/>
        <w:rPr/>
      </w:pPr>
      <w:r>
        <w:t xml:space="preserve">2.2.1CNCERT国家级网络安全应急服务支撑单位资质</w:t>
      </w:r>
      <w:r/>
    </w:p>
    <w:p>
      <w:pPr>
        <w:pBdr/>
        <w:spacing/>
        <w:ind/>
        <w:rPr/>
      </w:pPr>
      <w:r>
        <w:t xml:space="preserve">2.2.1CNCERT国家级网络安全应急服务支撑单位资质</w:t>
      </w:r>
      <w:r/>
    </w:p>
    <w:p>
      <w:pPr>
        <w:pBdr/>
        <w:spacing/>
        <w:ind/>
        <w:rPr/>
      </w:pPr>
      <w:r>
        <w:rPr>
          <w:sz w:val="21"/>
        </w:rPr>
        <w:t xml:space="preserve">我司（北京国舜科技股份有限公司）已正式获得CNCERT国家级网络安全应急服务支撑单位资质认定，相关证书扫描件随本部分附后，证书有效性以证书载明发证日期及有效期为准。该资质由国家计算机网络应急技术处理协调中心（CNCERT/CC）组织评审并授予，是国家层面对网络安全应急服务支撑机构技术实力、响应能力、处置经验及综合保障水平的权威认可。获得该资质，标志着我司在网络安全应急领域已具备国家级支撑服务能力，能够参与国家关键信息基础设施安全事件监测预警、应急处置、漏洞分析、溯源取证等重大任务。</w:t>
      </w:r>
      <w:r/>
    </w:p>
    <w:p>
      <w:pPr>
        <w:pBdr/>
        <w:spacing/>
        <w:ind/>
        <w:rPr/>
      </w:pPr>
      <w:r>
        <w:rPr>
          <w:sz w:val="21"/>
        </w:rPr>
        <w:t xml:space="preserve">我司高度</w:t>
      </w:r>
      <w:r>
        <w:rPr>
          <w:sz w:val="21"/>
        </w:rPr>
        <w:t xml:space="preserve">重视网络安全应急响应工作的体系化建设，围绕CNCERT国家级支撑单位职责要求，建立了7×24小时应急值守机制，配备专业应急响应团队和应急技术平台，能够对大规模网络安全事件进行快速研判与协同处置。同时，我司积极对接国家漏洞库与应急响应体系，在重大漏洞爆发、高危漏洞预警、勒索病毒攻击、数据泄露事件等场景下，可第一时间提供技术分析与处置建议，协助监管机构及行业用户降低安全风险。此外，我司长期参与国家级网络安全应急演练、重大活动保障及专项支撑工作，积累了丰富的实战经验，形成了成熟的事件分级响应、处置流程和报告机制。</w:t>
      </w:r>
      <w:r/>
    </w:p>
    <w:p>
      <w:pPr>
        <w:pBdr/>
        <w:spacing/>
        <w:ind/>
        <w:rPr/>
      </w:pPr>
      <w:r>
        <w:rPr>
          <w:sz w:val="21"/>
        </w:rPr>
        <w:t xml:space="preserve">此项资质的获得，不仅体现了行业主管单位对我司安全服务能力的高度认可，也为我司更好服务客户、履行企业社会责任提供了坚实的资质保障。我司承诺在资质有效期内持续按照CNCERT相关管理要求，不断提升应急响应技术能力和服务质量，确保支撑工作高效、规范、可靠。特此提供资质证明文件，以供评审专家审阅。</w:t>
      </w:r>
      <w:r/>
    </w:p>
    <w:p>
      <w:pPr>
        <w:pBdr/>
        <w:spacing/>
        <w:ind/>
        <w:rPr/>
      </w:pPr>
      <w:r>
        <w:t xml:space="preserve">2.2.2CNCERT省级网络安全应急服务支撑单位资质</w:t>
      </w:r>
      <w:r/>
    </w:p>
    <w:p>
      <w:pPr>
        <w:pBdr/>
        <w:spacing/>
        <w:ind/>
        <w:rPr/>
      </w:pPr>
      <w:r>
        <w:t xml:space="preserve">2.2.2CNCERT省级网络安全应急服务支撑单位资质</w:t>
      </w:r>
      <w:r/>
    </w:p>
    <w:p>
      <w:pPr>
        <w:pBdr/>
        <w:spacing/>
        <w:ind/>
        <w:rPr/>
      </w:pPr>
      <w:r>
        <w:rPr>
          <w:sz w:val="21"/>
        </w:rPr>
        <w:t xml:space="preserve">我公司已取得CNCERT省级网络安全应急服务支撑单位资质证书，发证机构为国家计算机网络应急技术处理协调中心（CNCERT）。该项资质是我公司在网络安全应急响应领域技术实力与服务水平的重要体现，标志着公司具备在省级区域内开展网络安全事件监测预警、应急处置、漏洞分析、威胁追踪等支撑工作的专业能力。</w:t>
      </w:r>
      <w:r/>
    </w:p>
    <w:p>
      <w:pPr>
        <w:pBdr/>
        <w:spacing/>
        <w:ind/>
        <w:rPr/>
      </w:pPr>
      <w:r>
        <w:rPr>
          <w:sz w:val="21"/>
        </w:rPr>
        <w:t xml:space="preserve">依托该资质，我公司建立了完善的省级网络安全应急响应工作机制，与属地网信、公安、通信管理等部门保持常态化协作，能够第一时间获取风险通报并协同处置。公司组建了由应急响应专家、安全分析工程师、渗透测试工程师和溯源取证人员构成的专项支撑小组，实行7×24小时值守，确保重大安全事件发生时能够快速响应、有效控制、准确溯源。</w:t>
      </w:r>
      <w:r/>
    </w:p>
    <w:p>
      <w:pPr>
        <w:pBdr/>
        <w:spacing/>
        <w:ind/>
        <w:rPr/>
      </w:pPr>
      <w:r>
        <w:rPr>
          <w:sz w:val="21"/>
        </w:rPr>
        <w:t xml:space="preserve">在具体支撑工作中，我公司积极参与省级网络安全应急演练、攻防对抗和重大活动保障任务，积累了丰富的实战经验。同时，公司持续完善应急响应工具箱、漏洞情报库和处置流程库，提升对新型威胁的感知与应对能力，并为省内关键信息基础设施和重要信息系统提供定制化应急预研、风险排查和整改加固建议，协助用户单位消除安全隐患。</w:t>
      </w:r>
      <w:r/>
    </w:p>
    <w:p>
      <w:pPr>
        <w:pBdr/>
        <w:spacing/>
        <w:ind/>
        <w:rPr/>
      </w:pPr>
      <w:r>
        <w:rPr>
          <w:sz w:val="21"/>
        </w:rPr>
        <w:t xml:space="preserve">资质证书扫描件详见本投标文件附件，证书编号及有效期以证书扫描件载明信息为准。我公司承诺持续保持并提升该资质的支撑能力，严格按照CNCERT及省级分中心的管理要求履行应急支撑单位职责，为用户单位提供高效、专业、可靠的网络安全应急响应服务。</w:t>
      </w:r>
      <w:r/>
    </w:p>
    <w:p>
      <w:pPr>
        <w:pBdr/>
        <w:spacing/>
        <w:ind/>
        <w:rPr/>
      </w:pPr>
      <w:r>
        <w:t xml:space="preserve">2.2.3漏洞应急响应机制与支撑能力说明</w:t>
      </w:r>
      <w:r/>
    </w:p>
    <w:p>
      <w:pPr>
        <w:pBdr/>
        <w:spacing/>
        <w:ind/>
        <w:rPr/>
      </w:pPr>
      <w:r>
        <w:t xml:space="preserve">2.2.3漏洞应急响应机制与支撑能力说明</w:t>
      </w:r>
      <w:r/>
    </w:p>
    <w:p>
      <w:pPr>
        <w:pBdr/>
        <w:spacing/>
        <w:ind/>
        <w:rPr/>
      </w:pPr>
      <w:r>
        <w:rPr>
          <w:b/>
          <w:sz w:val="21"/>
        </w:rPr>
        <w:t xml:space="preserve">漏洞应急响应机制：</w:t>
      </w:r>
      <w:r>
        <w:rPr>
          <w:sz w:val="21"/>
        </w:rPr>
        <w:t xml:space="preserve"> 建立漏洞发现、研判、处置、复测、上报的闭环管理流程，明确各环节职责与时限，确保漏洞及时有效应对。具体而言，漏洞发现阶段通过安全监测、渗透测试、众测、情报共享等多渠道收集漏洞信息，并对漏洞真实性、影响范围及危害程度进行专业研判；处置阶段依据漏洞等级启动相应应急流程，协调开发与运维人员实施修复或临时缓解措施；复测阶段对漏洞修复结果进行验证，确认风险消除；上报阶段按照监管要求及客户约定，将漏洞信息及处置情况形成报告并同步至相关方。所有环节均在统一平台记录留痕，实现漏洞全生命周期可追溯。</w:t>
      </w:r>
      <w:r/>
    </w:p>
    <w:p>
      <w:pPr>
        <w:pBdr/>
        <w:spacing/>
        <w:ind/>
        <w:rPr/>
      </w:pPr>
      <w:r>
        <w:rPr>
          <w:b/>
          <w:sz w:val="21"/>
        </w:rPr>
        <w:t xml:space="preserve">支撑能力：</w:t>
      </w:r>
      <w:r>
        <w:rPr>
          <w:sz w:val="21"/>
        </w:rPr>
        <w:t xml:space="preserve"> 公司配备专业漏洞应急响应团队，具备漏洞分析、修复验证等安全技术能力，依托专业漏洞管理工具与平台，实现漏洞全生命周期管控。团队全天候待命，能够快速响应突发漏洞事件，提供漏洞验证、影响评估及修复建议。公司漏洞库与国家级/行业级漏洞平台保持常态化联动，具备漏洞信息同步、共享与预警能力，可第一时间获取最新漏洞情报并转化为检测规则与防护策略。同时，公司作为国家级网络安全应急服务支撑单位，具备完善的应急响应预案与跨区域协同机制，可为项目提供有力的漏洞情报与应急支撑，确保各类安全漏洞得到快速、有效、闭环处置。</w:t>
      </w:r>
      <w:r/>
    </w:p>
    <w:p>
      <w:pPr>
        <w:pBdr/>
        <w:spacing/>
        <w:ind/>
        <w:rPr/>
      </w:pPr>
      <w:r>
        <w:t xml:space="preserve">2.3企业管理体系认证</w:t>
      </w:r>
      <w:r/>
    </w:p>
    <w:p>
      <w:pPr>
        <w:pBdr/>
        <w:spacing/>
        <w:ind/>
        <w:rPr/>
      </w:pPr>
      <w:r>
        <w:t xml:space="preserve">2.3企业管理体系认证</w:t>
      </w:r>
      <w:r/>
    </w:p>
    <w:p>
      <w:pPr>
        <w:pBdr/>
        <w:spacing/>
        <w:ind/>
        <w:rPr/>
      </w:pPr>
      <w:r>
        <w:rPr>
          <w:sz w:val="21"/>
        </w:rPr>
        <w:t xml:space="preserve">本公司已建立并持续运行规范的企业管理体系，覆盖质量管理、信息安全、信息技术服务、业务连续性及供应链安全等多个领域，相关认证证书扫描件随投标文件提供。主要认证包括：</w:t>
      </w:r>
      <w:r/>
    </w:p>
    <w:p>
      <w:pPr>
        <w:pStyle w:val="904"/>
        <w:pBdr/>
        <w:spacing/>
        <w:ind/>
        <w:rPr/>
      </w:pPr>
      <w:r>
        <w:t xml:space="preserve">ISO 9001 质量管理体系认证，覆盖网络安全服务相关的质量管理活动。该体系确保服务交付全流程的质量策划、质量控制与质量改进得到有效落实，为本项目提供标准化、可追溯的服务质量管理框架。</w:t>
      </w:r>
      <w:r/>
    </w:p>
    <w:p>
      <w:pPr>
        <w:pStyle w:val="904"/>
        <w:pBdr/>
        <w:spacing/>
        <w:ind/>
        <w:rPr/>
      </w:pPr>
      <w:r>
        <w:t xml:space="preserve">ISO 27001 信息安全管理体系认证，覆盖信息安全管理和服务过程。该体系通过系统化的信息安全风险评估、安全策略制定与持续监控，保障本项目在服务过程中对客户敏感信息和系统资产实施严格保护，满足金融行业信息安全管理要求。</w:t>
      </w:r>
      <w:r/>
    </w:p>
    <w:p>
      <w:pPr>
        <w:pStyle w:val="904"/>
        <w:pBdr/>
        <w:spacing/>
        <w:ind/>
        <w:rPr/>
      </w:pPr>
      <w:r>
        <w:t xml:space="preserve">ISO 20000 信息技术服务管理体系认证，覆盖IT服务的规划、实施、监控与改进。该体系与网络安全运营服务高度契合，能够确保本项目服务流程规范、服务级别管理到位，并借助持续改进机制不断提升服务效率与用户满意度。</w:t>
      </w:r>
      <w:r/>
    </w:p>
    <w:p>
      <w:pPr>
        <w:pStyle w:val="904"/>
        <w:pBdr/>
        <w:spacing/>
        <w:ind/>
        <w:rPr/>
      </w:pPr>
      <w:r>
        <w:t xml:space="preserve">ISO 22301 业务连续性管理体系认证，覆盖业务连续性管理框架的建立与运行，为应对突发事件和重大网络安全事件时保持服务连续性提供保障，确保本项目在极端情况下仍能履行服务承诺。</w:t>
      </w:r>
      <w:r/>
    </w:p>
    <w:p>
      <w:pPr>
        <w:pStyle w:val="904"/>
        <w:pBdr/>
        <w:spacing/>
        <w:ind/>
        <w:rPr/>
      </w:pPr>
      <w:r>
        <w:t xml:space="preserve">ISO 28000 供应链安全管理体系认证，覆盖供应链安全管理，有效识别并管控服务供应链中的潜在安全风险，保障本项目中涉及的产品与服务供应链的可信与安全。</w:t>
      </w:r>
      <w:r/>
    </w:p>
    <w:p>
      <w:pPr>
        <w:pBdr/>
        <w:spacing/>
        <w:ind/>
        <w:rPr/>
      </w:pPr>
      <w:r>
        <w:rPr>
          <w:sz w:val="21"/>
        </w:rPr>
        <w:t xml:space="preserve">各证书的具体认证范围、证书编号及有效期以附件中证书扫描件为准。上述管理体系的建立与运行，不是孤立的制度文件，而是彼此衔接、协同运行的一体化管理体系，为本项目网络安全服务的质量保障、信息安全管控、服务连续性支撑和持续改进提供了坚实的制度基础，能够有效支撑本项目各项服务工作的规范实施，并充分体现本公司作为专业安全服务商的管理成熟度与综合实力。</w:t>
      </w:r>
      <w:r/>
    </w:p>
    <w:p>
      <w:pPr>
        <w:pBdr/>
        <w:spacing/>
        <w:ind/>
        <w:rPr/>
      </w:pPr>
      <w:r>
        <w:t xml:space="preserve">2.3.1GB/T29490知识产权管理体系认证</w:t>
      </w:r>
      <w:r/>
    </w:p>
    <w:p>
      <w:pPr>
        <w:pBdr/>
        <w:spacing/>
        <w:ind/>
        <w:rPr/>
      </w:pPr>
      <w:r>
        <w:t xml:space="preserve">2.3.1GB/T29490知识产权管理体系认证</w:t>
      </w:r>
      <w:r/>
    </w:p>
    <w:p>
      <w:pPr>
        <w:pBdr/>
        <w:spacing/>
        <w:ind/>
        <w:rPr/>
      </w:pPr>
      <w:r>
        <w:rPr>
          <w:sz w:val="21"/>
        </w:rPr>
        <w:t xml:space="preserve">我司提供GB/T29490知识产权管理体系认证证书的清晰扫描件，保证该证书真实有效，且在投标有效期内持续有效。该证书作为本投标文件的附件一并提交，用于证明我司在知识产权管理方面符合国家标准要求。</w:t>
      </w:r>
      <w:r/>
    </w:p>
    <w:p>
      <w:pPr>
        <w:pBdr/>
        <w:spacing/>
        <w:ind/>
        <w:rPr/>
      </w:pPr>
      <w:r>
        <w:rPr>
          <w:sz w:val="21"/>
        </w:rPr>
        <w:t xml:space="preserve">我司依据GB/T29490《企业知识产权管理规范》建立了覆盖知识产权获取、维护、运用、保护全过程的管理体系，将知识产权管理贯穿于技术研发、产品设计、服务交付等核心环节。在本次网络安全服务项目中，该体系为我司的自主可控工具研发、漏洞情报分析、安全服务方案设计等提供了坚实的制度保障，确保相关技术成果的权属清晰、合法合规。同时，我司通过内部审核与管理评审持续改进体系运行效率，每年定期开展知识产权相关培训，提升全员知识产权保护意识，确保研发成果能够及</w:t>
      </w:r>
      <w:r>
        <w:rPr>
          <w:sz w:val="21"/>
        </w:rPr>
        <w:t xml:space="preserve">时、规范地申请专利、软件著作权等权利保护，有效防止技术泄密与侵权风险。我司的知识产权管理方针与目标明确，资源配置充分，已形成一套规范化的管理流程与操作文件。在日常运行中，我司建立了知识产权信息数据库，对专利、软件著作权、商标等知识产权资产进行分类管理、动态监控，确保权利状态清晰有效；同时，严格执行技术文档的编制、审批、发布与存档流程，确保项目执行过程中各类文档、源码、报告等知识资产的完整性和可追溯性。本认证证书的持续有效也进一步验证了我司在知识产权领域的规范化、标准化管理水平，为招标方提供了可靠的管理保障。</w:t>
      </w:r>
      <w:r/>
    </w:p>
    <w:p>
      <w:pPr>
        <w:pBdr/>
        <w:spacing/>
        <w:ind/>
        <w:rPr/>
      </w:pPr>
      <w:r>
        <w:t xml:space="preserve">2.3.2ISO22301业务连续性管理体系认证</w:t>
      </w:r>
      <w:r/>
    </w:p>
    <w:p>
      <w:pPr>
        <w:pBdr/>
        <w:spacing/>
        <w:ind/>
        <w:rPr/>
      </w:pPr>
      <w:r>
        <w:t xml:space="preserve">2.3.2ISO22301业务连续性管理体系认证</w:t>
      </w:r>
      <w:r/>
    </w:p>
    <w:p>
      <w:pPr>
        <w:pBdr/>
        <w:spacing/>
        <w:ind/>
        <w:rPr/>
      </w:pPr>
      <w:r>
        <w:rPr>
          <w:sz w:val="21"/>
        </w:rPr>
        <w:t xml:space="preserve">我公司已获得ISO22301业务连续性管理体系认证证书，认证范围涵盖与网络安全服务相关的业务连续性管理活动。该认证由权威认证机构颁发，是对我公司业务连续性管理能力的高度认可，充分证明我公司在面对突发事件时，能够有效确保关键业务功能的持续运行，最大限度地降低中断风险。证书发证机构、编号及有效期以证书原件为准，扫描件附后。</w:t>
      </w:r>
      <w:r/>
    </w:p>
    <w:p>
      <w:pPr>
        <w:pBdr/>
        <w:spacing/>
        <w:ind/>
        <w:rPr/>
      </w:pPr>
      <w:r>
        <w:rPr>
          <w:sz w:val="21"/>
        </w:rPr>
        <w:t xml:space="preserve">在业务连续性管理体系建设方面，我公司严格遵循ISO22301标准要求，建立了涵盖业务影响分析、风险评估、策略制定、应急响应、恢复措施及持续改进全过程的管理框架。我们设立了专门的业务连续性管理组织，明确各级职责分工，确保各项管理措施落实到位。针对网络安全服务业务特点，我们制定了完善的应急预案和恢复计划，覆盖自然灾害、网络攻击、系统故障、人为失误等各类潜在风险场景。同时，我们定期开展业务连续性演练，验证应急预案的有效性和团队的响应能力，并针对演练中发现的问题及时整改，不断完善管理体系。</w:t>
      </w:r>
      <w:r/>
    </w:p>
    <w:p>
      <w:pPr>
        <w:pBdr/>
        <w:spacing/>
        <w:ind/>
        <w:rPr/>
      </w:pPr>
      <w:r>
        <w:rPr>
          <w:sz w:val="21"/>
        </w:rPr>
        <w:t xml:space="preserve">此外，我公司将业务连续性管理要求嵌入日常运营的各个环节，从基础设施冗余、数据备份、人员备岗到供应商协同，均建立了完善的保障机制。通过持续的监测、审计和改进，我们的业务连续性管理体系始终保持高效运转，能够为本项目提供稳定、连续、高质量的网络安全服务。</w:t>
      </w:r>
      <w:r/>
    </w:p>
    <w:p>
      <w:pPr>
        <w:pBdr/>
        <w:spacing/>
        <w:ind/>
        <w:rPr/>
      </w:pPr>
      <w:r>
        <w:rPr>
          <w:sz w:val="21"/>
        </w:rPr>
        <w:t xml:space="preserve">本项目服务周期长、保障要求高，业务连续性管理能力直接关系到服务质量的稳定性。凭借ISO22301认证所代表的规范化管理基础，我公司有信心在各类突发情况下快速恢复服务，确保客户网络安全防护工作不受影响。我们将在项目执行过程中，把业务连续性管理理念贯穿始终，结合项目实际需求制定专项保障方案，为客户提供安全可靠的服务保障。</w:t>
      </w:r>
      <w:r/>
    </w:p>
    <w:p>
      <w:pPr>
        <w:pBdr/>
        <w:spacing/>
        <w:ind/>
        <w:rPr/>
      </w:pPr>
      <w:r>
        <w:t xml:space="preserve">2.3.3ISO28000供应链安全管理体系认证</w:t>
      </w:r>
      <w:r/>
    </w:p>
    <w:p>
      <w:pPr>
        <w:pBdr/>
        <w:spacing/>
        <w:ind/>
        <w:rPr/>
      </w:pPr>
      <w:r>
        <w:t xml:space="preserve">2.3.3ISO28000供应链安全管理体系认证</w:t>
      </w:r>
      <w:r/>
    </w:p>
    <w:p>
      <w:pPr>
        <w:pBdr/>
        <w:spacing/>
        <w:ind/>
        <w:rPr/>
      </w:pPr>
      <w:r>
        <w:rPr>
          <w:sz w:val="21"/>
        </w:rPr>
        <w:t xml:space="preserve">北京国舜科技股份有限公司已通过ISO28000供应链安全管理体系认证，证书复印件及扫描件见投标文件相应位置。该认证覆盖我公司网络安全服务相关的供应链管理活动，具体范围包括供应商评估与选择、采购过程控制、供应链风险评估、信息安全产品与服务交付、分包方管理等环节。证书有效期以证书载明为准，目前处于有效期内。</w:t>
      </w:r>
      <w:r/>
    </w:p>
    <w:p>
      <w:pPr>
        <w:pBdr/>
        <w:spacing/>
        <w:ind/>
        <w:rPr/>
      </w:pPr>
      <w:r>
        <w:rPr>
          <w:sz w:val="21"/>
        </w:rPr>
        <w:t xml:space="preserve">ISO28000是国际标准化组织发布的供应链安全管理体系标准，旨在帮助组织识别供应链中的潜在安全风险，并建立系统化的管理机制以降低风险对业务连续性和客户价值的影响。我公司依据该标准建立了覆盖供应链全生命周期的安全管理体系，从战略层面到操作层面均形成了制度化、流程化的管理模式。在日常运营中，我们通过供应链安全策略制定、风险识别与评估、安全控制措施实施、绩效监测与审计、持续改进等环节，确保供应链的完整性、保密性和可用性，从而支撑网络安全服务的稳定交付。</w:t>
      </w:r>
      <w:r/>
    </w:p>
    <w:p>
      <w:pPr>
        <w:pBdr/>
        <w:spacing/>
        <w:ind/>
        <w:rPr/>
      </w:pPr>
      <w:r>
        <w:rPr>
          <w:sz w:val="21"/>
        </w:rPr>
        <w:t xml:space="preserve">在本次中邮资管网络安全服务项目中，ISO28000认证为项目供应链安全管理提供了有力保障。</w:t>
      </w:r>
      <w:r>
        <w:rPr>
          <w:sz w:val="21"/>
        </w:rPr>
        <w:t xml:space="preserve">具体而言，我公司能够运用成熟的管理框架，对项目中涉及的安全产品供应、工具采购、人员派遣、知识转移等供应链活动实施严格控制，防范因供应链环节引发的安全事件。同时，该认证所要求的应急响应与业务连续性机制，与项目整体服务保障方案高度契合，能够在供应商中断、物流异常、服务资源突发短缺等情况下快速恢复服务能力，确保项目持续稳定运行。此外，我公司将定期开展供应链安全审计和供应商绩效评估，确保所有上游环节符合高安全标准，并将相关管理记录作为项目服务过程文档的重要组成部分，向客户开放审查，以增强项目供应链的透明度和可信度。</w:t>
      </w:r>
      <w:r/>
    </w:p>
    <w:p>
      <w:pPr>
        <w:pBdr/>
        <w:spacing/>
        <w:ind/>
        <w:rPr/>
      </w:pPr>
      <w:r>
        <w:t xml:space="preserve">2.3.4管理体系认证运行情况说明</w:t>
      </w:r>
      <w:r/>
    </w:p>
    <w:p>
      <w:pPr>
        <w:pBdr/>
        <w:spacing/>
        <w:ind/>
        <w:rPr/>
      </w:pPr>
      <w:r>
        <w:t xml:space="preserve">2.3.4管理体系认证运行情况说明</w:t>
      </w:r>
      <w:r/>
    </w:p>
    <w:p>
      <w:pPr>
        <w:pBdr/>
        <w:spacing/>
        <w:ind/>
        <w:rPr/>
      </w:pPr>
      <w:r>
        <w:rPr>
          <w:sz w:val="21"/>
        </w:rPr>
        <w:t xml:space="preserve">北京国舜科技股份有限公司已建立并运行信息安全管理体系（ISO/IEC 27001）和质量管理体系（ISO 9001），认证范围覆盖网络安全服务相关活动。公司持有上述认证证书，均在有效期内，认证范围涵盖安全评估、安全运维、应急响应、安全咨询等核心业务场景，确保管理体系与业务实践高度融合。在日常</w:t>
      </w:r>
      <w:r>
        <w:rPr>
          <w:sz w:val="21"/>
        </w:rPr>
        <w:t xml:space="preserve">运行中，公司以ISO/IEC 27001信息安全管理体系为基石，围绕资产识别、风险评估、安全策略制定、访问控制、安全事件管理、业务连续性管理等关键环节，建立了成体系的制度流程和操作规范，形成计划、执行、检查、改进的闭环管理机制。同时，ISO 9001质量管理体系贯穿项目交付全过程，从需求调研、方案设计、实施执行到验收交付，均按照标准化流程进行质量控制，并通过项目质量检查、客户满意度调查、问题跟踪整改等手段保障服务品质。公司每年制定内部审核计划和管理评审计划，按计划开展覆盖全部门、全流程的内部审核，由具备资质</w:t>
      </w:r>
      <w:r>
        <w:rPr>
          <w:sz w:val="21"/>
        </w:rPr>
        <w:t xml:space="preserve">的内部审核员对体系运行的符合性和有效性进行独立评价，对发现的不符合项及时采取纠正与预防措施。管理评审由最高管理者主持，定期审议体系运行绩效、风险变化趋势、资源配置充分性及改进机会，确保管理体系持续适应业务发展和外部环境要求。公司还定期接受第三方认证机构的监督审核，跟踪最新标准要求与法规动态，及时修订体系文件并开展全员合规培训与意识提升活动。通过以上机制，公司确保信息安全管理体系和质量管理体系始终处于受控状态，并持续优化管理流程，提升服务效率与安全防护水平。具体认证机构、证书编号、有效期等以投标文件附件为准。</w:t>
      </w:r>
      <w:r/>
    </w:p>
    <w:p>
      <w:pPr>
        <w:pBdr/>
        <w:spacing/>
        <w:ind/>
        <w:rPr/>
      </w:pPr>
      <w:r>
        <w:t xml:space="preserve">2.4信息安全服务资质认证</w:t>
      </w:r>
      <w:r/>
    </w:p>
    <w:p>
      <w:pPr>
        <w:pBdr/>
        <w:spacing/>
        <w:ind/>
        <w:rPr/>
      </w:pPr>
      <w:r>
        <w:t xml:space="preserve">2.4信息安全服务资质认证</w:t>
      </w:r>
      <w:r/>
    </w:p>
    <w:p>
      <w:pPr>
        <w:pBdr/>
        <w:spacing/>
        <w:ind/>
        <w:rPr/>
      </w:pPr>
      <w:r>
        <w:rPr>
          <w:sz w:val="21"/>
        </w:rPr>
        <w:t xml:space="preserve">北京国舜科技股份有</w:t>
      </w:r>
      <w:r>
        <w:rPr>
          <w:sz w:val="21"/>
        </w:rPr>
        <w:t xml:space="preserve">限公司已获得多项信息安全服务相关资质认证，覆盖风险评估、应急处理、安全集成、数据安全等重点方向。上述资质代表我公司在信息安全服务领域已建立起标准化、系统化的管理体系，具备成熟的服务流程、专业的技术团队和规范的质量控制能力。具体资质类别包括：信息安全风险评估服务资质，用于支撑风险评估、漏洞扫描、渗透测试等安全评估服务；信息安全应急处理服务资质，用于保障安全事件监测、响应与应急处置服务的有效性；信息安全安全集成服务资质，用于规范安全架构设计、安全设备部署及安全加固等集成实施能力；数据安全评估相关资质，用于支持数</w:t>
      </w:r>
      <w:r>
        <w:rPr>
          <w:sz w:val="21"/>
        </w:rPr>
        <w:t xml:space="preserve">据安全风险评估、数据安全治理及合规咨询等专项服务。此外，我公司还持有与安全运维、业务连续性管理等相关的资质认证，进一步增强了整体服务的可靠性和连续性。这些资质均依据国家相关标准和行业规范获得，在服务过程中我公司严格执行，确保每一项安全服务均合规、可靠、可追溯。在本章节中，仅对上述资质体系进行总体说明，各类资质的服务范围、技术能力、人员配置及证明材料将在后续子章节中分别阐述，相关证书复印件详见投标文件附件。同时，我公司承诺在服务实施过程中，将根据项目需求合理运用相关资质，并接受用户对资质有效性和适用性的核验。</w:t>
      </w:r>
      <w:r/>
    </w:p>
    <w:p>
      <w:pPr>
        <w:pBdr/>
        <w:spacing/>
        <w:ind/>
        <w:rPr/>
      </w:pPr>
      <w:r>
        <w:t xml:space="preserve">2.4.1CCRC信息安全服务资质——风险评估类</w:t>
      </w:r>
      <w:r/>
    </w:p>
    <w:p>
      <w:pPr>
        <w:pBdr/>
        <w:spacing/>
        <w:ind/>
        <w:rPr/>
      </w:pPr>
      <w:r>
        <w:t xml:space="preserve">2.4.1CCRC信息安全服务资质——风险评估类</w:t>
      </w:r>
      <w:r/>
    </w:p>
    <w:p>
      <w:pPr>
        <w:pBdr/>
        <w:spacing/>
        <w:ind/>
        <w:rPr/>
      </w:pPr>
      <w:r>
        <w:rPr>
          <w:sz w:val="21"/>
        </w:rPr>
        <w:t xml:space="preserve">北京国舜科技股份有限公司持有有效的CCRC信息安全服务资质（风险评估类）证书。该资质由中国网络安全审查认证和市场监管大数据中心（CCRC）依据国家相关标准对信息安全服务机构进行综合评审后授予，是衡量企业在信息安全风险评估领域专业能力的重要标志。</w:t>
      </w:r>
      <w:r/>
    </w:p>
    <w:p>
      <w:pPr>
        <w:pBdr/>
        <w:spacing/>
        <w:ind/>
        <w:rPr/>
      </w:pPr>
      <w:r>
        <w:rPr>
          <w:sz w:val="21"/>
        </w:rPr>
        <w:t xml:space="preserve">公司凭借该资质，能够依据ISO/IEC 27001、GB/T 20984等标准规范，运用成熟的风险评估方法论，为客户提供覆盖信息资产识别、威胁建模、脆弱性检测、风险分析、风险计算与处置建议等全流程的风险评估服务。评估过程中，公司注重结合业务场景，综合采用文档审阅、人员访谈、配置核查、工具扫描和渗透测试等手段，确保评估结果的全面性和准确性。</w:t>
      </w:r>
      <w:r/>
    </w:p>
    <w:p>
      <w:pPr>
        <w:pBdr/>
        <w:spacing/>
        <w:ind/>
        <w:rPr/>
      </w:pPr>
      <w:r>
        <w:rPr>
          <w:sz w:val="21"/>
        </w:rPr>
        <w:t xml:space="preserve">在本项目中，公司将充分发挥风险评估类资质所代表的技术实力与服务经验，针对中邮资管的网络与信息系统开展系统化、专业化的风险评估，准确识别各类安全隐患与薄弱环节，提出切实可行的风险整改措施与安全优化建议，为整体安全防护策略的制定提供科学依据。同时，公司承诺严格遵循评估流程与保密要求，确保评估工作的规范性和数据安全性。</w:t>
      </w:r>
      <w:r/>
    </w:p>
    <w:p>
      <w:pPr>
        <w:pBdr/>
        <w:spacing/>
        <w:ind/>
        <w:rPr/>
      </w:pPr>
      <w:r>
        <w:rPr>
          <w:sz w:val="21"/>
        </w:rPr>
        <w:t xml:space="preserve">公司风险评估团队由多名具备CISP、CISSP、CISA等专业资质的高级安全顾问组成，团队成员长期从事金融、运营商等领域的风险评估与安全咨询工作，具备丰富的项目实战经验。公司将为本项目配备专项风险评估小组，由资深项目经理统筹协调，确保风险评估工作的质量和效率。</w:t>
      </w:r>
      <w:r/>
    </w:p>
    <w:p>
      <w:pPr>
        <w:pBdr/>
        <w:spacing/>
        <w:ind/>
        <w:rPr/>
      </w:pPr>
      <w:r>
        <w:rPr>
          <w:sz w:val="21"/>
        </w:rPr>
        <w:t xml:space="preserve">投标文件中已附CCRC信息安全服务资质（风险评估类）证书的清晰扫描件，证书编号及有效期等详细信息以附件为准。该证书目前处于有效状态，可在官方网站公开查询验证，特此说明。</w:t>
      </w:r>
      <w:r/>
    </w:p>
    <w:p>
      <w:pPr>
        <w:pBdr/>
        <w:spacing/>
        <w:ind/>
        <w:rPr/>
      </w:pPr>
      <w:r>
        <w:t xml:space="preserve">2.4.2CCRC信息安全服务资质——安全运维类</w:t>
      </w:r>
      <w:r/>
    </w:p>
    <w:p>
      <w:pPr>
        <w:pBdr/>
        <w:spacing/>
        <w:ind/>
        <w:rPr/>
      </w:pPr>
      <w:r>
        <w:t xml:space="preserve">2.4.2CCRC信息安全服务资质——安全运维类</w:t>
      </w:r>
      <w:r/>
    </w:p>
    <w:p>
      <w:pPr>
        <w:pBdr/>
        <w:spacing/>
        <w:ind/>
        <w:rPr/>
      </w:pPr>
      <w:r>
        <w:rPr>
          <w:sz w:val="21"/>
        </w:rPr>
        <w:t xml:space="preserve">我公司已通过中国网络安全审查技术与认证中心（CCRC）的严格审核，获得信息安全服务资质认证证书（安全运维类）。该证书是对我公司在信息安全运维服务领域专业能力与管理水平的高度认可，充分证明我公司能够依据国家相关标准及行业规范，为用户提供规范化、标准化、专业化的安全运维服务。我公司安全运维服务覆盖安全设备运维、安全加固、漏洞管理、日志审计、安全监控、应急响应支持等全方位工作内容，能够有效保障客户业务系统的持续稳定运行，及时发现并处置各类安全风险，降低系统遭受攻击的可能性。</w:t>
      </w:r>
      <w:r/>
    </w:p>
    <w:p>
      <w:pPr>
        <w:pBdr/>
        <w:spacing/>
        <w:ind/>
        <w:rPr/>
      </w:pPr>
      <w:r>
        <w:rPr>
          <w:sz w:val="21"/>
        </w:rPr>
        <w:t xml:space="preserve">在运维服务实施</w:t>
      </w:r>
      <w:r>
        <w:rPr>
          <w:sz w:val="21"/>
        </w:rPr>
        <w:t xml:space="preserve">过程中，我公司严格遵循CCRC信息安全服务资质认证的各项要求，建立了完善的信息安全运维管理体系，涵盖服务流程管理、人员权限管理、操作行为审计、配置变更控制、事件分级响应、服务报告编制与交付等关键环节。我们通过PDCA循环机制持续优化运维服务流程，结合自动化运维工具和安全监控平台，实现对客户信息系统资产、脆弱性、威胁及安全事件的动态跟踪与闭环管理。同时，我公司注重运维团队的专业能力建设，所有参与运维服务的技术人员均经过严格培训与考核，具备扎实的安全基础知识和丰富的实战经验，能够快速响应并妥善处置各类安全事件。</w:t>
      </w:r>
      <w:r/>
    </w:p>
    <w:p>
      <w:pPr>
        <w:pBdr/>
        <w:spacing/>
        <w:ind/>
        <w:rPr/>
      </w:pPr>
      <w:r>
        <w:rPr>
          <w:sz w:val="21"/>
        </w:rPr>
        <w:t xml:space="preserve">我公司在安全运维服务中坚持“预防为主、主动防御、快速响应”的原则，定期开展系统安全巡检、风险评估、渗透测试、策略优化等工作，帮助客户发现潜在安全隐患并提出改进建议。通过建立完善的应急预案和应急响应机制，我们能够在安全事件发生时迅速启动处置流程，最大限度减少事件造成的影响和损失。此外，我们还提供安全运维报告、安全趋势分析、安全咨询服务等增值服务，为客户管理层决策提供有力支撑。</w:t>
      </w:r>
      <w:r/>
    </w:p>
    <w:p>
      <w:pPr>
        <w:pBdr/>
        <w:spacing/>
        <w:ind/>
        <w:rPr/>
      </w:pPr>
      <w:r>
        <w:rPr>
          <w:sz w:val="21"/>
        </w:rPr>
        <w:t xml:space="preserve">CCRC信息安全服务资质认证证书（安全运维类）的获得，不仅体现了公司在安全服务领域的综合实力，也体现了公司对服务质量和客户满意度的高度重视。我公司将以此为契机，持续提升安全运维服务能力，严格按照认证要求规范服务交付，不断增强客户信任，致力于成为客户最值得信赖的信息安全服务合作伙伴。证书具体编号、认证级别及有效期以证书扫描件为准，详见附件。</w:t>
      </w:r>
      <w:r/>
    </w:p>
    <w:p>
      <w:pPr>
        <w:pBdr/>
        <w:spacing/>
        <w:ind/>
        <w:rPr/>
      </w:pPr>
      <w:r>
        <w:t xml:space="preserve">2.4.3CCRC信息安全服务资质——应急处理类</w:t>
      </w:r>
      <w:r/>
    </w:p>
    <w:p>
      <w:pPr>
        <w:pBdr/>
        <w:spacing/>
        <w:ind/>
        <w:rPr/>
      </w:pPr>
      <w:r>
        <w:t xml:space="preserve">2.4.3CCRC信息安全服务资质——应急处理类</w:t>
      </w:r>
      <w:r/>
    </w:p>
    <w:p>
      <w:pPr>
        <w:pBdr/>
        <w:spacing/>
        <w:ind/>
        <w:rPr/>
      </w:pPr>
      <w:r>
        <w:rPr>
          <w:sz w:val="21"/>
        </w:rPr>
        <w:t xml:space="preserve">我方具备CCRC信息安全服务资质（应急处理类），证书复印件（或扫描件）详见本投标文件相关附件。资质级别及有效期以证书登记信息为准（待补充）。该资质证明我方在信息安全应急响应领域具备规范化的服务流程和专业技术能力，能够为本项目提供可靠的应急处理保障。</w:t>
      </w:r>
      <w:r/>
    </w:p>
    <w:p>
      <w:pPr>
        <w:pBdr/>
        <w:spacing/>
        <w:ind/>
        <w:rPr/>
      </w:pPr>
      <w:r>
        <w:rPr>
          <w:sz w:val="21"/>
        </w:rPr>
        <w:t xml:space="preserve">CCRC信息安全服务资质（应急处理类）是中国网络安全审查技术与认证中心针对信息安全应急处理服务颁发的专业资质，旨在评价服务提供方在网络安全事件监测预警、应急处置、溯源分析、恢复重建等方面的综合能力。我方通过该项认证，表明在应急处理服务管理、技术工具、人员配备、流程规范等方面均达到国家标准要求。</w:t>
      </w:r>
      <w:r/>
    </w:p>
    <w:p>
      <w:pPr>
        <w:pBdr/>
        <w:spacing/>
        <w:ind/>
        <w:rPr/>
      </w:pPr>
      <w:r>
        <w:rPr>
          <w:sz w:val="21"/>
        </w:rPr>
        <w:t xml:space="preserve">依托该资质，我方建立了一套完善的应急响应服务体系，涵盖应急响应预案制定、事件分级分类、快速研判与止损、病毒查杀与系统加固、日志溯源与证据留存、业务恢复与持续监控等关键环节。服务团队由具备CISP、CISSP、CISAW等专业认证的资深安全专家组成，能够针对网络攻击、勒索病毒、数据泄露、漏洞利用等各类安全事件提供7×24小时应急响应支持。同时，我方配备自研的应急响应工具箱和威胁情报平台，可显著提升事件处置效率和准确性。</w:t>
      </w:r>
      <w:r/>
    </w:p>
    <w:p>
      <w:pPr>
        <w:pBdr/>
        <w:spacing/>
        <w:ind/>
        <w:rPr/>
      </w:pPr>
      <w:r>
        <w:rPr>
          <w:sz w:val="21"/>
        </w:rPr>
        <w:t xml:space="preserve">在本项目中，我方将充分发挥该资质的优势，为采购人提供及时、专业、高效的应急处理服务，包括但不限于：安全事件应急响应、应急演练与桌面推演、应急预案编制与优化、应急值守与快速出动等。我方承诺严格按照CCRC应急处理服务规范实施各项操作，确保在突发安全事件时能够迅速控制事态、降低损失，并协助采购人完成事件复盘与安全能力提升。</w:t>
      </w:r>
      <w:r/>
    </w:p>
    <w:p>
      <w:pPr>
        <w:pBdr/>
        <w:spacing/>
        <w:ind/>
        <w:rPr/>
      </w:pPr>
      <w:r>
        <w:t xml:space="preserve">2.4.4信息安全服务资质能力综合说明</w:t>
      </w:r>
      <w:r/>
    </w:p>
    <w:p>
      <w:pPr>
        <w:pBdr/>
        <w:spacing/>
        <w:ind/>
        <w:rPr/>
      </w:pPr>
      <w:r>
        <w:t xml:space="preserve">2.4.4信息安全服务资质能力综合说明</w:t>
      </w:r>
      <w:r/>
    </w:p>
    <w:p>
      <w:pPr>
        <w:pBdr/>
        <w:spacing/>
        <w:ind/>
        <w:rPr/>
      </w:pPr>
      <w:r>
        <w:rPr>
          <w:sz w:val="21"/>
        </w:rPr>
        <w:t xml:space="preserve">本公司（北京国舜科技股份有限公司）高度重视信息安全服务能力建设，长期持有并持续完善一系列由国家级权威机构认证的信息安全服务资质，涵盖风险评估、安全运维、应急处理、安全集成等多个方向。这些资质在服务范围上覆盖事前评估、事中防护、事后应急等全生命周期安全服务需求，充分体现了公司在体系化、标准化、专业化安全服务方面的综合实力。</w:t>
      </w:r>
      <w:r/>
    </w:p>
    <w:p>
      <w:pPr>
        <w:pBdr/>
        <w:spacing/>
        <w:ind/>
        <w:rPr/>
      </w:pPr>
      <w:r>
        <w:rPr>
          <w:sz w:val="21"/>
        </w:rPr>
        <w:t xml:space="preserve">在资质等级方面，公司所持信息安全服务资质均达到行业领先水平，具备承接大型、复杂、高安全等级项目的能力。资质适用范围广泛，既适用于金融行业，也适用于电信、能源、政务等关键信息基础设施领域，能够满足本项目对服务商资质能力的高标准要求。相关资质的取得建立在公司多年安全技术研究、项目实践积累和严格内部管理基础之上，具有较高的含金量和行业公信力。</w:t>
      </w:r>
      <w:r/>
    </w:p>
    <w:p>
      <w:pPr>
        <w:pBdr/>
        <w:spacing/>
        <w:ind/>
        <w:rPr/>
      </w:pPr>
      <w:r>
        <w:rPr>
          <w:sz w:val="21"/>
        </w:rPr>
        <w:t xml:space="preserve">针对中邮资管2026-2027年网络安全服务采购项目，公司所持有的信息安全服务资质对本项目具有坚实的支撑作用：一是资质范围与本项目需求高度契合，风险评估类资质可支撑安全评估与风险识别工作，安全运维类资质可保障日常安全运营与监测响应，应急处理类资质可确保安全事件发生时快速介入与有效处置；二是资质等级能够匹配本项目对服务深度和服务质量的要求，确保各项服务在合规框架下高标准交付；三是资质所体现的管理体系和安全服务流程，为本项目建立规范化的服务机制、质量控制体系和持续改进机制提供了有力保障。</w:t>
      </w:r>
      <w:r/>
    </w:p>
    <w:p>
      <w:pPr>
        <w:pBdr/>
        <w:spacing/>
        <w:ind/>
        <w:rPr/>
      </w:pPr>
      <w:r>
        <w:rPr>
          <w:sz w:val="21"/>
        </w:rPr>
        <w:t xml:space="preserve">此外，公司严格遵循国家及行业主管部门对信息安全服务机构的管理要求，每年接受监管机构的监督审查，确保各项资质持续有效、稳定可靠。在项目实施过程中，公司将以相应资质为依托，配备具备对应能力的专业团队，严格按照资质授权范围开展服务，确保服务过程合法合规、服务结果专业可信，为采购人构建全面、主动、高效的信息安全防御体系奠定坚实基础。</w:t>
      </w:r>
      <w:r/>
    </w:p>
    <w:p>
      <w:pPr>
        <w:pBdr/>
        <w:spacing/>
        <w:ind/>
        <w:rPr/>
      </w:pPr>
      <w:r>
        <w:t xml:space="preserve">三、财务状况</w:t>
      </w:r>
      <w:r/>
    </w:p>
    <w:p>
      <w:pPr>
        <w:pBdr/>
        <w:spacing/>
        <w:ind/>
        <w:rPr/>
      </w:pPr>
      <w:r>
        <w:t xml:space="preserve">三、财务状况</w:t>
      </w:r>
      <w:r/>
    </w:p>
    <w:p>
      <w:pPr>
        <w:pBdr/>
        <w:spacing/>
        <w:ind/>
        <w:rPr/>
      </w:pPr>
      <w:r>
        <w:rPr>
          <w:sz w:val="21"/>
        </w:rPr>
        <w:t xml:space="preserve">北京国舜科技股份有限公司财务状况稳健，经营状况良好。公司长期坚持稳健的财务政策与风险控制体系，资产结构合理，流动性充裕，负债水平始终处于安全可控范围。近三年资产负债率保持在合理区间，体现公司具备较强的长期偿债能力与财务安全性；盈利能力稳定，利润率水平优良，核心业务收入持续增长，成本控制与运营效率表现突出，各项财务指标均满足本项目招标文件对投标人财务状况的资格要求。</w:t>
      </w:r>
      <w:r/>
    </w:p>
    <w:p>
      <w:pPr>
        <w:pBdr/>
        <w:spacing/>
        <w:ind/>
        <w:rPr/>
      </w:pPr>
      <w:r>
        <w:rPr>
          <w:sz w:val="21"/>
        </w:rPr>
        <w:t xml:space="preserve">为进一步证明公司财务实力，我公司随投标文件提供经合法会计师事务所审计的近年财务审计报告及银行资信证明，全面、真实地反映了公司的资产结构、偿债能力与经营成果。上述审计报告依据国家相关会计准则编制，审计意见类型为标准无保留意见，数据真实、准确、完整；银行资信证明由具备资质的金融机构出具，进一步佐证公司信用状况与资金周转能力。上述材料可作为公司履约能力和抗风险能力的有力佐证，确保我公司在中标后能够为本项目投入充足的资源，保障服务顺利交付。</w:t>
      </w:r>
      <w:r/>
    </w:p>
    <w:p>
      <w:pPr>
        <w:pBdr/>
        <w:spacing/>
        <w:ind/>
        <w:rPr/>
      </w:pPr>
      <w:r>
        <w:rPr>
          <w:sz w:val="21"/>
        </w:rPr>
        <w:t xml:space="preserve">我公司在财务报表编制过程中遵循审慎性原则，各项资产减值准备计提充足，收入确认符合企业会计准则要求，不存在重大或有负债或影响持续经营的重大不确定事项。同时，公司建立了完善的财务管理制度与内控体系，确保财务信息质量，为公司长期稳定发展及本项目持续履约提供坚实保障。</w:t>
      </w:r>
      <w:r/>
    </w:p>
    <w:p>
      <w:pPr>
        <w:pBdr/>
        <w:spacing/>
        <w:ind/>
        <w:rPr/>
      </w:pPr>
      <w:r>
        <w:rPr>
          <w:sz w:val="21"/>
        </w:rPr>
        <w:t xml:space="preserve">关于财务状况的详细数据、资产负债率达标测算、利润率计算说明以及审计报告附件等，详见本技术标书“三、3 财务状况明细”章节。</w:t>
      </w:r>
      <w:r/>
    </w:p>
    <w:p>
      <w:pPr>
        <w:pBdr/>
        <w:spacing/>
        <w:ind/>
        <w:rPr/>
      </w:pPr>
      <w:r>
        <w:t xml:space="preserve">3.1财务审计报告完备性</w:t>
      </w:r>
      <w:r/>
    </w:p>
    <w:p>
      <w:pPr>
        <w:pBdr/>
        <w:spacing/>
        <w:ind/>
        <w:rPr/>
      </w:pPr>
      <w:r>
        <w:t xml:space="preserve">3.1财务审计报告完备性</w:t>
      </w:r>
      <w:r/>
    </w:p>
    <w:p>
      <w:pPr>
        <w:pBdr/>
        <w:spacing/>
        <w:ind/>
        <w:rPr/>
      </w:pPr>
      <w:r>
        <w:rPr>
          <w:sz w:val="21"/>
        </w:rPr>
        <w:t xml:space="preserve">本公司（北京国舜科技股份有限公司）充分理解并响应招标文件对财务审计报告完备性的要求。财务审计报告是评估投标人财务健康状况和履约能力的重要依据，本公司将严格按照招标文件的规定，提供经合法审计机构审计的完整财务审计报告，确保报告的真实性、准确性和完整性。</w:t>
      </w:r>
      <w:r/>
    </w:p>
    <w:p>
      <w:pPr>
        <w:pBdr/>
        <w:spacing/>
        <w:ind/>
        <w:rPr/>
      </w:pPr>
      <w:r>
        <w:rPr>
          <w:sz w:val="21"/>
        </w:rPr>
        <w:t xml:space="preserve">审计报告范围：审计报告将涵盖资产负债表、利润表、现金流量表及所有者权益变动表等全套财务报表，并附有审计意见、审计机构资质证明及注册会计师签字页。报告所反映的财务状况和经营成果将真实、公允地展示本公司的财务实力。审计机构将依据中国注册会计师审计准则执行审计程序，对财务报表的合法性、公允性发表明确的审计意见。</w:t>
      </w:r>
      <w:r/>
    </w:p>
    <w:p>
      <w:pPr>
        <w:pBdr/>
        <w:spacing/>
        <w:ind/>
        <w:rPr/>
      </w:pPr>
      <w:r>
        <w:rPr>
          <w:sz w:val="21"/>
        </w:rPr>
        <w:t xml:space="preserve">报告期间与口径：本次提供的财务审计报告将严格遵循招标文件要求的报告期间，采用一致的会计政策和会计估计，确保各期间数据的可比性。报告中的财务数据来源于经审计的账簿凭证，不存在未披露的重大事项或或有负债，所有关联交易及重大事项均已按准则要求充分披露。审计报告附注将详细说明重要会计政策、会计估计变更及对财务数据的影响，确保评审专家能够全面理解报表项目的内涵与计量基础。</w:t>
      </w:r>
      <w:r/>
    </w:p>
    <w:p>
      <w:pPr>
        <w:pBdr/>
        <w:spacing/>
        <w:ind/>
        <w:rPr/>
      </w:pPr>
      <w:r>
        <w:rPr>
          <w:sz w:val="21"/>
        </w:rPr>
        <w:t xml:space="preserve">后续提交与计算说明：在投标文件中，本公司将提供财务审计报告的完整文本，包括报告正文、财务报表附注、审计机构营业执照及执业证书等资质证明文件。同时，将针对资产负债率、利润率等关键财务指标的计算过程进行单独说明，明确各项指标所采用的分子分母口径和数据来源，以便评审专家清晰了解各项指标的计算依据和结果。相关提交材料将确保与审计报告内容一致，不存在遗漏或矛盾之处。</w:t>
      </w:r>
      <w:r/>
    </w:p>
    <w:p>
      <w:pPr>
        <w:pBdr/>
        <w:spacing/>
        <w:ind/>
        <w:rPr/>
      </w:pPr>
      <w:r>
        <w:rPr>
          <w:sz w:val="21"/>
        </w:rPr>
        <w:t xml:space="preserve">完备性承诺：本公司承诺所提交的财务审计报告在内容上完整无缺页，在逻辑上前后一致，在数据上勾稽相符。所有报表项目与附注说明相互对应，审计意见类型与报告结论保持一致。如评审过程中发现任何与报告不一致或遗漏的情况，本公司愿意承担相应责任，并全力配合评审专家进行必要的核验与澄清。</w:t>
      </w:r>
      <w:r/>
    </w:p>
    <w:p>
      <w:pPr>
        <w:pBdr/>
        <w:spacing/>
        <w:ind/>
        <w:rPr/>
      </w:pPr>
      <w:r>
        <w:t xml:space="preserve">3.1.1财务审计报告提交</w:t>
      </w:r>
      <w:r/>
    </w:p>
    <w:p>
      <w:pPr>
        <w:pBdr/>
        <w:spacing/>
        <w:ind/>
        <w:rPr/>
      </w:pPr>
      <w:r>
        <w:t xml:space="preserve">3.1.1财务审计报告提交</w:t>
      </w:r>
      <w:r/>
    </w:p>
    <w:p>
      <w:pPr>
        <w:pBdr/>
        <w:spacing/>
        <w:ind/>
        <w:rPr/>
      </w:pPr>
      <w:r>
        <w:rPr>
          <w:sz w:val="21"/>
        </w:rPr>
        <w:t xml:space="preserve">本公司（北京国舜科技股份有限公司）严格按照招标文件要求，承诺提交经审计的</w:t>
      </w:r>
      <w:r>
        <w:rPr>
          <w:sz w:val="21"/>
        </w:rPr>
        <w:t xml:space="preserve">2025年度财务审计报告，作为投标文件的重要组成部分。报告类型为2025年度审计报告，编制基础为持续经营假设，遵循《企业会计准则》及国家相关财务会计法规，确保报告内容的真实性、完整性与公允性。报告将完整包含资产负债表、利润表、现金流量表三大主表及财务报表附注，其中资产负债表反映截至2025年12月31日的资产、负债及所有者权益状况；利润表如实列示2025年度经营成果；现金流量表清晰呈现经营活动、投资活动及筹资活动的现金流入流出情况；财务报表附注对重要会计政策、会计估计、报表项目明细及或有事项等进行充分说明。</w:t>
      </w:r>
      <w:r/>
    </w:p>
    <w:p>
      <w:pPr>
        <w:pBdr/>
        <w:spacing/>
        <w:ind/>
        <w:rPr/>
      </w:pPr>
      <w:r>
        <w:rPr>
          <w:sz w:val="21"/>
        </w:rPr>
        <w:t xml:space="preserve">审计报告将由具备合法资质的会计师事务所承接并出具，该事务所依法持有会计师事务所执业证书，签字注册会计师具备执业资格。报告将加盖会计师事务所公章、注册会计师执业印章，并附有会计师事务所营业执照复印件及执业证书复印件等证明材料。报告同时包含标准格式的审计意见页，由注册会计师签字并注明报告日期。</w:t>
      </w:r>
      <w:r/>
    </w:p>
    <w:p>
      <w:pPr>
        <w:pBdr/>
        <w:spacing/>
        <w:ind/>
        <w:rPr/>
      </w:pPr>
      <w:r>
        <w:rPr>
          <w:sz w:val="21"/>
        </w:rPr>
        <w:t xml:space="preserve">我公司确保审计报告按照招标文件规定的格式和内容要求编制，财务报表的编制与列报严格遵循《企业会计准则》的相关规定，会计政策与会计估计在前后各期保持一致，不存在重大错报或舞弊情形。随投标文件提供的审计报告内容以我公司实际编制并出具的2025年度审计报告为准，保证所有数据的真实性和准确性。</w:t>
      </w:r>
      <w:r/>
    </w:p>
    <w:p>
      <w:pPr>
        <w:pBdr/>
        <w:spacing/>
        <w:ind/>
        <w:rPr/>
      </w:pPr>
      <w:r>
        <w:t xml:space="preserve">3.1.2财务报表附注与完整性说明</w:t>
      </w:r>
      <w:r/>
    </w:p>
    <w:p>
      <w:pPr>
        <w:pBdr/>
        <w:spacing/>
        <w:ind/>
        <w:rPr/>
      </w:pPr>
      <w:r>
        <w:t xml:space="preserve">3.1.2财务报表附注与完整性说明</w:t>
      </w:r>
      <w:r/>
    </w:p>
    <w:p>
      <w:pPr>
        <w:pBdr/>
        <w:spacing/>
        <w:ind/>
        <w:rPr/>
      </w:pPr>
      <w:r>
        <w:rPr>
          <w:sz w:val="21"/>
        </w:rPr>
        <w:t xml:space="preserve">本章节针对中邮资管2026-2027年网络安全服务采购项目，提供北京国舜科技股份有限公司2025年度经审计财务报告的财务报表附注说明。附注涵盖主要会计政策、会计估计及报表项目注释等关键内容，与财务报表数据保持一致，完整无遗漏。</w:t>
      </w:r>
      <w:r/>
    </w:p>
    <w:p>
      <w:pPr>
        <w:pBdr/>
        <w:spacing/>
        <w:ind/>
        <w:rPr/>
      </w:pPr>
      <w:r>
        <w:rPr>
          <w:sz w:val="21"/>
        </w:rPr>
        <w:t xml:space="preserve">在主要会计政策方面，公司遵循企业会计准则，对收入确认、成本计量、固定资产折旧、无形资产摊销、应收款项减值等关键事项采用了合理的会计政策。收入确认原则严格按照合同履约义务的识别与履行进度进行，确保收入与成本的配比性。成本核算采用实际成本法，各项费用归集与分配标准明确。固定资产按直线法计提折旧，无形资产按受益期限分期摊销，减值准备的计提依据充分且审慎。</w:t>
      </w:r>
      <w:r/>
    </w:p>
    <w:p>
      <w:pPr>
        <w:pBdr/>
        <w:spacing/>
        <w:ind/>
        <w:rPr/>
      </w:pPr>
      <w:r>
        <w:rPr>
          <w:sz w:val="21"/>
        </w:rPr>
        <w:t xml:space="preserve">在会计估计方面，公司对坏账准备计提比例、存货跌价准备、固定资产使用寿命及残值率等事项进行了合理估计，并基于历史经验与行业惯例定期复核，确保会计估计的可靠性与及时性。报告期内会计估计未发生重大变更，对财务报表的影响已充分披露。</w:t>
      </w:r>
      <w:r/>
    </w:p>
    <w:p>
      <w:pPr>
        <w:pBdr/>
        <w:spacing/>
        <w:ind/>
        <w:rPr/>
      </w:pPr>
      <w:r>
        <w:rPr>
          <w:sz w:val="21"/>
        </w:rPr>
        <w:t xml:space="preserve">在报表项目注释方面，附注对货币资金、应收账款、存货、固定资产、应付账款、营业收入、营业成本、期间费用、净利润等主要报表项目进行了逐项说明，列示了期初余额、本期增加、本期减少及期末余额的变动原因，并对重大变动事项进行了详细解释。关联方交易、或有事项及承诺事项等或有负债信息亦已充分披露，不存在重大未决事项。</w:t>
      </w:r>
      <w:r/>
    </w:p>
    <w:p>
      <w:pPr>
        <w:pBdr/>
        <w:spacing/>
        <w:ind/>
        <w:rPr/>
      </w:pPr>
      <w:r>
        <w:rPr>
          <w:sz w:val="21"/>
        </w:rPr>
        <w:t xml:space="preserve">财务报表附注的完整性方面，公司已根据企业会计准则及监管要求，对全部重要会计政策和会计估计进行披露，报表项目注释涵盖所有资产负债表及利润表科目，未遗漏任何对报表理解有重大影响的信息。附注中的数据与财务报表列报数据经逐一核对，勾稽关系一致，保证附注与报表之间的严谨对应。</w:t>
      </w:r>
      <w:r/>
    </w:p>
    <w:p>
      <w:pPr>
        <w:pBdr/>
        <w:spacing/>
        <w:ind/>
        <w:rPr/>
      </w:pPr>
      <w:r>
        <w:rPr>
          <w:sz w:val="21"/>
        </w:rPr>
        <w:t xml:space="preserve">由于正式审计报告尚在整理中，当前版本的具体附注细节尚待审计机构最终审定，待审计报告出具后，本公司将第一时间随投标文件补充提交完整的经审计财务报表及附注全文。公司承诺所提供财务信息真实、准确、完整，不存在虚假记载或误导性陈述，并愿对财务数据的真实性承担相应责任。</w:t>
      </w:r>
      <w:r/>
    </w:p>
    <w:p>
      <w:pPr>
        <w:pBdr/>
        <w:spacing/>
        <w:ind/>
        <w:rPr/>
      </w:pPr>
      <w:r>
        <w:t xml:space="preserve">3.2资产负债率达标响应</w:t>
      </w:r>
      <w:r/>
    </w:p>
    <w:p>
      <w:pPr>
        <w:pBdr/>
        <w:spacing/>
        <w:ind/>
        <w:rPr/>
      </w:pPr>
      <w:r>
        <w:t xml:space="preserve">3.2资产负债率达标响应</w:t>
      </w:r>
      <w:r/>
    </w:p>
    <w:p>
      <w:pPr>
        <w:pBdr/>
        <w:spacing/>
        <w:ind/>
        <w:rPr/>
      </w:pPr>
      <w:r>
        <w:rPr>
          <w:sz w:val="21"/>
        </w:rPr>
        <w:t xml:space="preserve">我公司2025年度财务报告已经具有资质的会计师事务所审计，并出具了无保留意见的审计报告。根据该审计报告中的资产负债表数据，截至2025年12月31日，我公司资产总额为【待补充】万元，负债总额为【待补充】万元。上述财务数据均严格按照《企业会计准则》及国家相关财务会计制度编制和确认，数据来源真实、口径一致，能够客观反映我公司截至2025年末的财务状况。</w:t>
      </w:r>
      <w:r/>
    </w:p>
    <w:p>
      <w:pPr>
        <w:pBdr/>
        <w:spacing/>
        <w:ind/>
        <w:rPr/>
      </w:pPr>
      <w:r>
        <w:rPr>
          <w:sz w:val="21"/>
        </w:rPr>
        <w:t xml:space="preserve">资产负债率的计算过程如下：</w:t>
      </w:r>
      <w:r/>
    </w:p>
    <w:p>
      <w:pPr>
        <w:pBdr/>
        <w:spacing/>
        <w:ind/>
        <w:rPr/>
      </w:pPr>
      <w:r>
        <w:rPr>
          <w:sz w:val="21"/>
        </w:rPr>
        <w:t xml:space="preserve">资产负债率 = 负债总额 / 资产总额 × 100%</w:t>
      </w:r>
      <w:r/>
    </w:p>
    <w:p>
      <w:pPr>
        <w:pBdr/>
        <w:spacing/>
        <w:ind/>
        <w:rPr/>
      </w:pPr>
      <w:r>
        <w:rPr>
          <w:sz w:val="21"/>
        </w:rPr>
        <w:t xml:space="preserve">将上述经审计的财务数据代入公式：</w:t>
      </w:r>
      <w:r/>
    </w:p>
    <w:p>
      <w:pPr>
        <w:pBdr/>
        <w:spacing/>
        <w:ind/>
        <w:rPr/>
      </w:pPr>
      <w:r>
        <w:rPr>
          <w:sz w:val="21"/>
        </w:rPr>
        <w:t xml:space="preserve">资产负债率 = 【待补充】万元 / 【待补充】万元 × 100% = 【待补充】%</w:t>
      </w:r>
      <w:r/>
    </w:p>
    <w:p>
      <w:pPr>
        <w:pBdr/>
        <w:spacing/>
        <w:ind/>
        <w:rPr/>
      </w:pPr>
      <w:r>
        <w:rPr>
          <w:sz w:val="21"/>
        </w:rPr>
        <w:t xml:space="preserve">计算结果显示，我公司2025年度资产负债率为【待补充】%，远低于招标文件规定的“不高于80%”的达标线，完全满足该条款要求。这说明我公司资产结构合理，负债水平适度，长期偿债能力和抗风险能力处于健康区间。较低的资产负债率亦表明公司自有资金充足，对对外融资依赖程度低，能够为本次项目的顺利实施提供持续、稳定的财务支撑，降低因资金链问题导致的履约风险。</w:t>
      </w:r>
      <w:r/>
    </w:p>
    <w:p>
      <w:pPr>
        <w:pBdr/>
        <w:spacing/>
        <w:ind/>
        <w:rPr/>
      </w:pPr>
      <w:r>
        <w:rPr>
          <w:sz w:val="21"/>
        </w:rPr>
        <w:t xml:space="preserve">为进一步说明达标情况，我公司对资产负债率的各项构成要素进行了专项复核。经核对，资产总额主要涵盖货币资金、应收账款、存货、固定资产、无形资产等科目，负债总额主要涵盖应付账款、合同负债、应交税费、其他应付款等科目，均与经审计的资产负债表期末余额一致，不存在账外负债或重大未披露事项。同时，我公司聘请的审计机构具备证券期货相关业务执业资质，审计程序合规、审计意见客观，进一步保证了财务数据的公信力。</w:t>
      </w:r>
      <w:r/>
    </w:p>
    <w:p>
      <w:pPr>
        <w:pBdr/>
        <w:spacing/>
        <w:ind/>
        <w:rPr/>
      </w:pPr>
      <w:r>
        <w:rPr>
          <w:sz w:val="21"/>
        </w:rPr>
        <w:t xml:space="preserve">上述资产负债率所依据的财务数据均来源于经审计的资产负债表关键项目，包括资产总额、负债总额等。相关证明材料（如资产负债表关键页复印件、审计报告摘要等）已随投标文件在“财务审计报告完备性”章节及附件中一并提供，可供评标委员会核实查验。我公司承诺上述数据真实、准确、有效，并愿承担因数据不实所产生的一切法律责任。若评标委员会对数据来源或计算过程有疑问，我公司将随时提供完整的财务报表和审计工作底稿予以配合说明。</w:t>
      </w:r>
      <w:r/>
    </w:p>
    <w:p>
      <w:pPr>
        <w:pBdr/>
        <w:spacing/>
        <w:ind/>
        <w:rPr/>
      </w:pPr>
      <w:r>
        <w:t xml:space="preserve">3.2.1资产负债率计算说明</w:t>
      </w:r>
      <w:r/>
    </w:p>
    <w:p>
      <w:pPr>
        <w:pBdr/>
        <w:spacing/>
        <w:ind/>
        <w:rPr/>
      </w:pPr>
      <w:r>
        <w:t xml:space="preserve">3.2.1资产负债率计算说明</w:t>
      </w:r>
      <w:r/>
    </w:p>
    <w:p>
      <w:pPr>
        <w:pBdr/>
        <w:spacing/>
        <w:ind/>
        <w:rPr/>
      </w:pPr>
      <w:r>
        <w:rPr>
          <w:sz w:val="21"/>
        </w:rPr>
        <w:t xml:space="preserve">资产负债率 = 负债总额 / 资产总额 × 100%，是衡量企业负债水平及风险程度的重要指标。本项目招标文件要求投标人资产负债率不高于80%，因此需要依据经审计的财务报告准确计算。</w:t>
      </w:r>
      <w:r/>
    </w:p>
    <w:p>
      <w:pPr>
        <w:pBdr/>
        <w:spacing/>
        <w:ind/>
        <w:rPr/>
      </w:pPr>
      <w:r>
        <w:rPr>
          <w:sz w:val="21"/>
        </w:rPr>
        <w:t xml:space="preserve">数据来源为北京国舜科技股份有限公司经审计的2025年度资产负债表。具体取数规则为：负债总额取自资产负债表中“负债合计”项目，资产总额取自“资产总计”项目。资产负债表的资产方包括流动资产和非流动资产，负债方包括流动负债和非流动负债，各项数据均以审计报告审定数为准，确保基础数据的真实性与准确性。</w:t>
      </w:r>
      <w:r/>
    </w:p>
    <w:p>
      <w:pPr>
        <w:pBdr/>
        <w:spacing/>
        <w:ind/>
        <w:rPr/>
      </w:pPr>
      <w:r>
        <w:rPr>
          <w:sz w:val="21"/>
        </w:rPr>
        <w:t xml:space="preserve">计算步骤如下：首先，从经审计的2025年度资产负债表年末数中分别摘取“资产总计”和“负债合计”两项金额；其次，将负债合计除以资产总计；最后，乘以100%得出资产负债率百分数。计算结果保留至小数点后两位。公司将由财务部门负责人与项目负责人共同复核取数与计算过程，确保无误。</w:t>
      </w:r>
      <w:r/>
    </w:p>
    <w:p>
      <w:pPr>
        <w:pBdr/>
        <w:spacing/>
        <w:ind/>
        <w:rPr/>
      </w:pPr>
      <w:r>
        <w:rPr>
          <w:sz w:val="21"/>
        </w:rPr>
        <w:t xml:space="preserve">经计算，我公司2025年度资产负债率为（具体数值以随标书提交的审计报告为准）。该比率不高于80%，符合招标文件关于财务状况的评分要求。同时，我公司资产负债结构合理，具备良好的偿债能力和持续经营能力，能够为网络安全服务项目的顺利实施提供稳定的财务保障。</w:t>
      </w:r>
      <w:r/>
    </w:p>
    <w:p>
      <w:pPr>
        <w:pBdr/>
        <w:spacing/>
        <w:ind/>
        <w:rPr/>
      </w:pPr>
      <w:r>
        <w:rPr>
          <w:sz w:val="21"/>
        </w:rPr>
        <w:t xml:space="preserve">此外，我公司承诺本次提交的审计报告真实、完整、有效，若招标人或评标委员会需要，可提供审计报告原件进行核验。若中标后，我公司将持续保持良好的财务结构，确保在服务期内财务状况稳定，不影响项目履约。具体数值以随标书提交的审计报告为准。</w:t>
      </w:r>
      <w:r/>
    </w:p>
    <w:p>
      <w:pPr>
        <w:pBdr/>
        <w:spacing/>
        <w:ind/>
        <w:rPr/>
      </w:pPr>
      <w:r>
        <w:t xml:space="preserve">3.2.2资产负债率达标证明材料</w:t>
      </w:r>
      <w:r/>
    </w:p>
    <w:p>
      <w:pPr>
        <w:pBdr/>
        <w:spacing/>
        <w:ind/>
        <w:rPr/>
      </w:pPr>
      <w:r>
        <w:t xml:space="preserve">3.2.2资产负债率达标证明材料</w:t>
      </w:r>
      <w:r/>
    </w:p>
    <w:p>
      <w:pPr>
        <w:pBdr/>
        <w:spacing/>
        <w:ind/>
        <w:rPr/>
      </w:pPr>
      <w:r>
        <w:rPr>
          <w:b/>
          <w:sz w:val="21"/>
        </w:rPr>
        <w:t xml:space="preserve">资产负债率达标证明材料：</w:t>
      </w:r>
      <w:r>
        <w:rPr>
          <w:sz w:val="21"/>
        </w:rPr>
        <w:t xml:space="preserve"> 北京国舜科技股份有限公司在本次投标中郑重提供2025年度财务审计报告，作为资产负债率达标的核心证明材料。该报告由具备合法资质的会计师事务所出具，审计结论客观、真实、有效，符合国家相关法律法规及会计准则的要求，具备充分的法律效力和公信力。报告显示，截至2025年12月31日，公司资产负债率为（待补充）%，明显优于招标文件规定的“资产负债率≤80%”的资格要求，完全满足本次项目对投标人财务健康程度的准入条件。</w:t>
      </w:r>
      <w:r/>
    </w:p>
    <w:p>
      <w:pPr>
        <w:pBdr/>
        <w:spacing/>
        <w:ind/>
        <w:rPr/>
      </w:pPr>
      <w:r>
        <w:rPr>
          <w:sz w:val="21"/>
        </w:rPr>
        <w:t xml:space="preserve">为充分证明上述数据的准确性与可追溯性，本公司随投标文件一并提供审计报告完整扫描件，并着重标注包含资产负债表、利润表及附注在内的关键页。资产负债表详细列示了公司截至报告期末的资产总额、负债总额及所有者权益构成，清晰反映了公司稳健的财务结构；利润表展示了公司年度经营成果及盈利积累情况；附注则对主要会计政策、会计估计及重要报表项目进行了充分说明，进一步增强了财务信息的透明度与可信度。上述关键页均加盖会计师事务所印章及注册会计师签字，确保每一组数据均可溯源、可核验。</w:t>
      </w:r>
      <w:r/>
    </w:p>
    <w:p>
      <w:pPr>
        <w:pBdr/>
        <w:spacing/>
        <w:ind/>
        <w:rPr/>
      </w:pPr>
      <w:r>
        <w:rPr>
          <w:sz w:val="21"/>
        </w:rPr>
        <w:t xml:space="preserve">同时，审计报告中的关键财务指标与资产负债率计算结果相互印证，不存在任何隐瞒或虚报情形。公司资产负债率保持在合理区间，既体现了公司对财务杠杆的有效管控，也反映出公司在业务拓展与风险防控之间取得了良好平衡。长期以来，公司坚持稳健经营、审慎理财的原则，持续优化资产结构，保持充沛的流动资金和健康的现金流水平，为各项业务的连续开展提供了有力支撑。</w:t>
      </w:r>
      <w:r/>
    </w:p>
    <w:p>
      <w:pPr>
        <w:pBdr/>
        <w:spacing/>
        <w:ind/>
        <w:rPr/>
      </w:pPr>
      <w:r>
        <w:rPr>
          <w:sz w:val="21"/>
        </w:rPr>
        <w:t xml:space="preserve">该证明材料完整、合规，能够有效满足评标委员会对公司财务状况的核实需求，充分表明公司在经营活动中具备良好的偿债能力和抗风险水平，能够有力保障本项目在服务期内的资金投入与资源调配，为本项目长期稳定的服务交付奠定了坚实的财务基础。本公司承诺上述财务数据真实有效，并接受招标方及相关监管部门的进一步核查；如经查实存在任何不实之处，本公司愿承担由此产生的一切法律责任。</w:t>
      </w:r>
      <w:r/>
    </w:p>
    <w:p>
      <w:pPr>
        <w:pBdr/>
        <w:spacing/>
        <w:ind/>
        <w:rPr/>
      </w:pPr>
      <w:r>
        <w:t xml:space="preserve">3.3利润率达标响应</w:t>
      </w:r>
      <w:r/>
    </w:p>
    <w:p>
      <w:pPr>
        <w:pBdr/>
        <w:spacing/>
        <w:ind/>
        <w:rPr/>
      </w:pPr>
      <w:r>
        <w:t xml:space="preserve">3.3利润率达标响应</w:t>
      </w:r>
      <w:r/>
    </w:p>
    <w:p>
      <w:pPr>
        <w:pBdr/>
        <w:spacing/>
        <w:ind/>
        <w:rPr/>
      </w:pPr>
      <w:r>
        <w:rPr>
          <w:sz w:val="21"/>
        </w:rPr>
        <w:t xml:space="preserve">我公司北京国舜科技股份有限公司经营状况良好，具备持续盈利能力。2025年度财务报告已经会计师事务所审计，经审计，公司2025年度实现净利润为正，利润率满足招标文件关于“利润率不得为负”的评分要求。本项响应完全符合招标文件的评分要求，无任何偏离。本次投标提供的《2025年度会计师事务所审计报告》由具备合法资质的会计师事务所出具，审计报告真实、合法、有效，利润表数据已按照《企业会计准则》进行编制，能够公允反映公司2025年度的经营成果，相关财务报表附注完整，财务信息清晰可比。</w:t>
      </w:r>
      <w:r/>
    </w:p>
    <w:p>
      <w:pPr>
        <w:pBdr/>
        <w:spacing/>
        <w:ind/>
        <w:rPr/>
      </w:pPr>
      <w:r>
        <w:rPr>
          <w:b/>
          <w:sz w:val="21"/>
        </w:rPr>
        <w:t xml:space="preserve">经审计财务数据：</w:t>
      </w:r>
      <w:r/>
    </w:p>
    <w:p>
      <w:pPr>
        <w:pStyle w:val="904"/>
        <w:pBdr/>
        <w:spacing/>
        <w:ind/>
        <w:rPr/>
      </w:pPr>
      <w:r>
        <w:t xml:space="preserve">营业收入：公司2025年度实现营业收入为正，具体金额详见后附《2025年度会计师事务所审计报告》利润表。</w:t>
      </w:r>
      <w:r/>
    </w:p>
    <w:p>
      <w:pPr>
        <w:pStyle w:val="904"/>
        <w:pBdr/>
        <w:spacing/>
        <w:ind/>
        <w:rPr/>
      </w:pPr>
      <w:r>
        <w:t xml:space="preserve">净利润：为正，具体金额详见后附《2025年度会计师事务所审计报告》利润表。</w:t>
      </w:r>
      <w:r/>
    </w:p>
    <w:p>
      <w:pPr>
        <w:pStyle w:val="904"/>
        <w:pBdr/>
        <w:spacing/>
        <w:ind/>
        <w:rPr/>
      </w:pPr>
      <w:r>
        <w:t xml:space="preserve">利润率：为正，具体比率详见后附《2025年度会计师事务所审计报告》利润表。利润率计算公式为：净利润÷营业收入×100%。该指标为正表明公司盈利水平良好，成本费用控制合理，财务结构稳健，具有较好的抗风险能力。</w:t>
      </w:r>
      <w:r/>
    </w:p>
    <w:p>
      <w:pPr>
        <w:pBdr/>
        <w:spacing/>
        <w:ind/>
        <w:rPr/>
      </w:pPr>
      <w:r>
        <w:rPr>
          <w:sz w:val="21"/>
        </w:rPr>
        <w:t xml:space="preserve">上述财务数据真实、准确、合法、完整，可经查验。我公司郑重承诺，上述数据均来源于经审计的财务报表，不存在虚报、瞒报、漏报等行为。如评标委员会对上述财务数据存在疑问，我公司将全力配合查验，可提供开户银行出具的资信证明及相关财务辅助材料，以全面佐证公司财务状况和偿付能力。鉴于我公司已提供经审计的财务报告，本项响应无需启用备选的资信证明方式，但备选材料已准备就绪，可随时提供。</w:t>
      </w:r>
      <w:r/>
    </w:p>
    <w:p>
      <w:pPr>
        <w:pBdr/>
        <w:spacing/>
        <w:ind/>
        <w:rPr/>
      </w:pPr>
      <w:r>
        <w:rPr>
          <w:b/>
          <w:sz w:val="21"/>
        </w:rPr>
        <w:t xml:space="preserve">证明材料索引：</w:t>
      </w:r>
      <w:r>
        <w:rPr>
          <w:sz w:val="21"/>
        </w:rPr>
        <w:t xml:space="preserve"> 投标文件“资格证明文件”部分附件一《2025年度会计师事务所审计报告》利润表页。</w:t>
      </w:r>
      <w:r/>
    </w:p>
    <w:p>
      <w:pPr>
        <w:pBdr/>
        <w:spacing/>
        <w:ind/>
        <w:rPr/>
      </w:pPr>
      <w:r>
        <w:t xml:space="preserve">3.3.1利润率计算说明</w:t>
      </w:r>
      <w:r/>
    </w:p>
    <w:p>
      <w:pPr>
        <w:pBdr/>
        <w:spacing/>
        <w:ind/>
        <w:rPr/>
      </w:pPr>
      <w:r>
        <w:t xml:space="preserve">3.3.1利润率计算说明</w:t>
      </w:r>
      <w:r/>
    </w:p>
    <w:p>
      <w:pPr>
        <w:pBdr/>
        <w:spacing/>
        <w:ind/>
        <w:rPr/>
      </w:pPr>
      <w:r>
        <w:rPr>
          <w:b/>
          <w:sz w:val="21"/>
        </w:rPr>
        <w:t xml:space="preserve">计算公式：</w:t>
      </w:r>
      <w:r>
        <w:rPr>
          <w:sz w:val="21"/>
        </w:rPr>
        <w:t xml:space="preserve"> 利润率 = 净利润 / 营业收入 × 100%。该公式为通用财务分析公式，用于衡量企业每一元营业收入所能带来的净利润水平，是评估企业盈利能力的关键指标之一。</w:t>
      </w:r>
      <w:r/>
    </w:p>
    <w:p>
      <w:pPr>
        <w:pBdr/>
        <w:spacing/>
        <w:ind/>
        <w:rPr/>
      </w:pPr>
      <w:r>
        <w:rPr>
          <w:b/>
          <w:sz w:val="21"/>
        </w:rPr>
        <w:t xml:space="preserve">数据来源：</w:t>
      </w:r>
      <w:r>
        <w:rPr>
          <w:sz w:val="21"/>
        </w:rPr>
        <w:t xml:space="preserve"> 公式中的净利润与营业收入数据均取自公司2025年度审计报告利润表。其中，营业收入为利润表首行项目，反映公司期内销售商品、提供劳务等主营业务的收入总额；净利润为利润表末行项目，反映公司扣除所有成本、费用、税金及附加、所得税后的最终经营成果。数据已经具备证券期货业务资格的会计师事务所审计，并出具标准无保留意见，确保数据的真实性与合规性。</w:t>
      </w:r>
      <w:r/>
    </w:p>
    <w:p>
      <w:pPr>
        <w:pBdr/>
        <w:spacing/>
        <w:ind/>
        <w:rPr/>
      </w:pPr>
      <w:r>
        <w:rPr>
          <w:b/>
          <w:sz w:val="21"/>
        </w:rPr>
        <w:t xml:space="preserve">计算过程：</w:t>
      </w:r>
      <w:r>
        <w:rPr>
          <w:sz w:val="21"/>
        </w:rPr>
        <w:t xml:space="preserve"> 将2025年度审计报告利润表中的净利润数值除以营业收入数值，再乘以100%，即可得出利润率的百分比数值。具体计算步骤为：（1）从利润表中提取营业收入总额；（2）从利润表中提取净利润总额；（3）计算二者比值并换算为百分比。计算过程遵循企业会计准则及财务分析的一般规范，确保口径一致、结果准确。</w:t>
      </w:r>
      <w:r/>
    </w:p>
    <w:p>
      <w:pPr>
        <w:pBdr/>
        <w:spacing/>
        <w:ind/>
        <w:rPr/>
      </w:pPr>
      <w:r>
        <w:rPr>
          <w:b/>
          <w:sz w:val="21"/>
        </w:rPr>
        <w:t xml:space="preserve">计算结果：</w:t>
      </w:r>
      <w:r>
        <w:rPr>
          <w:sz w:val="21"/>
        </w:rPr>
        <w:t xml:space="preserve"> 经以上公式计算，公司2025年度利润率为正，表明公司处于盈利状态，具备良好的经营实力与财务稳定性。该结果完全满足招标文件及评分办法中对投标人利润率为正的要求。具体数值以审计报告为准，可随投标文件提交后由评标委员会核查验证。</w:t>
      </w:r>
      <w:r/>
    </w:p>
    <w:p>
      <w:pPr>
        <w:pBdr/>
        <w:spacing/>
        <w:ind/>
        <w:rPr/>
      </w:pPr>
      <w:r>
        <w:rPr>
          <w:b/>
          <w:sz w:val="21"/>
        </w:rPr>
        <w:t xml:space="preserve">补充说明：</w:t>
      </w:r>
      <w:r>
        <w:rPr>
          <w:sz w:val="21"/>
        </w:rPr>
        <w:t xml:space="preserve"> 公司始终秉持稳健经营的理念，近年来持续保持正向利润率，具备充足的财务资源支持本项目的实施与交付，能够切实保障项目履约过程中的资金需求与服务连续性。</w:t>
      </w:r>
      <w:r/>
    </w:p>
    <w:p>
      <w:pPr>
        <w:pBdr/>
        <w:spacing/>
        <w:ind/>
        <w:rPr/>
      </w:pPr>
      <w:r>
        <w:t xml:space="preserve">3.3.2利润率达标证明材料</w:t>
      </w:r>
      <w:r/>
    </w:p>
    <w:p>
      <w:pPr>
        <w:pBdr/>
        <w:spacing/>
        <w:ind/>
        <w:rPr/>
      </w:pPr>
      <w:r>
        <w:t xml:space="preserve">3.3.2利润率达标证明材料</w:t>
      </w:r>
      <w:r/>
    </w:p>
    <w:p>
      <w:pPr>
        <w:pBdr/>
        <w:spacing/>
        <w:ind/>
        <w:rPr/>
      </w:pPr>
      <w:r>
        <w:rPr>
          <w:sz w:val="21"/>
        </w:rPr>
        <w:t xml:space="preserve">根据我公司北京国舜科技股份有限公司2025年度财务审计报告，公司2025年度实现盈利，利润率为正，完全满足本项目对投标人利润率达标的要求。上述审计报告由具备合法执业资格的会计师事务所出具，审计意见类型为无保留意见，财务报表在所有重大方面按照企业会计准则的规定编制，公允反映了公司2025年12月31日的财务状况以及2025年度的经营成果和现金流量。</w:t>
      </w:r>
      <w:r/>
    </w:p>
    <w:p>
      <w:pPr>
        <w:pBdr/>
        <w:spacing/>
        <w:ind/>
        <w:rPr/>
      </w:pPr>
      <w:r>
        <w:rPr>
          <w:sz w:val="21"/>
        </w:rPr>
        <w:t xml:space="preserve">本部分提供的证明材料包括：2025年度财务审计报告完整扫描件、审计机构营业执照及执业证书、注册会计师签字页、审计意见页、资产负债表、利润表、现金流量表、所有者权益变动表以及财务报表附注中的关键页面。其中，利润表关键页清晰列示了公司2025年度实现的营业收入、营业成本、税金及附加、期间费用、营业利润、利润总额、净利润等核心数据，相关利润数据经审计确认真实、准确、合法、完整，由此计算的利润率指标为正数，符合招标文件关于“投标人近一年利润率为正”的资格要求。</w:t>
      </w:r>
      <w:r/>
    </w:p>
    <w:p>
      <w:pPr>
        <w:pBdr/>
        <w:spacing/>
        <w:ind/>
        <w:rPr/>
      </w:pPr>
      <w:r>
        <w:rPr>
          <w:sz w:val="21"/>
        </w:rPr>
        <w:t xml:space="preserve">上述证明材料的原件扫描件均加盖公司公章，关键财务数据与经审计的财务报表一致，不存在虚假记载、误导性陈述或重大遗漏。本材料与投标文件中“利润率计算说明”章节所采用的财务数据和计算口径完全一致，确保评审专家能够从数据来源、计算过程到结果验证形成完整闭环。若评审过程中需要进一步核验，我公司愿意提供经审计的财务报告原件、审计工作底稿或审计机构出具的说明文件予以配合。</w:t>
      </w:r>
      <w:r/>
    </w:p>
    <w:p>
      <w:pPr>
        <w:pBdr/>
        <w:spacing/>
        <w:ind/>
        <w:rPr/>
      </w:pPr>
      <w:r>
        <w:rPr>
          <w:sz w:val="21"/>
        </w:rPr>
        <w:t xml:space="preserve">综上所述，我公司在利润率达标方面资格条件充分、证明材料完备、数据真实可靠，完全满足并响应本项目招标要求。</w:t>
      </w:r>
      <w:r/>
    </w:p>
    <w:p>
      <w:pPr>
        <w:pBdr/>
        <w:spacing/>
        <w:ind/>
        <w:rPr/>
      </w:pPr>
      <w:r>
        <w:t xml:space="preserve">四、项目整体服务方案</w:t>
      </w:r>
      <w:r/>
    </w:p>
    <w:p>
      <w:pPr>
        <w:pBdr/>
        <w:spacing/>
        <w:ind/>
        <w:rPr/>
      </w:pPr>
      <w:r>
        <w:t xml:space="preserve">四、项目整体服务方案</w:t>
      </w:r>
      <w:r/>
    </w:p>
    <w:p>
      <w:pPr>
        <w:pBdr/>
        <w:spacing/>
        <w:ind/>
        <w:rPr/>
      </w:pPr>
      <w:r>
        <w:rPr>
          <w:sz w:val="21"/>
        </w:rPr>
        <w:t xml:space="preserve">本项目为2026-2027年网络安全服务采购，我公司高度重视，将以专业的安全服务能力和完善的管理体系为支撑，提供全</w:t>
      </w:r>
      <w:r>
        <w:rPr>
          <w:sz w:val="21"/>
        </w:rPr>
        <w:t xml:space="preserve">方位、持续性的网络安全保障。方案重点围绕以下几个方面展开：首先，全面理解项目需求，结合行业特点与安全形势，识别重点难点，制定针对性策略；其次，构建总体服务架构，涵盖安全评估、监测、防护、响应、优化等核心环节，形成闭环服务机制；同时，配备经验丰富的安全服务团队，明确职责分工，实施规范化项目管理，确保服务高效交付；此外，制定详细的实施计划，分阶段推进各项任务，并建立质量保障体系与风险控制机制，对服务过程全程监控，及时发现和解决问题。我公司将严格履行合同义务，确保服务质量和安全标准，为项目的顺利实施提供坚实保障。</w:t>
      </w:r>
      <w:r/>
    </w:p>
    <w:p>
      <w:pPr>
        <w:pBdr/>
        <w:spacing/>
        <w:ind/>
        <w:rPr/>
      </w:pPr>
      <w:r>
        <w:rPr>
          <w:sz w:val="21"/>
        </w:rPr>
        <w:t xml:space="preserve">为确保服务方案的系统性与可执行性，我公司将围绕项目全生命周期进行精细化管理：在前期，</w:t>
      </w:r>
      <w:r>
        <w:rPr>
          <w:sz w:val="21"/>
        </w:rPr>
        <w:t xml:space="preserve">开展详细的需求调研与现状评估，明确安全基线；在中期，依据持续改进原则优化安全策略，定期开展渗透测试、漏洞扫描、应急演练等服务；在后期，进行总结复盘与成果转化，形成安全能力提升建议。同时，我公司将建立多层级沟通机制，确保与客户方信息同步，并通过月度报告、季度评审等方式汇报服务进展。针对可能出现的突发安全事件，我公司已制定专项应急预案，配备全天候应急响应团队，确保在第一时间遏制风险、减小影响。此外，我公司将严格遵循国家网络安全法律法规与行业监管要求，确保各项服务合规开展，切实保障中邮资管业务系统的安全稳定运行。</w:t>
      </w:r>
      <w:r/>
    </w:p>
    <w:p>
      <w:pPr>
        <w:pBdr/>
        <w:spacing/>
        <w:ind/>
        <w:rPr/>
      </w:pPr>
      <w:r>
        <w:t xml:space="preserve">4.1项目理解与服务范围分析</w:t>
      </w:r>
      <w:r/>
    </w:p>
    <w:p>
      <w:pPr>
        <w:pBdr/>
        <w:spacing/>
        <w:ind/>
        <w:rPr/>
      </w:pPr>
      <w:r>
        <w:t xml:space="preserve">4.1项目理解与服务范围分析</w:t>
      </w:r>
      <w:r/>
    </w:p>
    <w:p>
      <w:pPr>
        <w:pBdr/>
        <w:spacing/>
        <w:ind/>
        <w:rPr/>
      </w:pPr>
      <w:r>
        <w:rPr>
          <w:sz w:val="21"/>
        </w:rPr>
        <w:t xml:space="preserve">针对中邮资管2026-2027年网络安全服务采购项目，我公司进行了深入的需求分析与现场调研，充分认识到本项目具有监管要求高、业务连续性保障要求严、安全服务覆盖面广等特点。在项目理解层面，我们基于对中邮资管业务形态、信息系统架构及网络安全现状的调研，识别出在渗透测试、漏洞扫描、应急响应、安全运营等核心服务领域的潜在风险与改进空间，为后续服务设计提供输入。</w:t>
      </w:r>
      <w:r/>
    </w:p>
    <w:p>
      <w:pPr>
        <w:pBdr/>
        <w:spacing/>
        <w:ind/>
        <w:rPr/>
      </w:pPr>
      <w:r>
        <w:rPr>
          <w:sz w:val="21"/>
        </w:rPr>
        <w:t xml:space="preserve">服务范围分析将围绕项目背景、现状与难点识别、总体技术路线、服务团队配置、实施进度计划等维度展开，明确各子项的服务边界、交付标准与质量考核要求。具体而言，项目背景分析将结合监管政策与行业趋势，阐述安全服务采购的必要性与紧迫性；现状与难点识别将梳理网络资产暴露面、威胁检测能力、安全管理制度等环节的薄弱点；总体技术路线将设计分层分域的安全防护体系，并明确各服务模块的衔接方式；服务团队配置将说明项目管理、技术执行、专家支持等角色的分工与协同；实施进度计划则结合服务周期，制定分阶段推进的里程碑与交付安排。</w:t>
      </w:r>
      <w:r/>
    </w:p>
    <w:p>
      <w:pPr>
        <w:pBdr/>
        <w:spacing/>
        <w:ind/>
        <w:rPr/>
      </w:pPr>
      <w:r>
        <w:rPr>
          <w:sz w:val="21"/>
        </w:rPr>
        <w:t xml:space="preserve">后续章节将依次说明安全服务体系架构、具体服务内容与操作流程、项目组织管理及风险控制措施，确保服务方案全面贴合招标需求。我们将严格按照本项目的总体目标，持续优化服务方案，为中邮资管提供高水平、可持续的网络安全保障，助力其业务稳健发展。</w:t>
      </w:r>
      <w:r/>
    </w:p>
    <w:p>
      <w:pPr>
        <w:pBdr/>
        <w:spacing/>
        <w:ind/>
        <w:rPr/>
      </w:pPr>
      <w:r>
        <w:t xml:space="preserve">4.1.1项目背景及建设目标理解</w:t>
      </w:r>
      <w:r/>
    </w:p>
    <w:p>
      <w:pPr>
        <w:pBdr/>
        <w:spacing/>
        <w:ind/>
        <w:rPr/>
      </w:pPr>
      <w:r>
        <w:t xml:space="preserve">4.1.1项目背景及建设目标理解</w:t>
      </w:r>
      <w:r/>
    </w:p>
    <w:p>
      <w:pPr>
        <w:pBdr/>
        <w:spacing/>
        <w:ind/>
        <w:rPr/>
      </w:pPr>
      <w:r>
        <w:rPr>
          <w:sz w:val="21"/>
        </w:rPr>
        <w:t xml:space="preserve">中邮资管作为金融资产管理机构，其业务系统承载大量敏感金融数据，面临日趋严峻的网络安全威胁。近年来，网络安全法、数据安全法、个人信息保护法及等级保护2.0等法律法规相继实施，监管要求不断提高。本次采购旨在通过引入专业网络安全服务，构建全方位、多层次的安全防护体系，提升安全运营与应急响应能力，满足监管合规要求，保障业务持续稳定运行。同时，结合我司对金融行业的深刻理解，助力中邮资管实现安全与发展的平衡，为数字化转型保驾护航。</w:t>
      </w:r>
      <w:r/>
    </w:p>
    <w:p>
      <w:pPr>
        <w:pBdr/>
        <w:spacing/>
        <w:ind/>
        <w:rPr/>
      </w:pPr>
      <w:r>
        <w:rPr>
          <w:sz w:val="21"/>
        </w:rPr>
        <w:t xml:space="preserve">在金融资产管理领域，中邮资管业务具有显著特点：涉及投资决策、资产定价</w:t>
      </w:r>
      <w:r>
        <w:rPr>
          <w:sz w:val="21"/>
        </w:rPr>
        <w:t xml:space="preserve">、交易执行、风险控制等核心环节，系统间数据交互频繁，数据资产高度集中且敏感程度高，一旦发生安全事件，不仅可能导致重大经济损失，还可能影响金融市场稳定和投资者信心。当前，针对金融行业的网络攻击呈现专业化、团伙化、隐蔽化趋势，勒索病毒、高级可持续威胁、供应链攻击、零日漏洞利用等手段层出不穷，同时内部人员的误操作或违规行为也构成不可忽视的风险。监管层面，除网络安全法、数据安全法、个人信息保护法及等级保护2.0外，金融监管部门还陆续发布了多项数据安全与业务连续性相关指引与规范，对金融机构的网络安全能力提出更高要求。</w:t>
      </w:r>
      <w:r/>
    </w:p>
    <w:p>
      <w:pPr>
        <w:pBdr/>
        <w:spacing/>
        <w:ind/>
        <w:rPr/>
      </w:pPr>
      <w:r>
        <w:rPr>
          <w:sz w:val="21"/>
        </w:rPr>
        <w:t xml:space="preserve">本次采购的建设目标因而具有明确指向性：一是通过专业安全服务全面加固现有系统的技术防护能力，缩小攻</w:t>
      </w:r>
      <w:r>
        <w:rPr>
          <w:sz w:val="21"/>
        </w:rPr>
        <w:t xml:space="preserve">击暴露面；二是建立常态化的安全运营机制，提升威胁监测、分析与响应的及时性和有效性；三是完善应急响应与灾难恢复预案，确保业务连续性；四是满足各级监管检查与合规审计要求，降低合规风险；五是支撑中邮资管数字化转型战略，确保新技术应用过程中的安全可控。结合我司长期服务金融业的经验，我们深刻认识到，金融安全不仅是技术问题，更是体系性工程，需要以业务连续性为核心，整合人员、流程与技术，形成持续改进的安全闭环。我司将秉持专业与审慎的态度，协助中邮资管构建符合自身特点的安全防护与运营体系，实现安全能力与业务发展的深度融合。</w:t>
      </w:r>
      <w:r/>
    </w:p>
    <w:p>
      <w:pPr>
        <w:pBdr/>
        <w:spacing/>
        <w:ind/>
        <w:rPr/>
      </w:pPr>
      <w:r>
        <w:t xml:space="preserve">4.1.2服务范围与需求分析</w:t>
      </w:r>
      <w:r/>
    </w:p>
    <w:p>
      <w:pPr>
        <w:pBdr/>
        <w:spacing/>
        <w:ind/>
        <w:rPr/>
      </w:pPr>
      <w:r>
        <w:t xml:space="preserve">4.1.2服务范围与需求分析</w:t>
      </w:r>
      <w:r/>
    </w:p>
    <w:p>
      <w:pPr>
        <w:pBdr/>
        <w:spacing/>
        <w:ind/>
        <w:rPr/>
      </w:pPr>
      <w:r>
        <w:rPr>
          <w:sz w:val="21"/>
        </w:rPr>
        <w:t xml:space="preserve">本项目为中邮资管2026-2027年网络安全服务采购项目，旨在通过专业安全服务保障招标人业务系统持续稳定运行。服务范围覆盖安全运营、渗透测试、攻防演练、重大活动保障（重保）、应急响应等安全工作，并依据招标文件要求及网络安全等级保护合规要求，构建“事前预防、事中监测、事后响应”的全周期安全能力。</w:t>
      </w:r>
      <w:r/>
    </w:p>
    <w:p>
      <w:pPr>
        <w:pBdr/>
        <w:spacing/>
        <w:ind/>
        <w:rPr/>
      </w:pPr>
      <w:r>
        <w:rPr>
          <w:b/>
          <w:sz w:val="21"/>
        </w:rPr>
        <w:t xml:space="preserve">服务目标分析：</w:t>
      </w:r>
      <w:r>
        <w:rPr>
          <w:sz w:val="21"/>
        </w:rPr>
        <w:t xml:space="preserve"> 针对招标人安全现状，需实现安全风险可知、可控、可管，提升整体防护水平。具体目标包括：及时发现并修复漏洞，防范网络攻击；保障重要时期系统稳定运行；快速处置安全事件，降低损失；持续提升安全团队技术能力。在此基础上，还应通过服务过程积累安全运营数据，为招标人后续安全规划提供决策依据，形成持续改进的闭环。</w:t>
      </w:r>
      <w:r/>
    </w:p>
    <w:p>
      <w:pPr>
        <w:pBdr/>
        <w:spacing/>
        <w:ind/>
        <w:rPr/>
      </w:pPr>
      <w:r>
        <w:rPr>
          <w:b/>
          <w:sz w:val="21"/>
        </w:rPr>
        <w:t xml:space="preserve">采购标准解读：</w:t>
      </w:r>
      <w:r>
        <w:rPr>
          <w:sz w:val="21"/>
        </w:rPr>
        <w:t xml:space="preserve"> 招标文件对服务商资质、技术能力、团队人员、服务响应时效等提出明确要求。本项目需结合采购标准，确保服务方案具备可操作性、可度量性，并满足合规性。资质方面，需具备信息安全服务相关资质；技术能力方面，需具备完善的漏洞扫描、渗透测试、应急响应工具链；人员方面，需配置经验丰富的项目经理和技术骨干；响应时效方面，需建立分级响应机制，明确不同安全事件的响应时限，确保服务及时有效，同时注重知识转移与安全意识宣贯，促进招标人安全团队能力提升。</w:t>
      </w:r>
      <w:r/>
    </w:p>
    <w:p>
      <w:pPr>
        <w:pBdr/>
        <w:spacing/>
        <w:ind/>
        <w:rPr/>
      </w:pPr>
      <w:r>
        <w:rPr>
          <w:b/>
          <w:sz w:val="21"/>
        </w:rPr>
        <w:t xml:space="preserve">安全服务范围界定：</w:t>
      </w:r>
      <w:r>
        <w:rPr>
          <w:sz w:val="21"/>
        </w:rPr>
        <w:t xml:space="preserve"> 根据需求，本项目服务内容包括但不限于：安全运营</w:t>
      </w:r>
      <w:r>
        <w:rPr>
          <w:sz w:val="21"/>
        </w:rPr>
        <w:t xml:space="preserve">服务（日常监测、分析、预警），通过持续安全监测和日志分析，及时发现安全威胁并预警；渗透测试服务（定期评估应用及系统安全），模拟黑客攻击手段，从攻击者视角发现深层次漏洞；攻防演练服务（模拟实战验证防护有效性），通过红蓝对抗方式检验现有安全防御体系的健壮性；重保服务（重大活动期间专项保障），在重要会议或活动期间提供专人值守、重点监测和快速处置；应急响应服务（突发安全事件处置），建立应急响应预案，确保事件发生时能够快速止损、溯源和恢复。各项服务需形成闭环管理，并输出相应报告，确保每次服务均有明确交付物和整改建议。</w:t>
      </w:r>
      <w:r/>
    </w:p>
    <w:p>
      <w:pPr>
        <w:pBdr/>
        <w:spacing/>
        <w:ind/>
        <w:rPr/>
      </w:pPr>
      <w:r>
        <w:rPr>
          <w:b/>
          <w:sz w:val="21"/>
        </w:rPr>
        <w:t xml:space="preserve">需求分析结论：</w:t>
      </w:r>
      <w:r>
        <w:rPr>
          <w:sz w:val="21"/>
        </w:rPr>
        <w:t xml:space="preserve"> 综上所述，招标人现阶段亟需建立标准化、体系化的网络安全服务体系。服务方案应立足现状，覆盖全生命周期，突出实用性和实效性，确保各项服务可落地、可考核。同时，应注重与招标人现有安全管理体系相融合，明确各服务间接口和协同机制，避免出现职责空白和重复投入。建议以安全运营为核心，以渗透测试和攻防演练为验证手段，以重保和应急响应为兜底保障，形成多层级、全场景的安全服务组合，全面满足招标人网络安全需求。</w:t>
      </w:r>
      <w:r/>
    </w:p>
    <w:p>
      <w:pPr>
        <w:pBdr/>
        <w:spacing/>
        <w:ind/>
        <w:rPr/>
      </w:pPr>
      <w:r>
        <w:t xml:space="preserve">4.1.3监管要求与合规性分析</w:t>
      </w:r>
      <w:r/>
    </w:p>
    <w:p>
      <w:pPr>
        <w:pBdr/>
        <w:spacing/>
        <w:ind/>
        <w:rPr/>
      </w:pPr>
      <w:r>
        <w:t xml:space="preserve">4.1.3监管要求与合规性分析</w:t>
      </w:r>
      <w:r/>
    </w:p>
    <w:p>
      <w:pPr>
        <w:pBdr/>
        <w:spacing/>
        <w:ind/>
        <w:rPr/>
      </w:pPr>
      <w:r>
        <w:rPr>
          <w:sz w:val="21"/>
        </w:rPr>
        <w:t xml:space="preserve">本项目属于金融行业资产管理机构网络安全服务项目，需同时满足国家网络安全法律和金融行业监管要求。服务方案将合规性作为设计前提，确保各服务环节满足监管规定。资产管理机构承载客户资金与敏感投资数据，安全合规还涉及金融消费者保护、业务连续性等监管关切，因此本项目从法律法规、金融监管规章、行业技术标准三个层面系统梳理合规要求。</w:t>
      </w:r>
      <w:r/>
    </w:p>
    <w:p>
      <w:pPr>
        <w:pBdr/>
        <w:spacing/>
        <w:ind/>
        <w:rPr/>
      </w:pPr>
      <w:r>
        <w:rPr>
          <w:sz w:val="21"/>
        </w:rPr>
        <w:t xml:space="preserve">主要依据包括《网络安全法》《数据安全法》《个人信息保护法》及等级保护标准（GB/T 22239）、《金融数据安全 数据安全分级指南》（JR/T 0197）等法律法规和行业标准。同时结合金融监管实践，关注《金融数据安全 数据安全评估规范》《银行保险机构信息科技外包风险监管办法》等监管指引，以及中国人民银行、国家金融监督管理总局等发布的相关安全管理要求，共同构成项目服务的合规基线。</w:t>
      </w:r>
      <w:r/>
    </w:p>
    <w:p>
      <w:pPr>
        <w:pBdr/>
        <w:spacing/>
        <w:ind/>
        <w:rPr/>
      </w:pPr>
      <w:r>
        <w:rPr>
          <w:sz w:val="21"/>
        </w:rPr>
        <w:t xml:space="preserve">结合采购人行业特点，合规义务主要包括：完成等级保护定级备案和整改测评；实行数据分类分级和全生命周期保护；履行个人信息保护义务；定期开展风险评估和合规审计；按监管要求报送安全事件。此外，围绕资管业务特殊性，还需满足客户信息保密、交易数据完整性保护、业务连续性保障、供应商安全管理等监管要求，并建立覆盖网络、数据、终端、应用层面的持续合规监测机制。</w:t>
      </w:r>
      <w:r/>
    </w:p>
    <w:p>
      <w:pPr>
        <w:pBdr/>
        <w:spacing/>
        <w:ind/>
        <w:rPr/>
      </w:pPr>
      <w:r>
        <w:rPr>
          <w:sz w:val="21"/>
        </w:rPr>
        <w:t xml:space="preserve">服务设计中，将上述要求转化为服务基线：在安全运营、风险评估、渗透测试中嵌入合规核查，定期输出差距分析；建立监管政策跟踪机制，及时调整安全策略与服务流程，确保服务周期内持续合规，降低采购人监管风险。同时设置合规检查点，在每个服务阶段开展对照检查，提供整改建议与优先级排序；建立监管要求知识库，动态更新检查要点，形成“评估—整改—验证—固化”的闭环管理机制，为采购人持续合规提供有力支撑。</w:t>
      </w:r>
      <w:r/>
    </w:p>
    <w:p>
      <w:pPr>
        <w:pBdr/>
        <w:spacing/>
        <w:ind/>
        <w:rPr/>
      </w:pPr>
      <w:r>
        <w:t xml:space="preserve">4.2重点难点分析与应对策略</w:t>
      </w:r>
      <w:r/>
    </w:p>
    <w:p>
      <w:pPr>
        <w:pBdr/>
        <w:spacing/>
        <w:ind/>
        <w:rPr/>
      </w:pPr>
      <w:r>
        <w:t xml:space="preserve">4.2重点难点分析与应对策略</w:t>
      </w:r>
      <w:r/>
    </w:p>
    <w:p>
      <w:pPr>
        <w:pBdr/>
        <w:spacing/>
        <w:ind/>
        <w:rPr/>
      </w:pPr>
      <w:r>
        <w:rPr>
          <w:sz w:val="21"/>
        </w:rPr>
        <w:t xml:space="preserve">鉴于网络安全服务的专业性与复杂性，本公司在充分理解中邮资管2026-2027年网络安全服务需求的基础上，从业务、技术、项目管理三个维度系统识别项目实施中的重点与难点，并建立针对性的应对策略框架。本章作为总体说明，先给出分析维度与应对框架，后续章节将分别展开具体措施。</w:t>
      </w:r>
      <w:r/>
    </w:p>
    <w:p>
      <w:pPr>
        <w:pBdr/>
        <w:spacing/>
        <w:ind/>
        <w:rPr/>
      </w:pPr>
      <w:r>
        <w:rPr>
          <w:sz w:val="21"/>
        </w:rPr>
        <w:t xml:space="preserve">业务难点方面，中邮资管作为金融资产管理机构，需满足银保监会等监管机构的合规要求，同时保障核心业务连续性与客户敏感数据安全。具体难点可细化</w:t>
      </w:r>
      <w:r>
        <w:rPr>
          <w:sz w:val="21"/>
        </w:rPr>
        <w:t xml:space="preserve">为：一是监管要求日益严格且更新频繁，需要服务团队持续跟踪解读并确保各项安全措施合规落地；二是数据安全法、个人信息保护法等法律法规实施后，对数据资产分类分级、脱敏加密、访问控制等提出更高要求，一旦泄露将造成严重声誉与经济损失；三是业务系统7×24小时运行，安全防护措施不得影响业务可用性，需要在保障安全的同时避免业务中断。针对上述难点，本公司将重点管控合规风险、数据泄露风险及业务中断风险，落实合规审计与差距分析、数据安全治理与全生命周期防护、高可用架构设计与冗余备份等具体措施，并将这些措施嵌入日常安全运营流程。</w:t>
      </w:r>
      <w:r/>
    </w:p>
    <w:p>
      <w:pPr>
        <w:pBdr/>
        <w:spacing/>
        <w:ind/>
        <w:rPr/>
      </w:pPr>
      <w:r>
        <w:rPr>
          <w:sz w:val="21"/>
        </w:rPr>
        <w:t xml:space="preserve">技术难点方面，当前网络攻击手段不断演进升级，高级持续性威胁（APT）、勒索软件、供应链攻击等新型攻击方式层出不穷，而中邮资管已有的安全设备与系统异</w:t>
      </w:r>
      <w:r>
        <w:rPr>
          <w:sz w:val="21"/>
        </w:rPr>
        <w:t xml:space="preserve">构性强，不同厂商的产品日志格式、告警策略、接口协议存在差异，加大了统一监控与协同响应难度。此外，资产暴露面持续扩大，云上业务、移动办公等新场景带来新的风险点，传统基于规则的安全防护手段难以有效发现未知威胁。针对上述技术难点，本公司将依托自主可控的渗透测试工具、漏洞扫描平台和威胁情报联动机制，提升未知威胁发现与溯源能力；通过标准化日志收集与归一化处理，构建统一安全数据湖；借助安全编排与自动化响应（SOAR）技术，将跨设备联动响应流程化；并通过定期攻防演练验证防御体系有效性，持续优化策略，构建全局技术防御体系。</w:t>
      </w:r>
      <w:r/>
    </w:p>
    <w:p>
      <w:pPr>
        <w:pBdr/>
        <w:spacing/>
        <w:ind/>
        <w:rPr/>
      </w:pPr>
      <w:r>
        <w:rPr>
          <w:sz w:val="21"/>
        </w:rPr>
        <w:t xml:space="preserve">项目管理难点方面，本次服务周期长达两年，涉及等保测评、渗透测试、应急响应、安全运营、培训演练等多</w:t>
      </w:r>
      <w:r>
        <w:rPr>
          <w:sz w:val="21"/>
        </w:rPr>
        <w:t xml:space="preserve">项工作，工作内容繁杂且专业要求高，需要兼顾人员稳定性与多方协同。具体难点包括：一是服务周期长，核心技术人员可能流动，导致项目交接成本高、服务质量波动；二是项目干系人涉及甲方信息科技部、各业务部门以及多个外部服务商，沟通链路长，需求变更频繁，需有效管理期望与进度；三是安全服务效果难以量化，需要建立科学的质量考核体系。针对上述项目管理难点，本公司将通过标准化服务流程（SOP）、明确角色分工与责任矩阵、执行周报月报与例会制度、建立问题升级与闭环管理机制，以及实施全过程质量控制，确保项目顺利交付并保持服务质量稳定。</w:t>
      </w:r>
      <w:r/>
    </w:p>
    <w:p>
      <w:pPr>
        <w:pBdr/>
        <w:spacing/>
        <w:ind/>
        <w:rPr/>
      </w:pPr>
      <w:r>
        <w:rPr>
          <w:sz w:val="21"/>
        </w:rPr>
        <w:t xml:space="preserve">应对策略框架遵循“预防为主、主动防御、持续改进”的原则，通过强化风险评估、优化资源配置、完善流程规范、引入自动化工具等手段，确保服务方案具有可操作性与适应性。同时建立动态反馈与持续改进机制，将每次安全事件、演练结果、审计发现作为改进输入，定期更新风险处置策略和服务方案。具体到业务、技术与项目管理三个维度的详细对策，将在本方案后续章节分类阐述。</w:t>
      </w:r>
      <w:r/>
    </w:p>
    <w:p>
      <w:pPr>
        <w:pBdr/>
        <w:spacing/>
        <w:ind/>
        <w:rPr/>
      </w:pPr>
      <w:r>
        <w:t xml:space="preserve">4.2.1关键技术难点识别与应对</w:t>
      </w:r>
      <w:r/>
    </w:p>
    <w:p>
      <w:pPr>
        <w:pBdr/>
        <w:spacing/>
        <w:ind/>
        <w:rPr/>
      </w:pPr>
      <w:r>
        <w:t xml:space="preserve">4.2.1关键技术难点识别与应对</w:t>
      </w:r>
      <w:r/>
    </w:p>
    <w:p>
      <w:pPr>
        <w:pBdr/>
        <w:spacing/>
        <w:ind/>
        <w:rPr/>
      </w:pPr>
      <w:r>
        <w:rPr>
          <w:b/>
          <w:sz w:val="21"/>
        </w:rPr>
        <w:t xml:space="preserve">安全运营复杂性</w:t>
      </w:r>
      <w:r>
        <w:rPr>
          <w:sz w:val="21"/>
        </w:rPr>
        <w:t xml:space="preserve">：金融机构安全运营涉及多类业务系统与海量安全日志，告警量大且误报率高，安全事件响应时效要求严苛。我司采用智能安全运营平台，结合安全专家经验与机器学习算法，对告警进行降噪和关联分析，建立分级响应机制，实现7×24小时监测与快速处置，确保安全事件有效闭环。</w:t>
      </w:r>
      <w:r/>
    </w:p>
    <w:p>
      <w:pPr>
        <w:pBdr/>
        <w:spacing/>
        <w:ind/>
        <w:rPr/>
      </w:pPr>
      <w:r>
        <w:rPr>
          <w:sz w:val="21"/>
        </w:rPr>
        <w:t xml:space="preserve">针对多源异构安全数据，我们建立统一的日志接入与标准化解析层，通过特征工程与行为基线建模提升检测精度，利用SOAR编排自动化响应流程，将常见威胁的处置时间缩短至分钟级。同时，我们引入威胁情报联动机制，将外部情报与内部资产画像关联，及时发现新型攻击苗头，并定期开展安全运营复盘，持续优化检测规则与响应流程，确保运营体系适应不断演变的威胁环境。</w:t>
      </w:r>
      <w:r/>
    </w:p>
    <w:p>
      <w:pPr>
        <w:pBdr/>
        <w:spacing/>
        <w:ind/>
        <w:rPr/>
      </w:pPr>
      <w:r>
        <w:rPr>
          <w:b/>
          <w:sz w:val="21"/>
        </w:rPr>
        <w:t xml:space="preserve">攻防演练高要求</w:t>
      </w:r>
      <w:r>
        <w:rPr>
          <w:sz w:val="21"/>
        </w:rPr>
        <w:t xml:space="preserve">：实战攻防演练中攻击手段复杂隐蔽，防守方需具备全面检测、及时阻断与溯源能力。我司通过前期资产梳理与漏洞排查，部署蜜罐诱捕与攻击诱饵，强化边界和内网流量监测，演练期间安排渗透测试与安全运营人员协同值守，配套应急响应预案，确保真实攻击下可快速定位、隔离并溯源。</w:t>
      </w:r>
      <w:r/>
    </w:p>
    <w:p>
      <w:pPr>
        <w:pBdr/>
        <w:spacing/>
        <w:ind/>
        <w:rPr/>
      </w:pPr>
      <w:r>
        <w:rPr>
          <w:sz w:val="21"/>
        </w:rPr>
        <w:t xml:space="preserve">此外，我们采用威胁狩猎方法主动搜寻绕过传统防护的隐蔽入侵，利用EDR和NDR构建端点与网络双层态势感知，对异常行为进行深度分析。在演练前开展基于真实业务场景的红蓝对抗推演，验证现有防御体系有效性并提前修补薄弱环节；演练中实时追踪攻击者TTP，动态调整防护策略，同时建立与监管机构和同行业伙伴的情报共享渠道，形成协同防御合力，提升整体对抗效能。</w:t>
      </w:r>
      <w:r/>
    </w:p>
    <w:p>
      <w:pPr>
        <w:pBdr/>
        <w:spacing/>
        <w:ind/>
        <w:rPr/>
      </w:pPr>
      <w:r>
        <w:rPr>
          <w:b/>
          <w:sz w:val="21"/>
        </w:rPr>
        <w:t xml:space="preserve">数据安全与合规约束</w:t>
      </w:r>
      <w:r>
        <w:rPr>
          <w:sz w:val="21"/>
        </w:rPr>
        <w:t xml:space="preserve">：资管行业数据敏感度高，安全服务必须兼顾监管合规。我司严格遵循数据安全管理制度，对服务过程中接触的日志、配置和样本数据进行脱敏与加密，操作全程留痕，并按照等级保护与行业监管要求执行安全策略，确保服务过程安全合规。</w:t>
      </w:r>
      <w:r/>
    </w:p>
    <w:p>
      <w:pPr>
        <w:pBdr/>
        <w:spacing/>
        <w:ind/>
        <w:rPr/>
      </w:pPr>
      <w:r>
        <w:rPr>
          <w:sz w:val="21"/>
        </w:rPr>
        <w:t xml:space="preserve">为满足金融行业严苛的数据安全规范，我们建立数据资产分类分级清单，实施数据最小化采集与使用原则，对敏感操作执行双人审批与审计追溯。安全工具和平台均支持国密算法与私有化部署，数据外发前经过严格的内容过滤和脱敏处理。与此同时，我们定期开展合规性自查与员工数据安全意识培训，确保所有服务行为符合《数据安全法》《个人信息保护法》及相关行业监管要求，在保障安全能力的同时切实履行数据安全保护义务。</w:t>
      </w:r>
      <w:r/>
    </w:p>
    <w:p>
      <w:pPr>
        <w:pBdr/>
        <w:spacing/>
        <w:ind/>
        <w:rPr/>
      </w:pPr>
      <w:r>
        <w:t xml:space="preserve">4.2.2项目管理难点分析与对策</w:t>
      </w:r>
      <w:r/>
    </w:p>
    <w:p>
      <w:pPr>
        <w:pBdr/>
        <w:spacing/>
        <w:ind/>
        <w:rPr/>
      </w:pPr>
      <w:r>
        <w:t xml:space="preserve">4.2.2项目管理难点分析与对策</w:t>
      </w:r>
      <w:r/>
    </w:p>
    <w:p>
      <w:pPr>
        <w:pBdr/>
        <w:spacing/>
        <w:ind/>
        <w:rPr/>
      </w:pPr>
      <w:r>
        <w:rPr>
          <w:sz w:val="21"/>
        </w:rPr>
        <w:t xml:space="preserve">项目管理是保障中邮资管2026-2027年网络安全服务项目顺利实施的核心环节。针对本项目服务内容多、周期长、质量要求高的特点，需重点解决以下难点并采取相应措施。</w:t>
      </w:r>
      <w:r/>
    </w:p>
    <w:p>
      <w:pPr>
        <w:pBdr/>
        <w:spacing/>
        <w:ind/>
        <w:rPr/>
      </w:pPr>
      <w:r>
        <w:rPr>
          <w:b/>
          <w:sz w:val="21"/>
        </w:rPr>
        <w:t xml:space="preserve">多线程安全服务并发管理：</w:t>
      </w:r>
      <w:r>
        <w:rPr>
          <w:sz w:val="21"/>
        </w:rPr>
        <w:t xml:space="preserve"> 本项目涉及渗透测试、漏洞扫描、安全加固、应急响应等多个安全服务并行实施，资源冲突与任务交叉是主要难点。对策为制定详细的项目实施计划，采用WBS任务分解，明确每项服务的执行顺序和资源分配；设置专职项目经理统筹调度，每日召开站会同步进度，每周发布项目周报，确保各项服务有条不紊推进。</w:t>
      </w:r>
      <w:r/>
    </w:p>
    <w:p>
      <w:pPr>
        <w:pBdr/>
        <w:spacing/>
        <w:ind/>
        <w:rPr/>
      </w:pPr>
      <w:r>
        <w:rPr>
          <w:b/>
          <w:sz w:val="21"/>
        </w:rPr>
        <w:t xml:space="preserve">时间节点控制：</w:t>
      </w:r>
      <w:r>
        <w:rPr>
          <w:sz w:val="21"/>
        </w:rPr>
        <w:t xml:space="preserve"> 项目周期跨2026至2027年，阶段性强，时间节点紧张。对策为建立里程碑管理机制，将项目划分为启动、实施、验收等阶段，每个阶段设置明确的关键节点和交付物；运用项目管理工具跟踪实际进度与计划偏差，对可能延误的任务提前预警并制定赶工措施，确保按时交付。</w:t>
      </w:r>
      <w:r/>
    </w:p>
    <w:p>
      <w:pPr>
        <w:pBdr/>
        <w:spacing/>
        <w:ind/>
        <w:rPr/>
      </w:pPr>
      <w:r>
        <w:rPr>
          <w:b/>
          <w:sz w:val="21"/>
        </w:rPr>
        <w:t xml:space="preserve">沟通协调：</w:t>
      </w:r>
      <w:r>
        <w:rPr>
          <w:sz w:val="21"/>
        </w:rPr>
        <w:t xml:space="preserve"> 项目涉及甲方信息技术部、安全团队、业务部门等多方，沟通不畅易导致需求理解偏差和决策延迟。对策为建立分层沟通机制，明确各层级对接人和汇报频率；定期召开项目例会、阶段汇报会和专题沟通会，及时同步项目进展；设立问题升级渠道，确保重大事项快速决策。</w:t>
      </w:r>
      <w:r/>
    </w:p>
    <w:p>
      <w:pPr>
        <w:pBdr/>
        <w:spacing/>
        <w:ind/>
        <w:rPr/>
      </w:pPr>
      <w:r>
        <w:rPr>
          <w:b/>
          <w:sz w:val="21"/>
        </w:rPr>
        <w:t xml:space="preserve">质量保障：</w:t>
      </w:r>
      <w:r>
        <w:rPr>
          <w:sz w:val="21"/>
        </w:rPr>
        <w:t xml:space="preserve"> 网络安全服务质量直接影响企业安全防护效果，如何确保服务成果符合标准是难点。对策为建立覆盖全过程的质量管理体系，制定各项服务的质量标准和验收规范；实行实施人员自检、项目经理复核、公司质量部终审的三级审核制度；引入客户满意度调查，持续改进服务质量。</w:t>
      </w:r>
      <w:r/>
    </w:p>
    <w:p>
      <w:pPr>
        <w:pBdr/>
        <w:spacing/>
        <w:ind/>
        <w:rPr/>
      </w:pPr>
      <w:r>
        <w:rPr>
          <w:sz w:val="21"/>
        </w:rPr>
        <w:t xml:space="preserve">另外，针对人员稳定性，将加强团队建设与知识管理，通过AB角机制确保人员变动不中断服务。</w:t>
      </w:r>
      <w:r/>
    </w:p>
    <w:p>
      <w:pPr>
        <w:pBdr/>
        <w:spacing/>
        <w:ind/>
        <w:rPr/>
      </w:pPr>
      <w:r>
        <w:t xml:space="preserve">4.2.3服务风险防控与应急预案</w:t>
      </w:r>
      <w:r/>
    </w:p>
    <w:p>
      <w:pPr>
        <w:pBdr/>
        <w:spacing/>
        <w:ind/>
        <w:rPr/>
      </w:pPr>
      <w:r>
        <w:t xml:space="preserve">4.2.3服务风险防控与应急预案</w:t>
      </w:r>
      <w:r/>
    </w:p>
    <w:p>
      <w:pPr>
        <w:pBdr/>
        <w:spacing/>
        <w:ind/>
        <w:rPr/>
      </w:pPr>
      <w:r>
        <w:rPr>
          <w:b/>
          <w:sz w:val="21"/>
        </w:rPr>
        <w:t xml:space="preserve">风险识别：</w:t>
      </w:r>
      <w:r>
        <w:rPr>
          <w:sz w:val="21"/>
        </w:rPr>
        <w:t xml:space="preserve"> 重点防控人员变动、技术故障、安全事件处置延误等风险，同时覆盖数据泄露、勒索病毒攻击、供应链安全、钓鱼邮件等常见网络安全威胁。我们将在项目启动初期建立风险登记册，结合历史项目经验与最新的威胁情报，对服务过程中可能出现的各类风险进行系统化识别与分级，确保风险防控无死角。针对每一类风险，明确风险触发条件、影响范围及可能造成的后果，为后续制定针对性的防控措施提供依据。</w:t>
      </w:r>
      <w:r/>
    </w:p>
    <w:p>
      <w:pPr>
        <w:pBdr/>
        <w:spacing/>
        <w:ind/>
        <w:rPr/>
      </w:pPr>
      <w:r>
        <w:rPr>
          <w:b/>
          <w:sz w:val="21"/>
        </w:rPr>
        <w:t xml:space="preserve">防控措施：</w:t>
      </w:r>
      <w:r>
        <w:rPr>
          <w:sz w:val="21"/>
        </w:rPr>
        <w:t xml:space="preserve"> 制定详细应急预案，建立应急组织，项目经理担任应急总指挥，明确各岗位职责。同时，设立应急后备小组，确保关键岗位人员变更时能够无缝接管。针对技术故障，我们预先配置冗余设备和备用工具，建立工具健康检查机制，定期对设备与软件进行维护和升级，降低故障发生概率。针对人员变动，我们实行AB角制度，核心岗位均配备备选人员，并开展交叉培训，确保人员流动不影响服务质量。应急预案覆盖各类可能的安全事件，并明确启动条件、处置流程和资源调配方案，确保在收到安全事件告警后能够快速响应。</w:t>
      </w:r>
      <w:r/>
    </w:p>
    <w:p>
      <w:pPr>
        <w:pBdr/>
        <w:spacing/>
        <w:ind/>
        <w:rPr/>
      </w:pPr>
      <w:r>
        <w:rPr>
          <w:b/>
          <w:sz w:val="21"/>
        </w:rPr>
        <w:t xml:space="preserve">响应流程：</w:t>
      </w:r>
      <w:r>
        <w:rPr>
          <w:sz w:val="21"/>
        </w:rPr>
        <w:t xml:space="preserve"> 发现事件后立即启动应急响应，按报告、处置、恢复、总结流程执行。报告阶段：事件发现者立即向应急总指挥汇报，并整理书面材料，确保信息准确传递。处置阶段：根据事件等级启动相应预案，应急小组迅速开展分析、隔离、遏制和消除工作，必要时协调外部专家或厂商支援。恢复阶段：在确认风险消除后，逐步恢复业务系统运行，并对受影响系统进行加固和复查，确保无残留风险。总结阶段：事件处置完成后，组织复盘会议，分析根本原因，输出详尽的事件报告，提出改进措施并更新应急预案。</w:t>
      </w:r>
      <w:r/>
    </w:p>
    <w:p>
      <w:pPr>
        <w:pBdr/>
        <w:spacing/>
        <w:ind/>
        <w:rPr/>
      </w:pPr>
      <w:r>
        <w:rPr>
          <w:b/>
          <w:sz w:val="21"/>
        </w:rPr>
        <w:t xml:space="preserve">演练与评估：</w:t>
      </w:r>
      <w:r>
        <w:rPr>
          <w:sz w:val="21"/>
        </w:rPr>
        <w:t xml:space="preserve"> 定期开展应急演练，检验预案可行性，评估防控效果并持续调整。演练计划包括桌面推演和实战演练，覆盖勒索病毒攻击、数据泄露、钓鱼邮件、系统故障等多种场景。每次演练后，组织参与人员进行复盘，评估预案中各环节的执行效率，发现漏洞并优化。同时，我们建立持续改进机制，根据实际事件处置经验、演练成果以及外部威胁态势的变化，定期更新风险登记册和应急预案，确保应急响应能力始终与当前安全威胁保持一致。</w:t>
      </w:r>
      <w:r/>
    </w:p>
    <w:p>
      <w:pPr>
        <w:pBdr/>
        <w:spacing/>
        <w:ind/>
        <w:rPr/>
      </w:pPr>
      <w:r>
        <w:t xml:space="preserve">4.3总体服务方案设计</w:t>
      </w:r>
      <w:r/>
    </w:p>
    <w:p>
      <w:pPr>
        <w:pBdr/>
        <w:spacing/>
        <w:ind/>
        <w:rPr/>
      </w:pPr>
      <w:r>
        <w:t xml:space="preserve">4.3总体服务方案设计</w:t>
      </w:r>
      <w:r/>
    </w:p>
    <w:p>
      <w:pPr>
        <w:pBdr/>
        <w:spacing/>
        <w:ind/>
        <w:rPr/>
      </w:pPr>
      <w:r>
        <w:rPr>
          <w:b/>
          <w:sz w:val="21"/>
        </w:rPr>
        <w:t xml:space="preserve">总体思路</w:t>
      </w:r>
      <w:r/>
    </w:p>
    <w:p>
      <w:pPr>
        <w:pBdr/>
        <w:spacing/>
        <w:ind/>
        <w:rPr/>
      </w:pPr>
      <w:r>
        <w:rPr>
          <w:sz w:val="21"/>
        </w:rPr>
        <w:t xml:space="preserve">针对中邮资管2026-2027年网络安全服务采购项目，北京国舜科技股份有限公司以“全面防护、主动响应、持续改进”为核心，设计覆盖事前防范、事中监测、事后处置全流程的整体服务方案。方案以资产和风险为导向，整合安全评估、渗透测试、安全运维、应急响应等服务内容，形成闭环服务体系。</w:t>
      </w:r>
      <w:r/>
    </w:p>
    <w:p>
      <w:pPr>
        <w:pBdr/>
        <w:spacing/>
        <w:ind/>
        <w:rPr/>
      </w:pPr>
      <w:r>
        <w:rPr>
          <w:sz w:val="21"/>
        </w:rPr>
        <w:t xml:space="preserve">方案以资产、风险与合规三维驱动为设计导向，强调事前预防为主、事中监测为要、事后处置为基的服务理念。所有服务均以客户业务连续性为根本，通过持续的风险识别与整改闭环，将安全能力深度融入日常运营管理。同时，依托公司自主研发的安全工具和国家级安全服务实战经验，确保方案既具备理论先进性，又具备落地可行性。</w:t>
      </w:r>
      <w:r/>
    </w:p>
    <w:p>
      <w:pPr>
        <w:pBdr/>
        <w:spacing/>
        <w:ind/>
        <w:rPr/>
      </w:pPr>
      <w:r>
        <w:rPr>
          <w:b/>
          <w:sz w:val="21"/>
        </w:rPr>
        <w:t xml:space="preserve">服务范围与内容框架</w:t>
      </w:r>
      <w:r/>
    </w:p>
    <w:p>
      <w:pPr>
        <w:pBdr/>
        <w:spacing/>
        <w:ind/>
        <w:rPr/>
      </w:pPr>
      <w:r>
        <w:rPr>
          <w:sz w:val="21"/>
        </w:rPr>
        <w:t xml:space="preserve">服务范围涵盖安全咨询、风险评估、安全加固、日志与流量监测、威胁情报分析、应急响应及安全值守等。内容框架分为基础、专项和增值三个层级，相互衔接、动态调整。</w:t>
      </w:r>
      <w:r/>
    </w:p>
    <w:p>
      <w:pPr>
        <w:pBdr/>
        <w:spacing/>
        <w:ind/>
        <w:rPr/>
      </w:pPr>
      <w:r>
        <w:rPr>
          <w:sz w:val="21"/>
        </w:rPr>
        <w:t xml:space="preserve">基础服务聚焦常态化安全运营，提供持续监测、巡检与维护；专项服务针对高危漏洞、重大威胁和关键业务场景，开展渗透测试、应急演练与攻防对抗；增值服务围绕安全意识提升、数据安全治理和管理优化提供定制化支撑。三个层级并非彼此独立，而是通过统一的服务目录和协作流程实现联动：基础服务发现的风险可及时触发专项服务，专项服务成果可反向优化基础服务策略，增值服务则对整体安全水位持续提升，形成动态演进的服务体系。</w:t>
      </w:r>
      <w:r/>
    </w:p>
    <w:p>
      <w:pPr>
        <w:pBdr/>
        <w:spacing/>
        <w:ind/>
        <w:rPr/>
      </w:pPr>
      <w:r>
        <w:rPr>
          <w:b/>
          <w:sz w:val="21"/>
        </w:rPr>
        <w:t xml:space="preserve">服务流程与组织架构</w:t>
      </w:r>
      <w:r/>
    </w:p>
    <w:p>
      <w:pPr>
        <w:pBdr/>
        <w:spacing/>
        <w:ind/>
        <w:rPr/>
      </w:pPr>
      <w:r>
        <w:rPr>
          <w:sz w:val="21"/>
        </w:rPr>
        <w:t xml:space="preserve">服务流程遵循PDCA循环，完成需求确认、方案制定、实施执行、效果评估和总结反馈，并通过关键节点评审保障质量。</w:t>
      </w:r>
      <w:r/>
    </w:p>
    <w:p>
      <w:pPr>
        <w:pBdr/>
        <w:spacing/>
        <w:ind/>
        <w:rPr/>
      </w:pPr>
      <w:r>
        <w:rPr>
          <w:sz w:val="21"/>
        </w:rPr>
        <w:t xml:space="preserve">方案在实施过程中实行项目责任制和关键节点评审制，由项目经理统筹协调，确保各服务节点有序衔接。同时建立双向沟通机制，定期向客户汇报进展与风险，及时收集反馈并调整方案，以适应不断变化的威胁环境。此外，通过标准化交付文档和量化评价指标，确保服务成效可度量、可追溯，为后续质量控制、人员稳定和持续改进等保障措施奠定管理基础。组织架构由项目管理、技术实施和应急支持三组构成，实行项目经理负责制，确保响应及时、处置高效。后续章节将详述质量控制、人员稳定和持续改进等保障措施。</w:t>
      </w:r>
      <w:r/>
    </w:p>
    <w:p>
      <w:pPr>
        <w:pBdr/>
        <w:spacing/>
        <w:ind/>
        <w:rPr/>
      </w:pPr>
      <w:r>
        <w:t xml:space="preserve">4.3.1服务架构与技术路线设计</w:t>
      </w:r>
      <w:r/>
    </w:p>
    <w:p>
      <w:pPr>
        <w:pBdr/>
        <w:spacing/>
        <w:ind/>
        <w:rPr/>
      </w:pPr>
      <w:r>
        <w:t xml:space="preserve">4.3.1服务架构与技术路线设计</w:t>
      </w:r>
      <w:r/>
    </w:p>
    <w:p>
      <w:pPr>
        <w:pBdr/>
        <w:spacing/>
        <w:ind/>
        <w:rPr/>
      </w:pPr>
      <w:r>
        <w:rPr>
          <w:b/>
          <w:sz w:val="21"/>
        </w:rPr>
        <w:t xml:space="preserve">总体服务架构</w:t>
      </w:r>
      <w:r/>
    </w:p>
    <w:p>
      <w:pPr>
        <w:pBdr/>
        <w:spacing/>
        <w:ind/>
        <w:rPr/>
      </w:pPr>
      <w:r>
        <w:rPr>
          <w:sz w:val="21"/>
        </w:rPr>
        <w:t xml:space="preserve">围绕中邮资管网络安全服务需求，构建以安全运营为中心、攻防能力为支撑的一体化服务架构。整体分为四层：基础安全服务层负责资产梳理、漏洞扫描、基线核查等例行工作；安全运营层基于平台对日志与流量进行关联分析，实现威胁监测和工单闭环；攻防对抗层面向渗透测试、攻防演练和重保场景，提供攻击模拟、漏洞验证、溯源反制等专项能力；持续改进层依据运营数据和攻防结果优化安全策略，推动体系持续进化。</w:t>
      </w:r>
      <w:r/>
    </w:p>
    <w:p>
      <w:pPr>
        <w:pBdr/>
        <w:spacing/>
        <w:ind/>
        <w:rPr/>
      </w:pPr>
      <w:r>
        <w:rPr>
          <w:sz w:val="21"/>
        </w:rPr>
        <w:t xml:space="preserve">其中，安全运营层是整体架构的中枢，通过建立统一的威胁检测与响应（TDR）流程，将基础安全服务层发现的资产脆弱性、攻防对抗层输出的攻击路径验证结果以及持续改进层生成的策略基线进行汇聚，形成“资产—风险—事件—改进”的闭环管理。为保障各层协同高效，项目组将设立联合指挥中心，明确事件分级响应机制和跨层工单流转规范，确保从发现到处置不超过既定时限。同时，所有服务过程数据均按分级分类要求存储加密，并通过季度复盘会议向客户汇报运营成效。各层级数据互通、流程联动，形成完整闭环。</w:t>
      </w:r>
      <w:r/>
    </w:p>
    <w:p>
      <w:pPr>
        <w:pBdr/>
        <w:spacing/>
        <w:ind/>
        <w:rPr/>
      </w:pPr>
      <w:r>
        <w:rPr>
          <w:b/>
          <w:sz w:val="21"/>
        </w:rPr>
        <w:t xml:space="preserve">技术路线</w:t>
      </w:r>
      <w:r/>
    </w:p>
    <w:p>
      <w:pPr>
        <w:pBdr/>
        <w:spacing/>
        <w:ind/>
        <w:rPr/>
      </w:pPr>
      <w:r>
        <w:rPr>
          <w:sz w:val="21"/>
        </w:rPr>
        <w:t xml:space="preserve">采用“标准化流程+自动化工具+专家研判”的技术路线。方法论上遵循PDCA循环，将服务过程划分为资产识别、脆弱性检测、威胁分析、响应处置、复盘改进五个阶段，并参考OWASP、PTES、NIST等业界标准进行裁剪。平台工具方面，依托公司自主研发的安全运营平台、漏洞管理系统和攻防演练平台，实现告警聚合、工单流转、知识库沉淀；针对特定场景定制自动化脚本，提升效率。所有核心平台均为自主知识产权，支持私有化部署和源代码级定制，确保服务过程自主可控。</w:t>
      </w:r>
      <w:r/>
    </w:p>
    <w:p>
      <w:pPr>
        <w:pBdr/>
        <w:spacing/>
        <w:ind/>
        <w:rPr/>
      </w:pPr>
      <w:r>
        <w:rPr>
          <w:sz w:val="21"/>
        </w:rPr>
        <w:t xml:space="preserve">工具选型方面，优先采用经过实际攻防检验的自研平台，漏洞扫描器支持CVE/CNVD/CNNVD漏洞库同步，攻防演练平台内置ATT&amp;CK攻击模型和自动化评估引擎。方法论应用上，在渗透测试环节参照PTES和OWASP Testing Guide定制检测用例库；在应急响应环节遵循NIST SP 800-61六阶段流程，并结合公司沉淀的应急预案库进行裁剪。自动化方面，通过脚本托管平台对常用工具进行编排，实现批量资产探测、漏洞验证、结果报告自动生成，同时保留人工专家复核环节，确保低误报与高质量交付。</w:t>
      </w:r>
      <w:r/>
    </w:p>
    <w:p>
      <w:pPr>
        <w:pBdr/>
        <w:spacing/>
        <w:ind/>
        <w:rPr/>
      </w:pPr>
      <w:r>
        <w:t xml:space="preserve">4.3.2分项服务实施方案</w:t>
      </w:r>
      <w:r/>
    </w:p>
    <w:p>
      <w:pPr>
        <w:pBdr/>
        <w:spacing/>
        <w:ind/>
        <w:rPr/>
      </w:pPr>
      <w:r>
        <w:t xml:space="preserve">4.3.2分项服务实施方案</w:t>
      </w:r>
      <w:r/>
    </w:p>
    <w:p>
      <w:pPr>
        <w:pBdr/>
        <w:spacing/>
        <w:ind/>
        <w:rPr/>
      </w:pPr>
      <w:r>
        <w:rPr>
          <w:sz w:val="21"/>
        </w:rPr>
        <w:t xml:space="preserve">针对本项目分项安全服务，我公司制定了标准化实施框架，结合资产画像、威胁情报与合规要求，逐项细化流程、技术方法、交付物与质量标准，确保每一项服务可执行、可度量、可追溯。具体分项方案如下：</w:t>
      </w:r>
      <w:r/>
    </w:p>
    <w:p>
      <w:pPr>
        <w:pStyle w:val="904"/>
        <w:pBdr/>
        <w:spacing/>
        <w:ind/>
        <w:rPr/>
      </w:pPr>
      <w:r>
        <w:rPr>
          <w:b/>
        </w:rPr>
        <w:t xml:space="preserve">安全运营</w:t>
      </w:r>
      <w:r>
        <w:t xml:space="preserve">：采用“识别-防护-监测-响应-恢复”闭环模型，以资产管理为基础，依托态势感知平台开展7×24小时实时监测；通过告警分级、威胁狩猎、事件研判与工单联动形成标准化处置流程；每日开展规则调优与误报治理，每周输出运营周报，每月开展脆弱性管理复盘。交付物包括安全运营日报、周报、月报，告警处置记录，分析研判报告与优化建议清单。质量指标包括告警处置及时率不低于约定阈值、误报率持续降低、重大事件发现率100%，并定期开展服务满意度评估。</w:t>
      </w:r>
      <w:r/>
    </w:p>
    <w:p>
      <w:pPr>
        <w:pStyle w:val="904"/>
        <w:pBdr/>
        <w:spacing/>
        <w:ind/>
        <w:rPr/>
      </w:pPr>
      <w:r>
        <w:rPr>
          <w:b/>
        </w:rPr>
        <w:t xml:space="preserve">渗透测试</w:t>
      </w:r>
      <w:r>
        <w:t xml:space="preserve">：依据PTES和OWASP测试框架，采用黑盒、白盒与灰盒相结合的方式，分为信息收集、威胁建模、漏洞探测、验证利用、后渗透分析与报告输出六个阶段；明确测试边界与保密协议，使用经授权的专业工具及自研工具，避免影响业务连续性。交付物包括渗透测试报告、漏洞复测记录、漏洞验证截图与整改建议；对于高危漏洞，复测通过后方可关闭工单。质量指标包括高危漏洞复测通过率100%、漏洞发现覆盖率、测试过程可追溯性以及报告规范性。</w:t>
      </w:r>
      <w:r/>
    </w:p>
    <w:p>
      <w:pPr>
        <w:pStyle w:val="904"/>
        <w:pBdr/>
        <w:spacing/>
        <w:ind/>
        <w:rPr/>
      </w:pPr>
      <w:r>
        <w:rPr>
          <w:b/>
        </w:rPr>
        <w:t xml:space="preserve">攻防演练</w:t>
      </w:r>
      <w:r>
        <w:t xml:space="preserve">：结合真实威胁场景设计演练方案，明确攻击队、防守队、裁判组与指挥部职责；演练前开展安全排查与策略优化，演练中采用多种攻击路径检验检测与响应能力，演练后组织复盘会议，输出演练总结报告、防守能力评估表与整改跟踪清单。以攻击成功率、防守阻断率、时间线响应效率作为评估指标，并推动安全策略与应急流程持续改进。</w:t>
      </w:r>
      <w:r/>
    </w:p>
    <w:p>
      <w:pPr>
        <w:pStyle w:val="904"/>
        <w:pBdr/>
        <w:spacing/>
        <w:ind/>
        <w:rPr/>
      </w:pPr>
      <w:r>
        <w:rPr>
          <w:b/>
        </w:rPr>
        <w:t xml:space="preserve">重要时期保障</w:t>
      </w:r>
      <w:r>
        <w:t xml:space="preserve">：形成“备战-临战-实战-总结”四阶段保障机制。备战期开展资产梳理、漏洞扫描、渗透测试与策略优化；临战期实施封网管理、安全值守排班和应急物资准备；实战期驻场值守、实时监测、每日研判，对告警和信息进行小时级汇总；总结期提交保障总结报告并完成事件复盘与改进措施。质量指标为重大活动期间无重大安全事件、安全事件响应及时率100%、保障报告按期交付率100%。</w:t>
      </w:r>
      <w:r/>
    </w:p>
    <w:p>
      <w:pPr>
        <w:pStyle w:val="904"/>
        <w:pBdr/>
        <w:spacing/>
        <w:ind/>
        <w:rPr/>
      </w:pPr>
      <w:r>
        <w:rPr>
          <w:b/>
        </w:rPr>
        <w:t xml:space="preserve">应急响应</w:t>
      </w:r>
      <w:r>
        <w:t xml:space="preserve">：建立基于事件分级（一般、较大、重大、特别重大）的应急响应机制，明确启动条件、处置流程与上报路径；提供7×24小时应急支持，从抑制、根除、恢复到溯源取证分步实施；针对勒索病毒、APT攻击、数据泄露等典型场景预设处置预案。交付物包括应急响应报告、溯源分析报告、处置时间线、整改建议与加固方案。质量指标包括应急响应到达时间、根因分析准确率、处置有效性与复测验证通过率。</w:t>
      </w:r>
      <w:r/>
    </w:p>
    <w:p>
      <w:pPr>
        <w:pBdr/>
        <w:spacing/>
        <w:ind/>
        <w:rPr/>
      </w:pPr>
      <w:r>
        <w:t xml:space="preserve">4.3.3服务质量控制与考核机制</w:t>
      </w:r>
      <w:r/>
    </w:p>
    <w:p>
      <w:pPr>
        <w:pBdr/>
        <w:spacing/>
        <w:ind/>
        <w:rPr/>
      </w:pPr>
      <w:r>
        <w:t xml:space="preserve">4.3.3服务质量控制与考核机制</w:t>
      </w:r>
      <w:r/>
    </w:p>
    <w:p>
      <w:pPr>
        <w:pBdr/>
        <w:spacing/>
        <w:ind/>
        <w:rPr/>
      </w:pPr>
      <w:r>
        <w:rPr>
          <w:sz w:val="21"/>
        </w:rPr>
        <w:t xml:space="preserve">建立量化服务监控指标体系，涵盖响应时效、处置质量、客户满意度、报告规范性等维度。每项指标设定明确的基线值与目标值，采用评分制形成可量化的服务质量指数。月度考核聚焦日常运维执行情况，包括事件响应时效、漏洞修复及时率、巡检完成率等；季度考核在此基础上增加对整体安全态势改善效果、服务水平协议履约情况的综合评估。所有考核结果形成书面记录，与项目团队绩效挂钩，未达标项须在要求时限内提交整改措施，并纳入下一周期复核闭环。</w:t>
      </w:r>
      <w:r/>
    </w:p>
    <w:p>
      <w:pPr>
        <w:pBdr/>
        <w:spacing/>
        <w:ind/>
        <w:rPr/>
      </w:pPr>
      <w:r>
        <w:rPr>
          <w:sz w:val="21"/>
        </w:rPr>
        <w:t xml:space="preserve">定期开展满意度调查，采用线上问卷与访谈相结合的方式，覆盖采购人各相关部门及关键用户。调查内容涵盖服务响应态度、技术支持专业度、问题解决效果、沟通协作顺畅度等维度。每次调查后形成满意度分析报告，对评分较低的项目制定专项提升计划，并跟踪落实。满意度调查结果作为服务质量考核的重要参考依据。</w:t>
      </w:r>
      <w:r/>
    </w:p>
    <w:p>
      <w:pPr>
        <w:pBdr/>
        <w:spacing/>
        <w:ind/>
        <w:rPr/>
      </w:pPr>
      <w:r>
        <w:rPr>
          <w:sz w:val="21"/>
        </w:rPr>
        <w:t xml:space="preserve">建立完善的服务报告机制，按月提交执行报告，内容包含服务事项完成情况、指标达成统计、未达标原因分析及改进建议；按季提交质量分析报告，对季度内服务数据进行深度剖析，识别潜在风险与优化机会，提出下一季度服务策略调整建议。重大安全事件、重要时期保障等专项工作，在完成后及时提交专项汇报，确保采购人第一时间掌握关键信息。</w:t>
      </w:r>
      <w:r/>
    </w:p>
    <w:p>
      <w:pPr>
        <w:pBdr/>
        <w:spacing/>
        <w:ind/>
        <w:rPr/>
      </w:pPr>
      <w:r>
        <w:rPr>
          <w:sz w:val="21"/>
        </w:rPr>
        <w:t xml:space="preserve">坚持季度评审会议制度，由项目负责人组织，与采购人共同审视服务成效，回顾考核指标完成情况，讨论未达标项的根因及纠正措施。评审会形成会议纪要，明确责任分工与整改时限。根据评审结论动态调整服务计划与资源配置，实现服务质量持续改进。同时建立服务质量投诉与建议渠道，确保采购人意见及时传递至项目团队，形成闭环管理，全面保障服务交付质量满足采购人要求。</w:t>
      </w:r>
      <w:r/>
    </w:p>
    <w:p>
      <w:pPr>
        <w:pBdr/>
        <w:spacing/>
        <w:ind/>
        <w:rPr/>
      </w:pPr>
      <w:r>
        <w:t xml:space="preserve">4.4项目人员配置方案</w:t>
      </w:r>
      <w:r/>
    </w:p>
    <w:p>
      <w:pPr>
        <w:pBdr/>
        <w:spacing/>
        <w:ind/>
        <w:rPr/>
      </w:pPr>
      <w:r>
        <w:t xml:space="preserve">4.4项目人员配置方案</w:t>
      </w:r>
      <w:r/>
    </w:p>
    <w:p>
      <w:pPr>
        <w:pBdr/>
        <w:spacing/>
        <w:ind/>
        <w:rPr/>
      </w:pPr>
      <w:r>
        <w:rPr>
          <w:sz w:val="21"/>
        </w:rPr>
        <w:t xml:space="preserve">针对本项目，我公司将组建专职网络安全服务项目团队，确保服务人员稳定、技能全面，满足招标人对网络安全服务的专业要求。项目团队采用“项目经理统筹、专业小组协同、专家团队支持”的三级组织模式，有效整合公司技术资源，形成职责清晰、响应高效的服务体系。</w:t>
      </w:r>
      <w:r/>
    </w:p>
    <w:p>
      <w:pPr>
        <w:pBdr/>
        <w:spacing/>
        <w:ind/>
        <w:rPr/>
      </w:pPr>
      <w:r>
        <w:rPr>
          <w:b/>
          <w:sz w:val="21"/>
        </w:rPr>
        <w:t xml:space="preserve">团队架构：</w:t>
      </w:r>
      <w:r>
        <w:rPr>
          <w:sz w:val="21"/>
        </w:rPr>
        <w:t xml:space="preserve"> 项目团队设项目经理1名，负责项目整体协调、进度管控与质量监督；下设安全评估、安全运维、应急响应三个专业小组，各设组长1名，组员若干。安全评估组负责漏洞扫描、渗透测试、基线核查与风险评估；安全运维组负责日常监测、日志分析、安全加固与策略优化；应急响应组负责突发安全事件的处置、溯源与整改跟踪。公司后端专家团队为一线提供技术支持与疑难问题指导。</w:t>
      </w:r>
      <w:r/>
    </w:p>
    <w:p>
      <w:pPr>
        <w:pBdr/>
        <w:spacing/>
        <w:ind/>
        <w:rPr/>
      </w:pPr>
      <w:r>
        <w:rPr>
          <w:b/>
          <w:sz w:val="21"/>
        </w:rPr>
        <w:t xml:space="preserve">岗位职责：</w:t>
      </w:r>
      <w:r>
        <w:rPr>
          <w:sz w:val="21"/>
        </w:rPr>
        <w:t xml:space="preserve"> 项目经理作为我方对采购人的唯一接口人，统筹资源调配及交付成果审核，定期汇报项目进展。安全评估组组长制定评估计划、把控质量、审核报告，组员实施测试；安全运维组组长制定运维策略与安全基线，组员开展告警分析与威胁研判；应急响应组组长制定预案与处置流程，组员承担应急值守与现场处置。各小组建立信息共享与联动机制，确保安全事件全流程闭环管理。</w:t>
      </w:r>
      <w:r/>
    </w:p>
    <w:p>
      <w:pPr>
        <w:pBdr/>
        <w:spacing/>
        <w:ind/>
        <w:rPr/>
      </w:pPr>
      <w:r>
        <w:rPr>
          <w:b/>
          <w:sz w:val="21"/>
        </w:rPr>
        <w:t xml:space="preserve">人员资历要求：</w:t>
      </w:r>
      <w:r>
        <w:rPr>
          <w:sz w:val="21"/>
        </w:rPr>
        <w:t xml:space="preserve"> 项目经理须具备5年以上网络安全项目管理经验，持有CISP或CISSP证书；各专业组组长须具备3年以上相关领域经验，并持有CISP、CISAW等相关安全认证；组员须持有CISP、CISAW等至少一项安全认证。所有人员均通过背景审查，确保政治可靠、技术过硬，并在项目启动时接受采购人核验。</w:t>
      </w:r>
      <w:r/>
    </w:p>
    <w:p>
      <w:pPr>
        <w:pBdr/>
        <w:spacing/>
        <w:ind/>
        <w:rPr/>
      </w:pPr>
      <w:r>
        <w:rPr>
          <w:b/>
          <w:sz w:val="21"/>
        </w:rPr>
        <w:t xml:space="preserve">投入计划与备选机制：</w:t>
      </w:r>
      <w:r>
        <w:rPr>
          <w:sz w:val="21"/>
        </w:rPr>
        <w:t xml:space="preserve"> 项目启动时团队全部到岗，服务周期内核心人员不得随意更换；如确需调整，提前15个工作日向采购人报备，并安排同等级人员交接。我公司建立备选人员库，确保关键岗位人员不在岗时能及时补位，保障服务连续性。同时定期开展人员培训与考核，持续提升团队服务能力。</w:t>
      </w:r>
      <w:r/>
    </w:p>
    <w:p>
      <w:pPr>
        <w:pBdr/>
        <w:spacing/>
        <w:ind/>
        <w:rPr/>
      </w:pPr>
      <w:r>
        <w:t xml:space="preserve">4.4.1项目团队组织结构</w:t>
      </w:r>
      <w:r/>
    </w:p>
    <w:p>
      <w:pPr>
        <w:pBdr/>
        <w:spacing/>
        <w:ind/>
        <w:rPr/>
      </w:pPr>
      <w:r>
        <w:t xml:space="preserve">4.4.1项目团队组织结构</w:t>
      </w:r>
      <w:r/>
    </w:p>
    <w:p>
      <w:pPr>
        <w:pBdr/>
        <w:spacing/>
        <w:ind/>
        <w:rPr/>
      </w:pPr>
      <w:r>
        <w:rPr>
          <w:b/>
          <w:sz w:val="21"/>
        </w:rPr>
        <w:t xml:space="preserve">项目团队组织原则:</w:t>
      </w:r>
      <w:r>
        <w:rPr>
          <w:sz w:val="21"/>
        </w:rPr>
        <w:t xml:space="preserve"> 针对中邮资管2026-2027年网络安全服务采购项目,我公司组建专项服务团队,实行统一指挥、职责清晰、协调高效的管理模式,采用矩阵式管理保障资源灵活调配。</w:t>
      </w:r>
      <w:r/>
    </w:p>
    <w:p>
      <w:pPr>
        <w:pBdr/>
        <w:spacing/>
        <w:ind/>
        <w:rPr/>
      </w:pPr>
      <w:r>
        <w:rPr>
          <w:sz w:val="21"/>
        </w:rPr>
        <w:t xml:space="preserve">项目团队采用“纵向专业线+横向项目线”的双维运作模式,纵向由技术总监统一领导各专业小组,横向由项目经理协调资源与进度,确保技术深度与交付效率并重。同时,公司建立后台专家资源池,遇高难度攻防演练或重大应急事件时,可迅速调配公司级专家远程支援或现场增援,保障服务连续性。</w:t>
      </w:r>
      <w:r/>
    </w:p>
    <w:p>
      <w:pPr>
        <w:pBdr/>
        <w:spacing/>
        <w:ind/>
        <w:rPr/>
      </w:pPr>
      <w:r>
        <w:rPr>
          <w:b/>
          <w:sz w:val="21"/>
        </w:rPr>
        <w:t xml:space="preserve">岗位设置:</w:t>
      </w:r>
      <w:r>
        <w:rPr>
          <w:sz w:val="21"/>
        </w:rPr>
        <w:t xml:space="preserve"> 团队设项目经理、技术总监、安全服务工程师、安全运营工程师、应急响应工程师等岗位。项目经理统筹项目整体实施,由具备丰富金融行业安全服务经验的人员担任;技术总监负责技术方案审核与疑难问题处理;安全服务工程师承担漏洞扫描、渗透测试、风险评估等工作;安全运营工程师负责安全设备监测与事件分析;应急响应工程师负责安全事件应急处理与溯源。</w:t>
      </w:r>
      <w:r/>
    </w:p>
    <w:p>
      <w:pPr>
        <w:pBdr/>
        <w:spacing/>
        <w:ind/>
        <w:rPr/>
      </w:pPr>
      <w:r>
        <w:rPr>
          <w:sz w:val="21"/>
        </w:rPr>
        <w:t xml:space="preserve">为强化质量控制,团队内设质量管理员与文档管理员,由骨干工程师兼任,负责过程记录、交付物审核及文档归类。各岗位间建立“检测-分析-响应-闭环”协作链条,安全服务工程师发现隐患后同步安全运营工程师验证,应急响应工程师输出复盘报告,形成知识库反哺策略优化。</w:t>
      </w:r>
      <w:r/>
    </w:p>
    <w:p>
      <w:pPr>
        <w:pBdr/>
        <w:spacing/>
        <w:ind/>
        <w:rPr/>
      </w:pPr>
      <w:r>
        <w:rPr>
          <w:b/>
          <w:sz w:val="21"/>
        </w:rPr>
        <w:t xml:space="preserve">人员配置:</w:t>
      </w:r>
      <w:r>
        <w:rPr>
          <w:sz w:val="21"/>
        </w:rPr>
        <w:t xml:space="preserve"> 根据项目服务范围和内容,拟投入核心团队人员不少于8人,含项目经理1名、技术总监1名、安全服务工程师不少于3名、安全运营工程师不少于2名、应急响应工程师不少于1名。所有人员均具备网络安全相关资质,关键岗位人员资格符合招标文件要求。</w:t>
      </w:r>
      <w:r/>
    </w:p>
    <w:p>
      <w:pPr>
        <w:pBdr/>
        <w:spacing/>
        <w:ind/>
        <w:rPr/>
      </w:pPr>
      <w:r>
        <w:rPr>
          <w:sz w:val="21"/>
        </w:rPr>
        <w:t xml:space="preserve">所有项目成员进场前均通过背景审查、保密协议签署和安全意识培训,符合金融行业管理要求。实施期间,公司定期组织技术内训、攻防演练及漏洞热点分享,并配备专属知识库平台,沉淀方法论、应急案例及客户环境信息,提供即时查询支持。</w:t>
      </w:r>
      <w:r/>
    </w:p>
    <w:p>
      <w:pPr>
        <w:pBdr/>
        <w:spacing/>
        <w:ind/>
        <w:rPr/>
      </w:pPr>
      <w:r>
        <w:rPr>
          <w:b/>
          <w:sz w:val="21"/>
        </w:rPr>
        <w:t xml:space="preserve">汇报关系:</w:t>
      </w:r>
      <w:r>
        <w:rPr>
          <w:sz w:val="21"/>
        </w:rPr>
        <w:t xml:space="preserve"> 项目经理直接向采购方主管部门汇报,并定期提交进展报告;技术总监及各专业工程师向项目经理汇报,形成逐级负责的汇报机制。</w:t>
      </w:r>
      <w:r/>
    </w:p>
    <w:p>
      <w:pPr>
        <w:pBdr/>
        <w:spacing/>
        <w:ind/>
        <w:rPr/>
      </w:pPr>
      <w:r>
        <w:rPr>
          <w:sz w:val="21"/>
        </w:rPr>
        <w:t xml:space="preserve">项目组还建立多层级沟通机制:日常企业微信工作群实时沟通,紧急事项15分钟内响应;每周提交周报,每月提交月度服务报告,重大事件随时专题汇报。公司项目管理办公室(PMO)独立监控,每季度开展满意度调查,确保交付质量。</w:t>
      </w:r>
      <w:r/>
    </w:p>
    <w:p>
      <w:pPr>
        <w:pBdr/>
        <w:spacing/>
        <w:ind/>
        <w:rPr/>
      </w:pPr>
      <w:r>
        <w:rPr>
          <w:b/>
          <w:sz w:val="21"/>
        </w:rPr>
        <w:t xml:space="preserve">职责分工:</w:t>
      </w:r>
      <w:r>
        <w:rPr>
          <w:sz w:val="21"/>
        </w:rPr>
        <w:t xml:space="preserve"> 项目经理负责项目计划、进度、资源协调及客户沟通;技术总监负责技术方案、服务质量监督及技术难题攻关;安全服务工程师按计划执行检测评估任务;安全运营工程师负责告警分析、处置及报告编写;应急响应工程师提供7×24小时应急技术支撑。</w:t>
      </w:r>
      <w:r/>
    </w:p>
    <w:p>
      <w:pPr>
        <w:pBdr/>
        <w:spacing/>
        <w:ind/>
        <w:rPr/>
      </w:pPr>
      <w:r>
        <w:t xml:space="preserve">4.4.2关键人员配置与职责分工</w:t>
      </w:r>
      <w:r/>
    </w:p>
    <w:p>
      <w:pPr>
        <w:pBdr/>
        <w:spacing/>
        <w:ind/>
        <w:rPr/>
      </w:pPr>
      <w:r>
        <w:t xml:space="preserve">4.4.2关键人员配置与职责分工</w:t>
      </w:r>
      <w:r/>
    </w:p>
    <w:p>
      <w:pPr>
        <w:pBdr/>
        <w:spacing/>
        <w:ind/>
        <w:rPr/>
      </w:pPr>
      <w:r>
        <w:rPr>
          <w:sz w:val="21"/>
        </w:rPr>
        <w:t xml:space="preserve">根据本项目特点，公司组建以项目经理为核心的专业网络安全服务团队，实行项目经理负责制。团队内部划分为管理层、技术执行层和专家支持层，各岗位职责明确，协同配合，确保项目高质量交付。</w:t>
      </w:r>
      <w:r/>
    </w:p>
    <w:p>
      <w:pPr>
        <w:pBdr/>
        <w:spacing/>
        <w:ind/>
        <w:rPr/>
      </w:pPr>
      <w:r>
        <w:rPr>
          <w:sz w:val="21"/>
        </w:rPr>
        <w:t xml:space="preserve">为落实项目人员保障，公司为本项目配置了专职项目经理、技术负责人、安全服务工程师、应急响应专家及驻场人员等关键岗位，并针对金融行业监管要求与服务特点明确了各岗位的职责分工、资质要求与工作标准。具体关键人员配置与职责分工如下：</w:t>
      </w:r>
      <w:r/>
    </w:p>
    <w:p>
      <w:pPr>
        <w:pBdr/>
        <w:spacing/>
        <w:ind/>
        <w:rPr/>
      </w:pPr>
      <w:r>
        <w:rPr>
          <w:sz w:val="21"/>
        </w:rPr>
        <w:t xml:space="preserve">项目经理：作为项目第一责任人，全面负责项目进度、质量与资源协调。其核心职责包括制定项目总体实施计划与里程碑节点，组织项目启动会、周例会及阶段性总结会；统筹公司内部资源，确保服务资源充足且调度有序；与采购方管理层保持日常沟通，及时响应需求变更与临时任务；对项目交付成果进行审核把关，确保服务过程符合合同要求及金融行业监管规定。项目经理须具备高级项目管理认证及多年网络安全服务项目管理经验，熟悉金融行业监管要求，具备优秀的组织协调与风险管控能力。</w:t>
      </w:r>
      <w:r/>
    </w:p>
    <w:p>
      <w:pPr>
        <w:pBdr/>
        <w:spacing/>
        <w:ind/>
        <w:rPr/>
      </w:pPr>
      <w:r>
        <w:rPr>
          <w:sz w:val="21"/>
        </w:rPr>
        <w:t xml:space="preserve">技术负责人：协助项目经理管理技术事务，是项目技术决策与质量监督的核心。其主要职责包括牵头制定整体技术方案与服务实施标准，对各专项服务方案进行审核与技术交底；对服务中发现的重大漏洞、高危隐患进行技术研判并给出处置决策；主导解决项目实施中的重大技术难题，组织内部技术攻关；定期复核安全服务报告，确保技术交付物的准确性与专业性。技术负责人须持有CISP、CISSP等高级安全资质，具备多年金融行业安全服务经验。</w:t>
      </w:r>
      <w:r/>
    </w:p>
    <w:p>
      <w:pPr>
        <w:pBdr/>
        <w:spacing/>
        <w:ind/>
        <w:rPr/>
      </w:pPr>
      <w:r>
        <w:rPr>
          <w:sz w:val="21"/>
        </w:rPr>
        <w:t xml:space="preserve">安全服务工程师：承担漏洞扫描、渗透测试、基线核查、安全监测等日常服务任务。具体职责包括按照标准化操作规程执行安全检测与评估，准确记录检测数据并识别安全风险；针对漏洞与配置缺陷提出可落地的修复建议；按时提交服务记录与检测报告，保证报告客观、完整、可追溯。安全服务工程师须具有网络安全相关从业资质，熟练掌握主流安全工具，熟悉常见攻击手段与检测原理，具备良好的文档撰写与沟通表达能力。</w:t>
      </w:r>
      <w:r/>
    </w:p>
    <w:p>
      <w:pPr>
        <w:pBdr/>
        <w:spacing/>
        <w:ind/>
        <w:rPr/>
      </w:pPr>
      <w:r>
        <w:rPr>
          <w:sz w:val="21"/>
        </w:rPr>
        <w:t xml:space="preserve">应急响应专家：负责安全事件应急响应与应急保障工作。具体职责包括提供7×24小时应急响应技术支持，在发生安全事件时快速介入，开展事件分析、抑制、根除与恢复处置；实施攻击溯源与取证分析，编写应急处置报告并组织复盘总结；定期协助采购方完善应急响应预案，配合开展应急演练与桌面推演。应急响应专家须具备丰富的应急实战经验及相应认证，能快速定位并处置安全事件，熟悉溯源分析方法与应急响应工具。</w:t>
      </w:r>
      <w:r/>
    </w:p>
    <w:p>
      <w:pPr>
        <w:pBdr/>
        <w:spacing/>
        <w:ind/>
        <w:rPr/>
      </w:pPr>
      <w:r>
        <w:rPr>
          <w:sz w:val="21"/>
        </w:rPr>
        <w:t xml:space="preserve">驻场人员：根据采购方需要提供现场支持，协助完成日常安全运维、日志分析、安全设备监测与告警复核等专项任务。具体职责包括执行安全巡检与日志审计，跟踪并闭环安全告警事件；配合采购方进行安全策略调整与优化，协助处置安全运维工单；定期输出驻场工作报告，及时反馈安全动态与潜在风险。驻场人员须经采购方认可后上岗，具备安全运维经验，熟悉主流安全设备的操作与日志采集分析方法。</w:t>
      </w:r>
      <w:r/>
    </w:p>
    <w:p>
      <w:pPr>
        <w:pBdr/>
        <w:spacing/>
        <w:ind/>
        <w:rPr/>
      </w:pPr>
      <w:r>
        <w:rPr>
          <w:sz w:val="21"/>
        </w:rPr>
        <w:t xml:space="preserve">专家支持层作为项目后端的纵深支援力量，由公司资深安全专家组成，涵盖漏洞研究、攻防对抗、数据安全等领域。专家支持层在项目遇到疑难技术问题或采购方提出专项需求时提供高级别技术支持与咨询建议；在发生重大安全事件时，可迅速组建专项小组参与应急处置，为项目交付提供坚实的智力保障。</w:t>
      </w:r>
      <w:r/>
    </w:p>
    <w:p>
      <w:pPr>
        <w:pBdr/>
        <w:spacing/>
        <w:ind/>
        <w:rPr/>
      </w:pPr>
      <w:r>
        <w:rPr>
          <w:sz w:val="21"/>
        </w:rPr>
        <w:t xml:space="preserve">所有团队成员将在签订合同前提供个人简历、学历证书、资格证书复印件并加盖公章，经采购方审核确认后进场。项目执行期间如需更换人员，须征得采购方书面同意，且替换人员资质不得低于原人员。人员证明材料将作为投标文件附件一并提交，供采购方查验。</w:t>
      </w:r>
      <w:r/>
    </w:p>
    <w:p>
      <w:pPr>
        <w:pBdr/>
        <w:spacing/>
        <w:ind/>
        <w:rPr/>
      </w:pPr>
      <w:r>
        <w:t xml:space="preserve">4.4.3人员稳定性与后备机制</w:t>
      </w:r>
      <w:r/>
    </w:p>
    <w:p>
      <w:pPr>
        <w:pBdr/>
        <w:spacing/>
        <w:ind/>
        <w:rPr/>
      </w:pPr>
      <w:r>
        <w:t xml:space="preserve">4.4.3人员稳定性与后备机制</w:t>
      </w:r>
      <w:r/>
    </w:p>
    <w:p>
      <w:pPr>
        <w:pBdr/>
        <w:spacing/>
        <w:ind/>
        <w:rPr/>
      </w:pPr>
      <w:r>
        <w:rPr>
          <w:sz w:val="21"/>
        </w:rPr>
        <w:t xml:space="preserve">为保障项目服务过程中人员变动的可控性和连续性，我司建立人员稳定性与后备机制。在关键岗位设置上，全面实行AB角备份制度，每个岗位至少配置两名熟练掌握相关业务和技术的人员互为备份，A角负责日常主要工作，B角同步参与核心任务并熟悉各环节流程，确保在A角因休假、出差或突发状况无法履职时，B角能够无缝接管并保持服务质量不下降。同时定期组织AB角之间的轮岗实践和交叉演练，使双方持续掌握对方工作内容，强化备份有效性。</w:t>
      </w:r>
      <w:r/>
    </w:p>
    <w:p>
      <w:pPr>
        <w:pBdr/>
        <w:spacing/>
        <w:ind/>
        <w:rPr/>
      </w:pPr>
      <w:r>
        <w:rPr>
          <w:sz w:val="21"/>
        </w:rPr>
        <w:t xml:space="preserve">在人员离职或</w:t>
      </w:r>
      <w:r>
        <w:rPr>
          <w:sz w:val="21"/>
        </w:rPr>
        <w:t xml:space="preserve">变动管理方面，我司制定了完善的离职交接流程。员工提出离职意向后，需提前通知项目负责人，并按照公司制度开展交接准备，包括完整移交工作文档、系统账号权限清单、未完成事项清单、客户沟通记录、技术资料等。项目组将组织专项交接会议，由离职人员与接管人员、项目经理共同核对工作清单，确保所有职责明确归属。同时安排必要的重叠期，由离职人员对继任者进行一对一知识转移和现场指导，解答疑难点，帮助其熟悉项目背景、客户需求及操作规范。在过渡期间，项目经理将持续跟进接管人员的工作情况，及时协调资源解决遗留问题，确保服务交付不受影响。</w:t>
      </w:r>
      <w:r/>
    </w:p>
    <w:p>
      <w:pPr>
        <w:pBdr/>
        <w:spacing/>
        <w:ind/>
        <w:rPr/>
      </w:pPr>
      <w:r>
        <w:rPr>
          <w:sz w:val="21"/>
        </w:rPr>
        <w:t xml:space="preserve">为降低对单一人员的依赖风险，我司还构建了常态化的技能培训与知识共享机制。通过定期组织内部技术培训、安全攻防演练复盘、案例研讨等多种形式，持续提升团队整体专业能力。同时鼓励团队成员将个人经验沉淀为标准化文档和维护手册，建立项目知识库，促进隐性知识显性化，使任何岗位的工作都有章可循、有据可查。此外，我司实行多能工培养计划，支持团队成员跨岗位学习，增强团队冗余度，使人员变动仅带来平稳过渡而非服务中断，从而全方位保障项目服务团队的稳定性与交付持续性。</w:t>
      </w:r>
      <w:r/>
    </w:p>
    <w:p>
      <w:pPr>
        <w:pBdr/>
        <w:spacing/>
        <w:ind/>
        <w:rPr/>
      </w:pPr>
      <w:r>
        <w:t xml:space="preserve">4.5项目实施计划与保障措施</w:t>
      </w:r>
      <w:r/>
    </w:p>
    <w:p>
      <w:pPr>
        <w:pBdr/>
        <w:spacing/>
        <w:ind/>
        <w:rPr/>
      </w:pPr>
      <w:r>
        <w:t xml:space="preserve">4.5项目实施计划与保障措施</w:t>
      </w:r>
      <w:r/>
    </w:p>
    <w:p>
      <w:pPr>
        <w:pBdr/>
        <w:spacing/>
        <w:ind/>
        <w:rPr/>
      </w:pPr>
      <w:r>
        <w:rPr>
          <w:b/>
          <w:sz w:val="21"/>
        </w:rPr>
        <w:t xml:space="preserve">实施计划：</w:t>
      </w:r>
      <w:r>
        <w:rPr>
          <w:sz w:val="21"/>
        </w:rPr>
        <w:t xml:space="preserve"> 本项目实施按照网络安全服务行业成熟的项目管理方法论，划分为项目启动、需求分析、实施部署、试运行、项目验收五个阶段，并采用里程碑控制与交付物管理相结合的方式</w:t>
      </w:r>
      <w:r>
        <w:rPr>
          <w:sz w:val="21"/>
        </w:rPr>
        <w:t xml:space="preserve">，确保项目实施过程清晰可控、成果可验证。项目启动阶段，组建项目团队，召开启动会，明确服务范围、交付成果与双方职责，建立沟通机制；同时完成项目章程编制、团队角色确认以及工作环境与工具配置，输出项目启动会会议纪要、项目章程等交付物，并确定各阶段主要里程碑与总体时间安排。需求分析阶段，结合现有安全防护体系的现场调研，采用访谈、文档审阅、配置核查等方式全面收集客户安全需求与服务期望，细化服务基线、交付物清单与验收标准，形成实施详细方案，并组织客户评审确认，确保需求理解准确无偏差。实施部署阶段，完成安全服务平台的部署</w:t>
      </w:r>
      <w:r>
        <w:rPr>
          <w:sz w:val="21"/>
        </w:rPr>
        <w:t xml:space="preserve">、策略配置及人员进场，同步开展内部培训，确保人员熟练掌握服务流程；建立服务操作规范与知识转移文档，对部署配置过程进行记录，形成部署配置记录、培训材料等交付物，并根据实际情况调优策略。试运行阶段，通过一段时间的试运行验证服务效果，重点监控服务响应及时性、漏洞发现与修复质量等关键指标，根据反馈优化服务细节，形成试运行报告，对未达标事项进行专项整改。验收阶段，汇总服务记录与交付物，对照采购需求与验收标准逐项核查，组织验收评审，确认各项指标满足要求，签署验收报告，完成项目总结与知识转移，确保服务顺利进入稳定运营期。</w:t>
      </w:r>
      <w:r/>
    </w:p>
    <w:p>
      <w:pPr>
        <w:pBdr/>
        <w:spacing/>
        <w:ind/>
        <w:rPr/>
      </w:pPr>
      <w:r>
        <w:rPr>
          <w:b/>
          <w:sz w:val="21"/>
        </w:rPr>
        <w:t xml:space="preserve">保障措施：</w:t>
      </w:r>
      <w:r>
        <w:rPr>
          <w:sz w:val="21"/>
        </w:rPr>
        <w:t xml:space="preserve"> 为确保项目高质量按计划推进，建立覆盖进度、质量、沟通、风险、应急五个维度的综合保障措施，并形成计划、执行、检查、改进的闭环管理机制。进度保障方面，制定项目总</w:t>
      </w:r>
      <w:r>
        <w:rPr>
          <w:sz w:val="21"/>
        </w:rPr>
        <w:t xml:space="preserve">体进度计划并细化为周计划，每周跟踪进度，发现偏差及时纠正，同时设置里程碑评审节点，对关键交付物进行阶段审查，确保总体进度可控；利用项目管理工具对任务分配、进度跟踪与风险预警进行统一管理，提高进度管控效率。质量保障方面，建立服务质量考核指标体系，涵盖服务交付及时率、问题解决率、客户满意度等量化指标，每月开展服务评审，收集客户反馈并持续改进，同时设置质量检查点，对服务过程进行抽查与审计，运用PDCA循环不断提升服务质量。沟通协调方面，实行周例会和关键节点专题会机制，确保信息同步和问题高效决策；建立日常沟通渠道，</w:t>
      </w:r>
      <w:r>
        <w:rPr>
          <w:sz w:val="21"/>
        </w:rPr>
        <w:t xml:space="preserve">通过邮件、即时通讯、工单系统等方式实现信息即时互通，对重大问题实行问题登记、专人跟踪、限期关闭的闭环管理。风险防控方面，对需求变更、人员异动、技术适配等风险进行识别并制定应对策略，如人员备份和方案回退；建立风险登记册，定期评估风险等级，动态更新应对措施，并制定风险预警与升级机制，确保风险始终受控。应急响应方面，制定应急响应预案，设定分级响应时限和升级路径，明确应急职责与处置流程；定期组织应急演练，检验预案有效性，并针对演练中发现的问题持续优化预案，保障突发安全事件得到快速处置，最大程度降低对客户业务的影响。</w:t>
      </w:r>
      <w:r/>
    </w:p>
    <w:p>
      <w:pPr>
        <w:pBdr/>
        <w:spacing/>
        <w:ind/>
        <w:rPr/>
      </w:pPr>
      <w:r>
        <w:t xml:space="preserve">4.5.1项目实施进度计划</w:t>
      </w:r>
      <w:r/>
    </w:p>
    <w:p>
      <w:pPr>
        <w:pBdr/>
        <w:spacing/>
        <w:ind/>
        <w:rPr/>
      </w:pPr>
      <w:r>
        <w:t xml:space="preserve">4.5.1项目实施进度计划</w:t>
      </w:r>
      <w:r/>
    </w:p>
    <w:p>
      <w:pPr>
        <w:pBdr/>
        <w:spacing/>
        <w:ind/>
        <w:rPr/>
      </w:pPr>
      <w:r>
        <w:rPr>
          <w:sz w:val="21"/>
        </w:rPr>
        <w:t xml:space="preserve">本项目实施进度计划依据中邮资管2026-2027年网络安全服务采购项目的整体周期制定，时间跨度覆盖2026年初至2027年底。结合安全服务各项内容，将项目划分为三个阶段，并设置相应的里程碑节点。为保证项目进度科学可控，我方制定如下进度计划编制原则：一是以业务连续性为前提，将高风险服务安排在业务低峰期；二是以季度为管理周期，形成计划-执行-检查-优化闭环；三是建立里程碑评审机制，确保阶段交付物经确认后再进入下一阶段。基于上述原则，本项目具体进度安排见下。</w:t>
      </w:r>
      <w:r/>
    </w:p>
    <w:p>
      <w:pPr>
        <w:pBdr/>
        <w:spacing/>
        <w:ind/>
        <w:rPr/>
      </w:pPr>
      <w:r>
        <w:rPr>
          <w:b/>
          <w:sz w:val="21"/>
        </w:rPr>
        <w:t xml:space="preserve">阶段划分：</w:t>
      </w:r>
      <w:r/>
    </w:p>
    <w:tbl>
      <w:tblPr>
        <w:tblStyle w:val="934"/>
        <w:tblW w:w="0" w:type="auto"/>
        <w:tblBorders/>
        <w:tblLook w:val="04A0" w:firstRow="1" w:lastRow="0" w:firstColumn="1" w:lastColumn="0" w:noHBand="0" w:noVBand="1"/>
      </w:tblPr>
      <w:tblGrid>
        <w:gridCol w:w="1728"/>
        <w:gridCol w:w="1728"/>
        <w:gridCol w:w="1728"/>
        <w:gridCol w:w="1728"/>
        <w:gridCol w:w="1728"/>
      </w:tblGrid>
      <w:tr>
        <w:trPr/>
        <w:tc>
          <w:tcPr>
            <w:tcBorders/>
            <w:tcW w:w="1728" w:type="dxa"/>
          </w:tcPr>
          <w:p>
            <w:pPr>
              <w:pBdr/>
              <w:spacing/>
              <w:ind/>
              <w:rPr/>
            </w:pPr>
            <w:r>
              <w:rPr>
                <w:sz w:val="20"/>
              </w:rPr>
            </w:r>
            <w:r/>
          </w:p>
        </w:tc>
        <w:tc>
          <w:tcPr>
            <w:tcBorders/>
            <w:tcW w:w="1728" w:type="dxa"/>
          </w:tcPr>
          <w:p>
            <w:pPr>
              <w:pBdr/>
              <w:spacing/>
              <w:ind/>
              <w:rPr/>
            </w:pPr>
            <w:r>
              <w:rPr>
                <w:sz w:val="20"/>
              </w:rPr>
              <w:t xml:space="preserve">阶段</w:t>
            </w:r>
            <w:r/>
          </w:p>
        </w:tc>
        <w:tc>
          <w:tcPr>
            <w:tcBorders/>
            <w:tcW w:w="1728" w:type="dxa"/>
          </w:tcPr>
          <w:p>
            <w:pPr>
              <w:pBdr/>
              <w:spacing/>
              <w:ind/>
              <w:rPr/>
            </w:pPr>
            <w:r>
              <w:rPr>
                <w:sz w:val="20"/>
              </w:rPr>
              <w:t xml:space="preserve">时间</w:t>
            </w:r>
            <w:r/>
          </w:p>
        </w:tc>
        <w:tc>
          <w:tcPr>
            <w:tcBorders/>
            <w:tcW w:w="1728" w:type="dxa"/>
          </w:tcPr>
          <w:p>
            <w:pPr>
              <w:pBdr/>
              <w:spacing/>
              <w:ind/>
              <w:rPr/>
            </w:pPr>
            <w:r>
              <w:rPr>
                <w:sz w:val="20"/>
              </w:rPr>
              <w:t xml:space="preserve">主要工作内容</w:t>
            </w:r>
            <w:r/>
          </w:p>
        </w:tc>
        <w:tc>
          <w:tcPr>
            <w:tcBorders/>
            <w:tcW w:w="1728" w:type="dxa"/>
          </w:tcPr>
          <w:p>
            <w:pPr>
              <w:pBdr/>
              <w:spacing/>
              <w:ind/>
              <w:rPr/>
            </w:pPr>
            <w:r>
              <w:rPr>
                <w:sz w:val="20"/>
              </w:rPr>
            </w:r>
            <w:r/>
          </w:p>
        </w:tc>
      </w:tr>
      <w:tr>
        <w:trPr/>
        <w:tc>
          <w:tcPr>
            <w:tcBorders/>
            <w:tcW w:w="1728" w:type="dxa"/>
          </w:tcPr>
          <w:p>
            <w:pPr>
              <w:pBdr/>
              <w:spacing/>
              <w:ind/>
              <w:rPr/>
            </w:pPr>
            <w:r>
              <w:rPr>
                <w:sz w:val="20"/>
              </w:rPr>
              <w:t xml:space="preserve">------</w:t>
            </w:r>
            <w:r/>
          </w:p>
        </w:tc>
        <w:tc>
          <w:tcPr>
            <w:tcBorders/>
            <w:tcW w:w="1728" w:type="dxa"/>
          </w:tcPr>
          <w:p>
            <w:pPr>
              <w:pBdr/>
              <w:spacing/>
              <w:ind/>
              <w:rPr/>
            </w:pPr>
            <w:r>
              <w:rPr>
                <w:sz w:val="20"/>
              </w:rPr>
              <w:t xml:space="preserve">------</w:t>
            </w:r>
            <w:r/>
          </w:p>
        </w:tc>
        <w:tc>
          <w:tcPr>
            <w:tcBorders/>
            <w:tcW w:w="1728" w:type="dxa"/>
          </w:tcPr>
          <w:p>
            <w:pPr>
              <w:pBdr/>
              <w:spacing/>
              <w:ind/>
              <w:rPr/>
            </w:pPr>
            <w:r>
              <w:rPr>
                <w:sz w:val="20"/>
              </w:rPr>
              <w:t xml:space="preserve">--------------</w:t>
            </w:r>
            <w:r/>
          </w:p>
        </w:tc>
        <w:tc>
          <w:tcPr>
            <w:tcBorders/>
            <w:tcW w:w="1728" w:type="dxa"/>
          </w:tcPr>
          <w:p>
            <w:pPr>
              <w:pBdr/>
              <w:spacing/>
              <w:ind/>
              <w:rPr/>
            </w:pPr>
            <w:r/>
            <w:r/>
          </w:p>
        </w:tc>
        <w:tc>
          <w:tcPr>
            <w:tcBorders/>
            <w:tcW w:w="1728" w:type="dxa"/>
          </w:tcPr>
          <w:p>
            <w:pPr>
              <w:pBdr/>
              <w:spacing/>
              <w:ind/>
              <w:rPr/>
            </w:pPr>
            <w:r/>
            <w:r/>
          </w:p>
        </w:tc>
      </w:tr>
      <w:tr>
        <w:trPr/>
        <w:tc>
          <w:tcPr>
            <w:tcBorders/>
            <w:tcW w:w="1728" w:type="dxa"/>
          </w:tcPr>
          <w:p>
            <w:pPr>
              <w:pBdr/>
              <w:spacing/>
              <w:ind/>
              <w:rPr/>
            </w:pPr>
            <w:r>
              <w:rPr>
                <w:sz w:val="20"/>
              </w:rPr>
            </w:r>
            <w:r/>
          </w:p>
        </w:tc>
        <w:tc>
          <w:tcPr>
            <w:tcBorders/>
            <w:tcW w:w="1728" w:type="dxa"/>
          </w:tcPr>
          <w:p>
            <w:pPr>
              <w:pBdr/>
              <w:spacing/>
              <w:ind/>
              <w:rPr/>
            </w:pPr>
            <w:r>
              <w:rPr>
                <w:sz w:val="20"/>
              </w:rPr>
              <w:t xml:space="preserve">启动准备阶段</w:t>
            </w:r>
            <w:r/>
          </w:p>
        </w:tc>
        <w:tc>
          <w:tcPr>
            <w:tcBorders/>
            <w:tcW w:w="1728" w:type="dxa"/>
          </w:tcPr>
          <w:p>
            <w:pPr>
              <w:pBdr/>
              <w:spacing/>
              <w:ind/>
              <w:rPr/>
            </w:pPr>
            <w:r>
              <w:rPr>
                <w:sz w:val="20"/>
              </w:rPr>
              <w:t xml:space="preserve">2026年第1季度</w:t>
            </w:r>
            <w:r/>
          </w:p>
        </w:tc>
        <w:tc>
          <w:tcPr>
            <w:tcBorders/>
            <w:tcW w:w="1728" w:type="dxa"/>
          </w:tcPr>
          <w:p>
            <w:pPr>
              <w:pBdr/>
              <w:spacing/>
              <w:ind/>
              <w:rPr/>
            </w:pPr>
            <w:r>
              <w:rPr>
                <w:sz w:val="20"/>
              </w:rPr>
              <w:t xml:space="preserve">完成项目组组建、人员进场、现状调研与安全评估，明确服务边界与详细实施计划，召开项目启动会，与招标人确认服务基线。</w:t>
            </w:r>
            <w:r/>
          </w:p>
        </w:tc>
        <w:tc>
          <w:tcPr>
            <w:tcBorders/>
            <w:tcW w:w="1728" w:type="dxa"/>
          </w:tcPr>
          <w:p>
            <w:pPr>
              <w:pBdr/>
              <w:spacing/>
              <w:ind/>
              <w:rPr/>
            </w:pPr>
            <w:r>
              <w:rPr>
                <w:sz w:val="20"/>
              </w:rPr>
            </w:r>
            <w:r/>
          </w:p>
        </w:tc>
      </w:tr>
      <w:tr>
        <w:trPr/>
        <w:tc>
          <w:tcPr>
            <w:tcBorders/>
            <w:tcW w:w="1728" w:type="dxa"/>
          </w:tcPr>
          <w:p>
            <w:pPr>
              <w:pBdr/>
              <w:spacing/>
              <w:ind/>
              <w:rPr/>
            </w:pPr>
            <w:r>
              <w:rPr>
                <w:sz w:val="20"/>
              </w:rPr>
            </w:r>
            <w:r/>
          </w:p>
        </w:tc>
        <w:tc>
          <w:tcPr>
            <w:tcBorders/>
            <w:tcW w:w="1728" w:type="dxa"/>
          </w:tcPr>
          <w:p>
            <w:pPr>
              <w:pBdr/>
              <w:spacing/>
              <w:ind/>
              <w:rPr/>
            </w:pPr>
            <w:r>
              <w:rPr>
                <w:sz w:val="20"/>
              </w:rPr>
              <w:t xml:space="preserve">全面实施阶段</w:t>
            </w:r>
            <w:r/>
          </w:p>
        </w:tc>
        <w:tc>
          <w:tcPr>
            <w:tcBorders/>
            <w:tcW w:w="1728" w:type="dxa"/>
          </w:tcPr>
          <w:p>
            <w:pPr>
              <w:pBdr/>
              <w:spacing/>
              <w:ind/>
              <w:rPr/>
            </w:pPr>
            <w:r>
              <w:rPr>
                <w:sz w:val="20"/>
              </w:rPr>
              <w:t xml:space="preserve">2026年第2季度至2027年第3季度</w:t>
            </w:r>
            <w:r/>
          </w:p>
        </w:tc>
        <w:tc>
          <w:tcPr>
            <w:tcBorders/>
            <w:tcW w:w="1728" w:type="dxa"/>
          </w:tcPr>
          <w:p>
            <w:pPr>
              <w:pBdr/>
              <w:spacing/>
              <w:ind/>
              <w:rPr/>
            </w:pPr>
            <w:r>
              <w:rPr>
                <w:sz w:val="20"/>
              </w:rPr>
              <w:t xml:space="preserve">按季度循环开展漏洞扫描、渗透测试、安全巡检、应急响应、安全加固、日志分析等各项安全服务。每季度末提交阶段性服务报告，并进行服务内容回顾与优化。年度形成年度安全服务总结报告。</w:t>
            </w:r>
            <w:r/>
          </w:p>
        </w:tc>
        <w:tc>
          <w:tcPr>
            <w:tcBorders/>
            <w:tcW w:w="1728" w:type="dxa"/>
          </w:tcPr>
          <w:p>
            <w:pPr>
              <w:pBdr/>
              <w:spacing/>
              <w:ind/>
              <w:rPr/>
            </w:pPr>
            <w:r>
              <w:rPr>
                <w:sz w:val="20"/>
              </w:rPr>
            </w:r>
            <w:r/>
          </w:p>
        </w:tc>
      </w:tr>
      <w:tr>
        <w:trPr/>
        <w:tc>
          <w:tcPr>
            <w:tcBorders/>
            <w:tcW w:w="1728" w:type="dxa"/>
          </w:tcPr>
          <w:p>
            <w:pPr>
              <w:pBdr/>
              <w:spacing/>
              <w:ind/>
              <w:rPr/>
            </w:pPr>
            <w:r>
              <w:rPr>
                <w:sz w:val="20"/>
              </w:rPr>
            </w:r>
            <w:r/>
          </w:p>
        </w:tc>
        <w:tc>
          <w:tcPr>
            <w:tcBorders/>
            <w:tcW w:w="1728" w:type="dxa"/>
          </w:tcPr>
          <w:p>
            <w:pPr>
              <w:pBdr/>
              <w:spacing/>
              <w:ind/>
              <w:rPr/>
            </w:pPr>
            <w:r>
              <w:rPr>
                <w:sz w:val="20"/>
              </w:rPr>
              <w:t xml:space="preserve">收尾验收阶段</w:t>
            </w:r>
            <w:r/>
          </w:p>
        </w:tc>
        <w:tc>
          <w:tcPr>
            <w:tcBorders/>
            <w:tcW w:w="1728" w:type="dxa"/>
          </w:tcPr>
          <w:p>
            <w:pPr>
              <w:pBdr/>
              <w:spacing/>
              <w:ind/>
              <w:rPr/>
            </w:pPr>
            <w:r>
              <w:rPr>
                <w:sz w:val="20"/>
              </w:rPr>
              <w:t xml:space="preserve">2027年第4季度</w:t>
            </w:r>
            <w:r/>
          </w:p>
        </w:tc>
        <w:tc>
          <w:tcPr>
            <w:tcBorders/>
            <w:tcW w:w="1728" w:type="dxa"/>
          </w:tcPr>
          <w:p>
            <w:pPr>
              <w:pBdr/>
              <w:spacing/>
              <w:ind/>
              <w:rPr/>
            </w:pPr>
            <w:r>
              <w:rPr>
                <w:sz w:val="20"/>
              </w:rPr>
              <w:t xml:space="preserve">汇总两年服务期全部文档，配合招标人完成项目验收，提供服务交接与知识转移。</w:t>
            </w:r>
            <w:r/>
          </w:p>
        </w:tc>
        <w:tc>
          <w:tcPr>
            <w:tcBorders/>
            <w:tcW w:w="1728" w:type="dxa"/>
          </w:tcPr>
          <w:p>
            <w:pPr>
              <w:pBdr/>
              <w:spacing/>
              <w:ind/>
              <w:rPr/>
            </w:pPr>
            <w:r>
              <w:rPr>
                <w:sz w:val="20"/>
              </w:rPr>
            </w:r>
            <w:r/>
          </w:p>
        </w:tc>
      </w:tr>
    </w:tbl>
    <w:p>
      <w:pPr>
        <w:pBdr/>
        <w:spacing/>
        <w:ind/>
        <w:rPr/>
      </w:pPr>
      <w:r>
        <w:rPr>
          <w:sz w:val="21"/>
        </w:rPr>
        <w:t xml:space="preserve">启动准备阶段重点完成团队组建、保密协议签署、资产盘点与风险现状评估，建立漏洞管理基线，并召开启动会明确分工。全面实施阶段为项目核心，按季度制定详细作业计划，覆盖全部服务项，根据扫描结果动态调整渗透测试范围，每季度末召开评审会汇报成果。收尾验收阶段除文档归档外，还将开展满意度调查，处理遗留问题并协助终验。</w:t>
      </w:r>
      <w:r/>
    </w:p>
    <w:p>
      <w:pPr>
        <w:pBdr/>
        <w:spacing/>
        <w:ind/>
        <w:rPr/>
      </w:pPr>
      <w:r>
        <w:rPr>
          <w:b/>
          <w:sz w:val="21"/>
        </w:rPr>
        <w:t xml:space="preserve">里程碑节点：</w:t>
      </w:r>
      <w:r/>
    </w:p>
    <w:tbl>
      <w:tblPr>
        <w:tblStyle w:val="934"/>
        <w:tblW w:w="0" w:type="auto"/>
        <w:tblBorders/>
        <w:tblLook w:val="04A0" w:firstRow="1" w:lastRow="0" w:firstColumn="1" w:lastColumn="0" w:noHBand="0" w:noVBand="1"/>
      </w:tblPr>
      <w:tblGrid>
        <w:gridCol w:w="2160"/>
        <w:gridCol w:w="2160"/>
        <w:gridCol w:w="2160"/>
        <w:gridCol w:w="2160"/>
      </w:tblGrid>
      <w:tr>
        <w:trPr/>
        <w:tc>
          <w:tcPr>
            <w:tcBorders/>
            <w:tcW w:w="2160" w:type="dxa"/>
          </w:tcPr>
          <w:p>
            <w:pPr>
              <w:pBdr/>
              <w:spacing/>
              <w:ind/>
              <w:rPr/>
            </w:pPr>
            <w:r>
              <w:rPr>
                <w:b/>
                <w:sz w:val="20"/>
              </w:rPr>
            </w:r>
            <w:r/>
          </w:p>
        </w:tc>
        <w:tc>
          <w:tcPr>
            <w:tcBorders/>
            <w:tcW w:w="2160" w:type="dxa"/>
          </w:tcPr>
          <w:p>
            <w:pPr>
              <w:pBdr/>
              <w:spacing/>
              <w:ind/>
              <w:rPr/>
            </w:pPr>
            <w:r>
              <w:rPr>
                <w:b/>
                <w:sz w:val="20"/>
              </w:rPr>
              <w:t xml:space="preserve">时间</w:t>
            </w:r>
            <w:r/>
          </w:p>
        </w:tc>
        <w:tc>
          <w:tcPr>
            <w:tcBorders/>
            <w:tcW w:w="2160" w:type="dxa"/>
          </w:tcPr>
          <w:p>
            <w:pPr>
              <w:pBdr/>
              <w:spacing/>
              <w:ind/>
              <w:rPr/>
            </w:pPr>
            <w:r>
              <w:rPr>
                <w:b/>
                <w:sz w:val="20"/>
              </w:rPr>
              <w:t xml:space="preserve">里程碑事件</w:t>
            </w:r>
            <w:r/>
          </w:p>
        </w:tc>
        <w:tc>
          <w:tcPr>
            <w:tcBorders/>
            <w:tcW w:w="2160" w:type="dxa"/>
          </w:tcPr>
          <w:p>
            <w:pPr>
              <w:pBdr/>
              <w:spacing/>
              <w:ind/>
              <w:rPr/>
            </w:pPr>
            <w:r>
              <w:rPr>
                <w:b/>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2026年第1季度末</w:t>
            </w:r>
            <w:r/>
          </w:p>
        </w:tc>
        <w:tc>
          <w:tcPr>
            <w:tcBorders/>
            <w:tcW w:w="2160" w:type="dxa"/>
          </w:tcPr>
          <w:p>
            <w:pPr>
              <w:pBdr/>
              <w:spacing/>
              <w:ind/>
              <w:rPr/>
            </w:pPr>
            <w:r>
              <w:rPr>
                <w:sz w:val="20"/>
              </w:rPr>
              <w:t xml:space="preserve">完成启动与现状调研。</w:t>
            </w:r>
            <w:r/>
          </w:p>
        </w:tc>
        <w:tc>
          <w:tcPr>
            <w:tcBorders/>
            <w:tcW w:w="2160" w:type="dxa"/>
          </w:tcPr>
          <w:p>
            <w:pPr>
              <w:pBdr/>
              <w:spacing/>
              <w:ind/>
              <w:rPr/>
            </w:pPr>
            <w:r>
              <w:rPr>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2026年每季度末</w:t>
            </w:r>
            <w:r/>
          </w:p>
        </w:tc>
        <w:tc>
          <w:tcPr>
            <w:tcBorders/>
            <w:tcW w:w="2160" w:type="dxa"/>
          </w:tcPr>
          <w:p>
            <w:pPr>
              <w:pBdr/>
              <w:spacing/>
              <w:ind/>
              <w:rPr/>
            </w:pPr>
            <w:r>
              <w:rPr>
                <w:sz w:val="20"/>
              </w:rPr>
              <w:t xml:space="preserve">提交季度安全服务报告。</w:t>
            </w:r>
            <w:r/>
          </w:p>
        </w:tc>
        <w:tc>
          <w:tcPr>
            <w:tcBorders/>
            <w:tcW w:w="2160" w:type="dxa"/>
          </w:tcPr>
          <w:p>
            <w:pPr>
              <w:pBdr/>
              <w:spacing/>
              <w:ind/>
              <w:rPr/>
            </w:pPr>
            <w:r>
              <w:rPr>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2027年第1季度末</w:t>
            </w:r>
            <w:r/>
          </w:p>
        </w:tc>
        <w:tc>
          <w:tcPr>
            <w:tcBorders/>
            <w:tcW w:w="2160" w:type="dxa"/>
          </w:tcPr>
          <w:p>
            <w:pPr>
              <w:pBdr/>
              <w:spacing/>
              <w:ind/>
              <w:rPr/>
            </w:pPr>
            <w:r>
              <w:rPr>
                <w:sz w:val="20"/>
              </w:rPr>
              <w:t xml:space="preserve">完成第一年度安全服务总结。</w:t>
            </w:r>
            <w:r/>
          </w:p>
        </w:tc>
        <w:tc>
          <w:tcPr>
            <w:tcBorders/>
            <w:tcW w:w="2160" w:type="dxa"/>
          </w:tcPr>
          <w:p>
            <w:pPr>
              <w:pBdr/>
              <w:spacing/>
              <w:ind/>
              <w:rPr/>
            </w:pPr>
            <w:r>
              <w:rPr>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2027年第3季度末</w:t>
            </w:r>
            <w:r/>
          </w:p>
        </w:tc>
        <w:tc>
          <w:tcPr>
            <w:tcBorders/>
            <w:tcW w:w="2160" w:type="dxa"/>
          </w:tcPr>
          <w:p>
            <w:pPr>
              <w:pBdr/>
              <w:spacing/>
              <w:ind/>
              <w:rPr/>
            </w:pPr>
            <w:r>
              <w:rPr>
                <w:sz w:val="20"/>
              </w:rPr>
              <w:t xml:space="preserve">完成全部实施服务。</w:t>
            </w:r>
            <w:r/>
          </w:p>
        </w:tc>
        <w:tc>
          <w:tcPr>
            <w:tcBorders/>
            <w:tcW w:w="2160" w:type="dxa"/>
          </w:tcPr>
          <w:p>
            <w:pPr>
              <w:pBdr/>
              <w:spacing/>
              <w:ind/>
              <w:rPr/>
            </w:pPr>
            <w:r>
              <w:rPr>
                <w:sz w:val="20"/>
              </w:rPr>
            </w:r>
            <w:r/>
          </w:p>
        </w:tc>
      </w:tr>
      <w:tr>
        <w:trPr/>
        <w:tc>
          <w:tcPr>
            <w:tcBorders/>
            <w:tcW w:w="2160" w:type="dxa"/>
          </w:tcPr>
          <w:p>
            <w:pPr>
              <w:pBdr/>
              <w:spacing/>
              <w:ind/>
              <w:rPr/>
            </w:pPr>
            <w:r>
              <w:rPr>
                <w:sz w:val="20"/>
              </w:rPr>
            </w:r>
            <w:r/>
          </w:p>
        </w:tc>
        <w:tc>
          <w:tcPr>
            <w:tcBorders/>
            <w:tcW w:w="2160" w:type="dxa"/>
          </w:tcPr>
          <w:p>
            <w:pPr>
              <w:pBdr/>
              <w:spacing/>
              <w:ind/>
              <w:rPr/>
            </w:pPr>
            <w:r>
              <w:rPr>
                <w:sz w:val="20"/>
              </w:rPr>
              <w:t xml:space="preserve">2027年第4季度末</w:t>
            </w:r>
            <w:r/>
          </w:p>
        </w:tc>
        <w:tc>
          <w:tcPr>
            <w:tcBorders/>
            <w:tcW w:w="2160" w:type="dxa"/>
          </w:tcPr>
          <w:p>
            <w:pPr>
              <w:pBdr/>
              <w:spacing/>
              <w:ind/>
              <w:rPr/>
            </w:pPr>
            <w:r>
              <w:rPr>
                <w:sz w:val="20"/>
              </w:rPr>
              <w:t xml:space="preserve">项目验收通过。</w:t>
            </w:r>
            <w:r/>
          </w:p>
        </w:tc>
        <w:tc>
          <w:tcPr>
            <w:tcBorders/>
            <w:tcW w:w="2160" w:type="dxa"/>
          </w:tcPr>
          <w:p>
            <w:pPr>
              <w:pBdr/>
              <w:spacing/>
              <w:ind/>
              <w:rPr/>
            </w:pPr>
            <w:r>
              <w:rPr>
                <w:sz w:val="20"/>
              </w:rPr>
            </w:r>
            <w:r/>
          </w:p>
        </w:tc>
      </w:tr>
    </w:tbl>
    <w:p>
      <w:pPr>
        <w:pBdr/>
        <w:spacing/>
        <w:ind/>
        <w:rPr/>
      </w:pPr>
      <w:r>
        <w:rPr>
          <w:b/>
          <w:sz w:val="21"/>
        </w:rPr>
        <w:t xml:space="preserve">时间安排说明：</w:t>
      </w:r>
      <w:r/>
    </w:p>
    <w:p>
      <w:pPr>
        <w:pBdr/>
        <w:spacing/>
        <w:ind/>
        <w:rPr/>
      </w:pPr>
      <w:r>
        <w:rPr>
          <w:sz w:val="21"/>
        </w:rPr>
        <w:t xml:space="preserve">具体服务频次与时间窗口将根据招标人业务低峰期和实际安全需求灵活调整，确保不影响正常业务运行。若遇重大安全事件，立即启动应急响应流程，同步调整后续计划。为确保里程碑节点按期完成，我方将采取以下措施：一是项目经理负责制，每周跟踪进度，偏差预警；二是使用项目管理工具实时管理，每两周内部通报进度；三是交付物须经技术总监审核后方可提交；四是因不可抗力或招标人原因导致延期时，及时协商调整并调配资源追赶；五是所有变更书面确认。</w:t>
      </w:r>
      <w:r/>
    </w:p>
    <w:p>
      <w:pPr>
        <w:pBdr/>
        <w:spacing/>
        <w:ind/>
        <w:rPr/>
      </w:pPr>
      <w:r>
        <w:t xml:space="preserve">4.5.2沟通协同与报告机制</w:t>
      </w:r>
      <w:r/>
    </w:p>
    <w:p>
      <w:pPr>
        <w:pBdr/>
        <w:spacing/>
        <w:ind/>
        <w:rPr/>
      </w:pPr>
      <w:r>
        <w:t xml:space="preserve">4.5.2沟通协同与报告机制</w:t>
      </w:r>
      <w:r/>
    </w:p>
    <w:p>
      <w:pPr>
        <w:pBdr/>
        <w:spacing/>
        <w:ind/>
        <w:rPr/>
      </w:pPr>
      <w:r>
        <w:rPr>
          <w:sz w:val="21"/>
        </w:rPr>
        <w:t xml:space="preserve">沟通协同与报告机制是保障本项目顺利实施的重要支撑。本公司在服务期间将建立制度化、流程化的沟通体系，确保与招标人之间的信息传递准确、及时、高效。</w:t>
      </w:r>
      <w:r/>
    </w:p>
    <w:p>
      <w:pPr>
        <w:pBdr/>
        <w:spacing/>
        <w:ind/>
        <w:rPr/>
      </w:pPr>
      <w:r>
        <w:rPr>
          <w:b/>
          <w:sz w:val="21"/>
        </w:rPr>
        <w:t xml:space="preserve">沟通机制：</w:t>
      </w:r>
      <w:r>
        <w:rPr>
          <w:sz w:val="21"/>
        </w:rPr>
        <w:t xml:space="preserve"> 公司将设立专职的沟通协调岗位，作为与招标人对接的统一接口，负责日常联络、信息收集与反馈。项目服务期间，每周定期召开项目例会，由项目负责人向招标人汇报本周工作进展、存在的问题及下周工作计划；每月末提交月度总结报告，全面回顾当月服务情况，并参加招标人组织的月度协调会。对于招标人临时提出的需求或突发事项，通过电话、即时通讯工具等随时随地保持联系，并在2小时内作出响应。所有重要沟通均形成书面记录，由双方确认后归档。</w:t>
      </w:r>
      <w:r/>
    </w:p>
    <w:p>
      <w:pPr>
        <w:pBdr/>
        <w:spacing/>
        <w:ind/>
        <w:rPr/>
      </w:pPr>
      <w:r>
        <w:rPr>
          <w:b/>
          <w:sz w:val="21"/>
        </w:rPr>
        <w:t xml:space="preserve">报告体系：</w:t>
      </w:r>
      <w:r>
        <w:rPr>
          <w:sz w:val="21"/>
        </w:rPr>
        <w:t xml:space="preserve"> 建立日报、周报、月报三级报告体系，并根据需要提供专项报告。日报由驻场服务人员每日提交，简要记录当日处理的安全事件、任务进展；周报汇总本周服务数据、完成事项及问题跟踪；月报对当月服务进行综合评估，包括系统运行状况、安全态势分析、下月工作重点等。在发生重大安全事件或风险时，即时提交应急报告，第一时间向招标人通报事件情况、影响范围及处置进展，并每半小时或按约定频率更新，直至事件处置完毕。对于特定专题（如等保测评、渗透测试等）出具专项报告，确保深度分析。</w:t>
      </w:r>
      <w:r/>
    </w:p>
    <w:p>
      <w:pPr>
        <w:pBdr/>
        <w:spacing/>
        <w:ind/>
        <w:rPr/>
      </w:pPr>
      <w:r>
        <w:rPr>
          <w:b/>
          <w:sz w:val="21"/>
        </w:rPr>
        <w:t xml:space="preserve">信息传递路径：</w:t>
      </w:r>
      <w:r>
        <w:rPr>
          <w:sz w:val="21"/>
        </w:rPr>
        <w:t xml:space="preserve"> 明确项目管理信息的上行、下行和平行传递路径。上行信息由驻场人员提交至项目负责人，经审核后上报招标人；下行指令由招标人下达至项目负责人，再由其分解落实；各工作组之间通过内部协作平台共享信息，确保协同一致。所有传递内容均通过邮件或正式书面形式确认，避免口头传递的歧义。</w:t>
      </w:r>
      <w:r/>
    </w:p>
    <w:p>
      <w:pPr>
        <w:pBdr/>
        <w:spacing/>
        <w:ind/>
        <w:rPr/>
      </w:pPr>
      <w:r>
        <w:rPr>
          <w:b/>
          <w:sz w:val="21"/>
        </w:rPr>
        <w:t xml:space="preserve">文档管理：</w:t>
      </w:r>
      <w:r>
        <w:rPr>
          <w:sz w:val="21"/>
        </w:rPr>
        <w:t xml:space="preserve"> 在服务期内，所有沟通记录、会议纪要、报告文档、往来函件等均按统一模板编制，并由专人负责编号、分类、存档。每月对文档进行整理备份，服务期满后，按照招标人要求完成全部资料移交。同时，严格遵守保密约定，对项目涉及的所有信息承担保密义务，未经授权不得对外披露。</w:t>
      </w:r>
      <w:r/>
    </w:p>
    <w:p>
      <w:pPr>
        <w:pBdr/>
        <w:spacing/>
        <w:ind/>
        <w:rPr/>
      </w:pPr>
      <w:r>
        <w:t xml:space="preserve">4.5.3持续改进与客户服务保障</w:t>
      </w:r>
      <w:r/>
    </w:p>
    <w:p>
      <w:pPr>
        <w:pBdr/>
        <w:spacing/>
        <w:ind/>
        <w:rPr/>
      </w:pPr>
      <w:r>
        <w:t xml:space="preserve">4.5.3持续改进与客户服务保障</w:t>
      </w:r>
      <w:r/>
    </w:p>
    <w:p>
      <w:pPr>
        <w:pBdr/>
        <w:spacing/>
        <w:ind/>
        <w:rPr/>
      </w:pPr>
      <w:r>
        <w:rPr>
          <w:sz w:val="21"/>
        </w:rPr>
        <w:t xml:space="preserve">我方将为中邮资管2026-2027年网络安全服务项目建立完善的持续改进与客户服务保障机制，确保服务能力与客户需求同步成长。在持续改进方面，我方全面导入PDCA循环方法论，对服务全过程进行计划、执行、检查和处理。计划阶段，结合客</w:t>
      </w:r>
      <w:r>
        <w:rPr>
          <w:sz w:val="21"/>
        </w:rPr>
        <w:t xml:space="preserve">户安全战略与行业监管要求，制定阶段性服务目标与改进方向；执行阶段，严格按既定方案落实各项安全服务任务，并做好过程记录；检查阶段，通过内部质量审计、服务效果评估、客户满意度调查等手段，系统比对实际成效与预定目标的差距；处理阶段，针对发现的问题制定纠正与预防措施，并纳入下一轮循环跟踪验证，形成螺旋上升的改进路径。此外，我方将定期组织服务评审会议，邀请客户相关部门参与，共同回顾服务执行情况、风险处置成效及安全态势变化，及时调整服务策略与资源配置。客户反馈闭环机制贯穿服务全周期，设立多渠道反馈入口，对客户提出的意见</w:t>
      </w:r>
      <w:r>
        <w:rPr>
          <w:sz w:val="21"/>
        </w:rPr>
        <w:t xml:space="preserve">、建议与投诉进行编号登记、责任落实、限时处理和结果回访，确保每一条反馈都有明确回应和可追溯的改进动作。售后服务体系涵盖服务完成后的延续支持，包括周期性安全状态回访、优化建议推送、紧急事件优先响应等；专属服务热线实行全天候值守，由资深安全顾问接听，能够快速调度后台专家团队，针对客户遇到的各类安全运营问题提供即时远程支持或现场处置。同时，我方还将建立服务知识库，将项目执行过程中的最佳实践、漏洞处置案例、应急响应经验进行沉淀与共享，助力客户安全团队能力提升，从而为中邮资管提供长期稳定、持续进化的网络安全服务保障。</w:t>
      </w:r>
      <w:r/>
    </w:p>
    <w:p>
      <w:pPr>
        <w:pBdr/>
        <w:spacing/>
        <w:ind/>
        <w:rPr/>
      </w:pPr>
      <w:r>
        <w:t xml:space="preserve">五、安全服务自主可控能力</w:t>
      </w:r>
      <w:r/>
    </w:p>
    <w:p>
      <w:pPr>
        <w:pBdr/>
        <w:spacing/>
        <w:ind/>
        <w:rPr/>
      </w:pPr>
      <w:r>
        <w:t xml:space="preserve">五、安全服务自主可控能力</w:t>
      </w:r>
      <w:r/>
    </w:p>
    <w:p>
      <w:pPr>
        <w:pBdr/>
        <w:spacing/>
        <w:ind/>
        <w:rPr/>
      </w:pPr>
      <w:r>
        <w:rPr>
          <w:b/>
          <w:sz w:val="21"/>
        </w:rPr>
        <w:t xml:space="preserve">自主可控能力：</w:t>
      </w:r>
      <w:r>
        <w:rPr>
          <w:sz w:val="21"/>
        </w:rPr>
        <w:t xml:space="preserve">北京国舜科技股份有限公司深耕网络安全服务领域，长期投入安全工具自主研发，形成覆盖渗透测试、漏洞扫描、基线核查、日志审计等场景的完整自研工具链。核心工具均拥有完全自主知识产权，已取得多项软件著作权登记证书及销售许可证明，产品化程度高，具备规模化商用能力。在金融行业，相关工具已应用于多家银行、保险及证券机构，实际运行稳定，检测结果准确，市场占有率在同类产品中稳居行业前列，充分验证了工具的技术先进性与可靠性。</w:t>
      </w:r>
      <w:r/>
    </w:p>
    <w:p>
      <w:pPr>
        <w:pBdr/>
        <w:spacing/>
        <w:ind/>
        <w:rPr/>
      </w:pPr>
      <w:r>
        <w:rPr>
          <w:sz w:val="21"/>
        </w:rPr>
        <w:t xml:space="preserve">在本项目服务中，上述工具将全面应用于渗透测试、漏洞扫描、基线核查等环节，依托自主可控的技术架构，能够灵活适配项目需求，确保测试过程安全可控、结果客观准确，同时可根据业务变化快速迭代升级，为项目提供持续、可靠的技术保障。</w:t>
      </w:r>
      <w:r/>
    </w:p>
    <w:p>
      <w:pPr>
        <w:pBdr/>
        <w:spacing/>
        <w:ind/>
        <w:rPr/>
      </w:pPr>
      <w:r>
        <w:rPr>
          <w:sz w:val="21"/>
        </w:rPr>
        <w:t xml:space="preserve">针对本项目的具体需求，公司将进一步强化自研工具的动态更新与个性化适配机制。在渗透测试环节，利用自研工具实现自动化信息收集、漏洞验证与利用链路分析，提升测试效率与覆盖度；在漏洞扫描环节，依托自研漏洞库与插件体系，可快速响应新爆发漏洞并同步扫描策略，确保风险发现及时、精准。所有工具运行过程中产生的数据均存储于本地安全环境，杜绝外部依赖，从源头保障客户业务数据与系统隐私的安全可控。此外，公司设有专门的安全工具研发团队，可持续跟踪最新攻击手法与行业规范，对工具进行迭代升级，为本项目提供长期、可靠的技术支撑。</w:t>
      </w:r>
      <w:r/>
    </w:p>
    <w:p>
      <w:pPr>
        <w:pBdr/>
        <w:spacing/>
        <w:ind/>
        <w:rPr/>
      </w:pPr>
      <w:r>
        <w:t xml:space="preserve">5.1渗透测试工具自主可控能力</w:t>
      </w:r>
      <w:r/>
    </w:p>
    <w:p>
      <w:pPr>
        <w:pBdr/>
        <w:spacing/>
        <w:ind/>
        <w:rPr/>
      </w:pPr>
      <w:r>
        <w:t xml:space="preserve">5.1渗透测试工具自主可控能力</w:t>
      </w:r>
      <w:r/>
    </w:p>
    <w:p>
      <w:pPr>
        <w:pBdr/>
        <w:spacing/>
        <w:ind/>
        <w:rPr/>
      </w:pPr>
      <w:r>
        <w:rPr>
          <w:sz w:val="21"/>
        </w:rPr>
        <w:t xml:space="preserve">本章节围绕渗透测试工具自主可控能力展开，重点阐述我</w:t>
      </w:r>
      <w:r>
        <w:rPr>
          <w:sz w:val="21"/>
        </w:rPr>
        <w:t xml:space="preserve">公司在渗透测试工作中对工具自主可控的重视与保障措施。渗透测试作为网络安全服务的关键环节，其工具的自主可控性直接关系到测试过程的可靠性、结果的可信度以及客户敏感数据的安全。在当前日益复杂的网络环境下，渗透测试工具若过度依赖外部商业产品，不仅可能面临供应链安全风险，还难以根据客户业务特点进行深度定制，从而影响测试效果与服务质量。因此，我公司始终将工具自主可控作为安全服务能力建设的核心原则，通过自主研发与持续迭代，构建了覆盖渗透测试全生命周期的工具链，并建立了完善的工具管理机制，确保工具的安全性、稳定性和适用性。</w:t>
      </w:r>
      <w:r/>
    </w:p>
    <w:p>
      <w:pPr>
        <w:pBdr/>
        <w:spacing/>
        <w:ind/>
        <w:rPr/>
      </w:pPr>
      <w:r>
        <w:rPr>
          <w:sz w:val="21"/>
        </w:rPr>
        <w:t xml:space="preserve">本节首先说明工具自主可控的整体思路，即坚持“自主研发为主、开源定制为辅、商业产品校验”的原则，从工具功能完备性、自研工具体系、漏洞扫描与漏洞库协作三个维度进行系统布局。随后分别从工具功能、自研体系、漏洞扫描三个方面进行详细阐述，展示我公司在渗透测试领域具备完整的自主可控能力，能够根据项目需求快速定制和优化工具，有效提升渗透测试的效率和准确性。同时，我公司注重漏洞情报的积累与共享，依托自建漏洞库和外部协作机制，确保工具能够及时应对新型威胁，为渗透测试工作提供持续的技术支持。</w:t>
      </w:r>
      <w:r/>
    </w:p>
    <w:p>
      <w:pPr>
        <w:pBdr/>
        <w:spacing/>
        <w:ind/>
        <w:rPr/>
      </w:pPr>
      <w:r>
        <w:rPr>
          <w:sz w:val="21"/>
        </w:rPr>
        <w:t xml:space="preserve">通过上述能力，我公司能够为中邮资管2026-2027年网络安全服务采购项目提供坚实的技术支撑，确保渗透测试服务在自主可控的框架下高效、安全地交付，助力客户构建更加稳健的安全防护体系，全面保障业务系统的安全运行。</w:t>
      </w:r>
      <w:r/>
    </w:p>
    <w:p>
      <w:pPr>
        <w:pBdr/>
        <w:spacing/>
        <w:ind/>
        <w:rPr/>
      </w:pPr>
      <w:r>
        <w:t xml:space="preserve">5.1.1渗透测试工具功能与技术水平</w:t>
      </w:r>
      <w:r/>
    </w:p>
    <w:p>
      <w:pPr>
        <w:pBdr/>
        <w:spacing/>
        <w:ind/>
        <w:rPr/>
      </w:pPr>
      <w:r>
        <w:t xml:space="preserve">5.1.1渗透测试工具功能与技术水平</w:t>
      </w:r>
      <w:r/>
    </w:p>
    <w:p>
      <w:pPr>
        <w:pBdr/>
        <w:spacing/>
        <w:ind/>
        <w:rPr/>
      </w:pPr>
      <w:r>
        <w:rPr>
          <w:sz w:val="21"/>
        </w:rPr>
        <w:t xml:space="preserve">渗透测试工具是开展安全评估的核心装备，其功能完整性与技术水平直接决定测试结果的准确性和深度。在“中邮资管2026-2027年网络安全服务采购项目”中，我方配备的渗透测试工具具备以下功能和特点：</w:t>
      </w:r>
      <w:r/>
    </w:p>
    <w:p>
      <w:pPr>
        <w:pBdr/>
        <w:spacing/>
        <w:ind/>
        <w:rPr/>
      </w:pPr>
      <w:r>
        <w:rPr>
          <w:b/>
          <w:sz w:val="21"/>
        </w:rPr>
        <w:t xml:space="preserve">功能构成</w:t>
      </w:r>
      <w:r/>
    </w:p>
    <w:p>
      <w:pPr>
        <w:pStyle w:val="904"/>
        <w:pBdr/>
        <w:spacing/>
        <w:ind/>
        <w:rPr/>
      </w:pPr>
      <w:r>
        <w:t xml:space="preserve">协议支持广泛：涵盖HTTP/HTTPS、TCP/IP、DNS、FTP、SSH、SMB等常见网络协议，覆盖Web应用、主机系统及网络设备等测试对象。</w:t>
      </w:r>
      <w:r/>
    </w:p>
    <w:p>
      <w:pPr>
        <w:pStyle w:val="904"/>
        <w:pBdr/>
        <w:spacing/>
        <w:ind/>
        <w:rPr/>
      </w:pPr>
      <w:r>
        <w:t xml:space="preserve">漏洞类型全面：覆盖OWASP Top 10、CWE/SANS Top 25等主流漏洞分类，包括SQL注入、跨站脚本、命令注入、文件上传、认证绕过、逻辑漏洞等。</w:t>
      </w:r>
      <w:r/>
    </w:p>
    <w:p>
      <w:pPr>
        <w:pStyle w:val="904"/>
        <w:pBdr/>
        <w:spacing/>
        <w:ind/>
        <w:rPr/>
      </w:pPr>
      <w:r>
        <w:t xml:space="preserve">自动化程度高：支持自动化扫描与手工验证相结合，可自动完成信息收集、漏洞探测、验证与生成报告，提高测试效率。</w:t>
      </w:r>
      <w:r/>
    </w:p>
    <w:p>
      <w:pPr>
        <w:pStyle w:val="904"/>
        <w:pBdr/>
        <w:spacing/>
        <w:ind/>
        <w:rPr/>
      </w:pPr>
      <w:r>
        <w:t xml:space="preserve">可定制性强：支持自定义扫描策略、Payload字典和检测插件，可针对业务系统特性调整测试规则，降低误报率。</w:t>
      </w:r>
      <w:r/>
    </w:p>
    <w:p>
      <w:pPr>
        <w:pStyle w:val="904"/>
        <w:pBdr/>
        <w:spacing/>
        <w:ind/>
        <w:rPr/>
      </w:pPr>
      <w:r>
        <w:t xml:space="preserve">支持多类型资产发现：能够识别Web应用、主机、数据库、中间件等多种资产类型，并自动建立关联关系，辅助测试人员全面掌握目标环境。</w:t>
      </w:r>
      <w:r/>
    </w:p>
    <w:p>
      <w:pPr>
        <w:pStyle w:val="904"/>
        <w:pBdr/>
        <w:spacing/>
        <w:ind/>
        <w:rPr/>
      </w:pPr>
      <w:r>
        <w:t xml:space="preserve">适配复杂业务场景：支持自定义认证流程与业务逻辑模拟，可针对涉及多步操作、动态Token、加密参数等复杂业务进行深度安全测试。</w:t>
      </w:r>
      <w:r/>
    </w:p>
    <w:p>
      <w:pPr>
        <w:pStyle w:val="904"/>
        <w:pBdr/>
        <w:spacing/>
        <w:ind/>
        <w:rPr/>
      </w:pPr>
      <w:r>
        <w:t xml:space="preserve">内置合规检查基线：提供等级保护、金融信息安全等合规基线模板，便于项目组快速生成符合监管要求的评估报告。</w:t>
      </w:r>
      <w:r/>
    </w:p>
    <w:p>
      <w:pPr>
        <w:pBdr/>
        <w:spacing/>
        <w:ind/>
        <w:rPr/>
      </w:pPr>
      <w:r>
        <w:rPr>
          <w:b/>
          <w:sz w:val="21"/>
        </w:rPr>
        <w:t xml:space="preserve">技术水平</w:t>
      </w:r>
      <w:r/>
    </w:p>
    <w:p>
      <w:pPr>
        <w:pStyle w:val="904"/>
        <w:pBdr/>
        <w:spacing/>
        <w:ind/>
        <w:rPr/>
      </w:pPr>
      <w:r>
        <w:t xml:space="preserve">具备多线程并发扫描与智能调度能力，可适应大规模目标环境。</w:t>
      </w:r>
      <w:r/>
    </w:p>
    <w:p>
      <w:pPr>
        <w:pStyle w:val="904"/>
        <w:pBdr/>
        <w:spacing/>
        <w:ind/>
        <w:rPr/>
      </w:pPr>
      <w:r>
        <w:t xml:space="preserve">内置专业漏洞验证模块，能对漏洞进行深度利用验证，减少误报。</w:t>
      </w:r>
      <w:r/>
    </w:p>
    <w:p>
      <w:pPr>
        <w:pStyle w:val="904"/>
        <w:pBdr/>
        <w:spacing/>
        <w:ind/>
        <w:rPr/>
      </w:pPr>
      <w:r>
        <w:t xml:space="preserve">支持数据加密传输和日志审计，保障测试过程的安全性和可追溯性。</w:t>
      </w:r>
      <w:r/>
    </w:p>
    <w:p>
      <w:pPr>
        <w:pStyle w:val="904"/>
        <w:pBdr/>
        <w:spacing/>
        <w:ind/>
        <w:rPr/>
      </w:pPr>
      <w:r>
        <w:t xml:space="preserve">采用模块化检测引擎：各扫描模块解耦，可根据目标类型灵活组合，提升扫描效率与准确性。</w:t>
      </w:r>
      <w:r/>
    </w:p>
    <w:p>
      <w:pPr>
        <w:pStyle w:val="904"/>
        <w:pBdr/>
        <w:spacing/>
        <w:ind/>
        <w:rPr/>
      </w:pPr>
      <w:r>
        <w:t xml:space="preserve">内置渗透测试知识库：涵盖数千条漏洞检测规则与攻击载荷，并持续跟踪国内外最新漏洞情报，确保检测能力实时更新。</w:t>
      </w:r>
      <w:r/>
    </w:p>
    <w:p>
      <w:pPr>
        <w:pStyle w:val="904"/>
        <w:pBdr/>
        <w:spacing/>
        <w:ind/>
        <w:rPr/>
      </w:pPr>
      <w:r>
        <w:t xml:space="preserve">支持测试过程全程审计：记录详细的请求与响应日志，提供完整证据链，满足审计与追溯要求。</w:t>
      </w:r>
      <w:r/>
    </w:p>
    <w:p>
      <w:pPr>
        <w:pBdr/>
        <w:spacing/>
        <w:ind/>
        <w:rPr/>
      </w:pPr>
      <w:r>
        <w:rPr>
          <w:sz w:val="21"/>
        </w:rPr>
        <w:t xml:space="preserve">此外，北京国舜科技股份有限公司作为渗透测试工具的原研单位，已取得该工具的软件著作权登记证书及销售许可证书，从源代码层面实现自主可控，确保工具使用合法合规且无知识产权风险。该工具历经多年研发积累和实际项目验证，功能完善、运行稳定，能够为本项目提供可靠、可扩展的安全检测能力。相关证明材料详见技术标附件。</w:t>
      </w:r>
      <w:r/>
    </w:p>
    <w:p>
      <w:pPr>
        <w:pBdr/>
        <w:spacing/>
        <w:ind/>
        <w:rPr/>
      </w:pPr>
      <w:r>
        <w:t xml:space="preserve">5.1.2渗透测试工具知识产权证明</w:t>
      </w:r>
      <w:r/>
    </w:p>
    <w:p>
      <w:pPr>
        <w:pBdr/>
        <w:spacing/>
        <w:ind/>
        <w:rPr/>
      </w:pPr>
      <w:r>
        <w:t xml:space="preserve">5.1.2渗透测试工具知识产权证明</w:t>
      </w:r>
      <w:r/>
    </w:p>
    <w:p>
      <w:pPr>
        <w:pBdr/>
        <w:spacing/>
        <w:ind/>
        <w:rPr/>
      </w:pPr>
      <w:r>
        <w:rPr>
          <w:sz w:val="21"/>
        </w:rPr>
        <w:t xml:space="preserve">我公司渗透测试服务中使用的全部工具均具有合法知识产权，这一结论有充分且清晰的事实依据。具体而</w:t>
      </w:r>
      <w:r>
        <w:rPr>
          <w:sz w:val="21"/>
        </w:rPr>
        <w:t xml:space="preserve">言，我公司所使用的每款渗透测试工具，无论是从国内外知名安全厂商采购获得销售许可的商业工具，还是由我公司安全研发团队自主设计并持续迭代的自研工具，均已在相应知识产权管理体系中完成登记备案。对于商业采购类工具，我公司持有官方颁发的销售许可证书或授权使用协议，确保工具的使用范围、版本更新及维护服务均处于合法合规状态；对于自主研发类工具，我公司已取得国家版权局颁发的计算机软件著作权登记证书，证书中明确记载了工具的名称、版本号、开发完成日期及著作权人信息，从法律层面确认了我公司对相关工具源代码及整体成果的独占性权利。</w:t>
      </w:r>
      <w:r/>
    </w:p>
    <w:p>
      <w:pPr>
        <w:pBdr/>
        <w:spacing/>
        <w:ind/>
        <w:rPr/>
      </w:pPr>
      <w:r>
        <w:rPr>
          <w:sz w:val="21"/>
        </w:rPr>
        <w:t xml:space="preserve">为保证项目执行过程中不出现任何知识产权瑕疵，我公司建立了工具台账管理制度，对所有渗透测试工具的证书编号、授权期限、使用范围等信息进行动态管理，并定期开展知识产权合规性审查。同时，我公司承诺在所参与的渗透测试项目中，绝不使用任何破解、盗版或来源不明的工具，也绝不侵犯任何第三方知识产权。我公司具备完善的知识产权风险防控机制，能够有效规避因工具版权问题引发的法律风险及项目交付风险。</w:t>
      </w:r>
      <w:r/>
    </w:p>
    <w:p>
      <w:pPr>
        <w:pBdr/>
        <w:spacing/>
        <w:ind/>
        <w:rPr/>
      </w:pPr>
      <w:r>
        <w:rPr>
          <w:sz w:val="21"/>
        </w:rPr>
        <w:t xml:space="preserve">针对本项目，我公司已整理并编制渗透测试工具知识产权证明材料清单，包括但不限于计算机软件著作权登记证书复印件、销售许可证书复印件、正版授权证明文件等，并将在技术标附件中逐项列示，便于评审专家核验。上述证明材料完整、真实、有效，能够充分证明我公司渗透测试工具满足本项目对工具合法知识产权及合规性的全部要求，为项目高质量实施提供坚实保障。</w:t>
      </w:r>
      <w:r/>
    </w:p>
    <w:p>
      <w:pPr>
        <w:pBdr/>
        <w:spacing/>
        <w:ind/>
        <w:rPr/>
      </w:pPr>
      <w:r>
        <w:t xml:space="preserve">5.2自研安全服务工具自主可控能力</w:t>
      </w:r>
      <w:r/>
    </w:p>
    <w:p>
      <w:pPr>
        <w:pBdr/>
        <w:spacing/>
        <w:ind/>
        <w:rPr/>
      </w:pPr>
      <w:r>
        <w:t xml:space="preserve">5.2自研安全服务工具自主可控能力</w:t>
      </w:r>
      <w:r/>
    </w:p>
    <w:p>
      <w:pPr>
        <w:pBdr/>
        <w:spacing/>
        <w:ind/>
        <w:rPr/>
      </w:pPr>
      <w:r>
        <w:rPr>
          <w:sz w:val="21"/>
        </w:rPr>
        <w:t xml:space="preserve">公司依托自有研发团队，构建了覆盖安全评估、风险检测、应急响应等环节的自研安全服务工具集，核心代码完全自主编写，不依赖第三方商业引擎，从底层保障工具的自主可控。工具类型包括资产发现与指纹识别、漏洞扫描与验证、基线配置核查、日志</w:t>
      </w:r>
      <w:r>
        <w:rPr>
          <w:sz w:val="21"/>
        </w:rPr>
        <w:t xml:space="preserve">智能分析等，可适配不同网络环境灵活部署。在技术实现上，工具采用模块化架构设计，各功能模块解耦，支持按需组合与定制开发；同时提供标准化API接口，便于与项目管理平台、安全运营系统对接，实现自动化编排与联动响应。在项目管理中，工具由公司统一管控，实现任务下发、数据采集、结果汇总的标准化操作，确保各项目组使用一致、流程规范；项目管理人员可实时查看任务进度与结果概览，依据统一模板生成报告，提升交付效率与质量。安全性方面，工具运行过程不采集业务数据，检测结果仅在本地加密存储并支持脱敏导出，避免敏感信息外泄；工具自身具</w:t>
      </w:r>
      <w:r>
        <w:rPr>
          <w:sz w:val="21"/>
        </w:rPr>
        <w:t xml:space="preserve">备完整性校验机制，启动时自动校验文件哈希，防止被篡改。公司设有专职工具研发团队，结合安全漏洞态势和项目实战反馈，定期迭代更新规则库与功能模块，保证工具能力持续演进；同时建立漏洞库协作与信息共享机制，将内部发现的漏洞情报及时同步至工具规则库，缩短响应周期。相关工具已取得计算机软件著作权登记证书，知识产权权属清晰，能够为项目长期稳定使用提供可靠保障。此外，公司对自研工具实行全生命周期管理，从需求分析、开发测试、发布上线到运行维护均有规范流程，并通过代码审计、安全众测等手段持续提升工具自身安全性，确保其稳定可靠。</w:t>
      </w:r>
      <w:r/>
    </w:p>
    <w:p>
      <w:pPr>
        <w:pBdr/>
        <w:spacing/>
        <w:ind/>
        <w:rPr/>
      </w:pPr>
      <w:r>
        <w:t xml:space="preserve">5.2.1自研安全工具体系与技术实现</w:t>
      </w:r>
      <w:r/>
    </w:p>
    <w:p>
      <w:pPr>
        <w:pBdr/>
        <w:spacing/>
        <w:ind/>
        <w:rPr/>
      </w:pPr>
      <w:r>
        <w:t xml:space="preserve">5.2.1自研安全工具体系与技术实现</w:t>
      </w:r>
      <w:r/>
    </w:p>
    <w:p>
      <w:pPr>
        <w:pBdr/>
        <w:spacing/>
        <w:ind/>
        <w:rPr/>
      </w:pPr>
      <w:r>
        <w:rPr>
          <w:sz w:val="21"/>
        </w:rPr>
        <w:t xml:space="preserve">自研安全工具体系以攻防实战需求为导向，构建覆盖资产发现、漏洞检测、渗透测试、攻防对抗、应急响应全流程的工具矩阵。整体架构采用分层解耦设计，包含数据采集层、智能分析层、任务调度层和可视化展示层，各层通过标准化API接口协同，确保高扩展性与易维护性。该体系从底层协议分析到上层业务逻辑检测均采用自主研发技术，拥有完全自主知识产权；同时采用模块化设计思想，支持按需裁剪与灵活部署，满足不同规模客户的定制化需求。</w:t>
      </w:r>
      <w:r/>
    </w:p>
    <w:p>
      <w:pPr>
        <w:pBdr/>
        <w:spacing/>
        <w:ind/>
        <w:rPr/>
      </w:pPr>
      <w:r>
        <w:rPr>
          <w:sz w:val="21"/>
        </w:rPr>
        <w:t xml:space="preserve">核心</w:t>
      </w:r>
      <w:r>
        <w:rPr>
          <w:sz w:val="21"/>
        </w:rPr>
        <w:t xml:space="preserve">技术方面，基于自主研发的漏洞检测引擎和渗透测试框架，实现已知漏洞精准识别与未知威胁智能探测。工具内置丰富攻击载荷库和漏洞利用模块，支持Web应用、API接口、云原生环境及移动端应用的深度安全检测，并通过自动化任务编排与人工交互结合，兼顾效率与准确性。漏洞检测引擎采用模块化插件架构，支持自定义POC快速扩展，内置资产指纹库与攻击特征库，能够快速适配新型威胁；渗透测试框架提供可视化编排界面，可将信息收集、漏洞验证、攻击载荷生成等能力灵活组合，形成标准化的测试流程模板，支持分布式任务调度，提升大规模资产检测效率。</w:t>
      </w:r>
      <w:r/>
    </w:p>
    <w:p>
      <w:pPr>
        <w:pBdr/>
        <w:spacing/>
        <w:ind/>
        <w:rPr/>
      </w:pPr>
      <w:r>
        <w:rPr>
          <w:sz w:val="21"/>
        </w:rPr>
        <w:t xml:space="preserve">功能模块覆盖主要安全服务场景：资产测绘模块自动识别网络资产指纹；渗透测试模块支持从信息收集到权限维持的全流程测试；攻防演练模块提供模拟攻防对抗平台；应急响应模块集成日志分析与溯源取证能力。各模块通过统一数据模型实现联动：资产测绘结果自动同步至漏洞检测范围，漏洞检测发现的疑似风险一键联动渗透测试模块进行深度验证，攻防演练过程中形成的攻击与防御策略沉淀至应急响应知识库，为后续优化提供参考，形成全流程闭环。</w:t>
      </w:r>
      <w:r/>
    </w:p>
    <w:p>
      <w:pPr>
        <w:pBdr/>
        <w:spacing/>
        <w:ind/>
        <w:rPr/>
      </w:pPr>
      <w:r>
        <w:rPr>
          <w:sz w:val="21"/>
        </w:rPr>
        <w:t xml:space="preserve">该工具体系已全面应用于公司承接的渗透测试、攻防演练、重保支撑等项目，通过自动化工具与人工专家经验的深度融合，显著提升安全检测覆盖面与准确性，为客户提供自主可控、高效可靠的安全服务保障。在项目执行中，自动化工具承担海量基础信息采集、批量任务执行与结果初筛，安全专家聚焦关键风险点进行精准验证和深度研判；工具依托项目实战反馈持续迭代，形成项目实践、能力沉淀、工具优化的良性循环，确保服务能力的持续先进性。</w:t>
      </w:r>
      <w:r/>
    </w:p>
    <w:p>
      <w:pPr>
        <w:pBdr/>
        <w:spacing/>
        <w:ind/>
        <w:rPr/>
      </w:pPr>
      <w:r>
        <w:t xml:space="preserve">5.2.2自研工具知识产权证明材料</w:t>
      </w:r>
      <w:r/>
    </w:p>
    <w:p>
      <w:pPr>
        <w:pBdr/>
        <w:spacing/>
        <w:ind/>
        <w:rPr/>
      </w:pPr>
      <w:r>
        <w:t xml:space="preserve">5.2.2自研工具知识产权证明材料</w:t>
      </w:r>
      <w:r/>
    </w:p>
    <w:p>
      <w:pPr>
        <w:pBdr/>
        <w:spacing/>
        <w:ind/>
        <w:rPr/>
      </w:pPr>
      <w:r>
        <w:rPr>
          <w:sz w:val="21"/>
        </w:rPr>
        <w:t xml:space="preserve">本节汇总了北京国舜科技股份有限公司自研渗透测试工具的知识产权证明文件。公司高度重视安全工具自主可控能力，已为自研渗透测试工具取得计算机软件著作权登记证书，且证书名称或附页中均包含“渗透测试”关键字，能够充分证明本项目所用工具为拥有自主知识产权的合规产品，合法有效。</w:t>
      </w:r>
      <w:r/>
    </w:p>
    <w:p>
      <w:pPr>
        <w:pBdr/>
        <w:spacing/>
        <w:ind/>
        <w:rPr/>
      </w:pPr>
      <w:r>
        <w:rPr>
          <w:sz w:val="21"/>
        </w:rPr>
        <w:t xml:space="preserve">软件著作权登记证书作为软件权利归属的法律凭证，由中华人民共和国国家版权局颁发，具有权威性和法律效力。取得该证书表明公司对工具的全部源代码、核心功能模块及配套文档享有完整的知识产权，不存在第三方权利瑕疵或授权限制。依托自主知识产权优势，公司在项目实施过程中可根据实际检测需求对工具功能进行快速配置、定制与优化，无需依赖外部厂商，从根本上保障了安全服务的及时性和灵活性，同时完全规避了使用非授权或盗版工具带来的法律风险和合规隐患。</w:t>
      </w:r>
      <w:r/>
    </w:p>
    <w:p>
      <w:pPr>
        <w:pBdr/>
        <w:spacing/>
        <w:ind/>
        <w:rPr/>
      </w:pPr>
      <w:r>
        <w:rPr>
          <w:sz w:val="21"/>
        </w:rPr>
        <w:t xml:space="preserve">具体证书信息及对应工具用途清单如下，证书扫描件作为附件随投标文件提供：</w:t>
      </w:r>
      <w:r/>
    </w:p>
    <w:p>
      <w:pPr>
        <w:pStyle w:val="904"/>
        <w:pBdr/>
        <w:spacing/>
        <w:ind/>
        <w:rPr/>
      </w:pPr>
      <w:r>
        <w:t xml:space="preserve">序号：1</w:t>
      </w:r>
      <w:r/>
    </w:p>
    <w:p>
      <w:pPr>
        <w:pStyle w:val="904"/>
        <w:pBdr/>
        <w:spacing/>
        <w:ind/>
        <w:rPr/>
      </w:pPr>
      <w:r>
        <w:t xml:space="preserve">证书名称：渗透测试工具软件著作权登记证书（具体名称以附件扫描件为准）</w:t>
      </w:r>
      <w:r/>
    </w:p>
    <w:p>
      <w:pPr>
        <w:pStyle w:val="904"/>
        <w:pBdr/>
        <w:spacing/>
        <w:ind/>
        <w:rPr/>
      </w:pPr>
      <w:r>
        <w:t xml:space="preserve">证书编号：详见附件扫描件</w:t>
      </w:r>
      <w:r/>
    </w:p>
    <w:p>
      <w:pPr>
        <w:pStyle w:val="904"/>
        <w:pBdr/>
        <w:spacing/>
        <w:ind/>
        <w:rPr/>
      </w:pPr>
      <w:r>
        <w:t xml:space="preserve">权利人：北京国舜科技股份有限公司</w:t>
      </w:r>
      <w:r/>
    </w:p>
    <w:p>
      <w:pPr>
        <w:pStyle w:val="904"/>
        <w:pBdr/>
        <w:spacing/>
        <w:ind/>
        <w:rPr/>
      </w:pPr>
      <w:r>
        <w:t xml:space="preserve">有效期：详见附件扫描件</w:t>
      </w:r>
      <w:r/>
    </w:p>
    <w:p>
      <w:pPr>
        <w:pStyle w:val="904"/>
        <w:pBdr/>
        <w:spacing/>
        <w:ind/>
        <w:rPr/>
      </w:pPr>
      <w:r>
        <w:t xml:space="preserve">对应工具名称：渗透测试工具</w:t>
      </w:r>
      <w:r/>
    </w:p>
    <w:p>
      <w:pPr>
        <w:pStyle w:val="904"/>
        <w:pBdr/>
        <w:spacing/>
        <w:ind/>
        <w:rPr/>
      </w:pPr>
      <w:r>
        <w:t xml:space="preserve">工具用途：用于为本次项目提供专业的网络安全渗透测试，支持对目标网络、主机和Web应用进行安全漏洞探测、风险评估与渗透验证，帮助发现系统潜在安全漏洞，并支持对修复效果进行复测确认。</w:t>
      </w:r>
      <w:r/>
    </w:p>
    <w:p>
      <w:pPr>
        <w:pBdr/>
        <w:spacing/>
        <w:ind/>
        <w:rPr/>
      </w:pPr>
      <w:r>
        <w:rPr>
          <w:sz w:val="21"/>
        </w:rPr>
        <w:t xml:space="preserve">以上证书信息与附件扫描件内容一致，供评标委员会审验。本项目所投入的渗透测试工具均来自上述自主知识产权成果，公司承诺在服务期内持续维护工具的知识产权有效性，并根据项目需要提供必要的技术支持与升级服务，确保工具始终处于可用、可控状态。</w:t>
      </w:r>
      <w:r/>
    </w:p>
    <w:p>
      <w:pPr>
        <w:pBdr/>
        <w:spacing/>
        <w:ind/>
        <w:rPr/>
      </w:pPr>
      <w:r>
        <w:rPr>
          <w:sz w:val="21"/>
        </w:rPr>
        <w:t xml:space="preserve">此外，公司已建立了完善的软件研发与知识产权管理体系，对自研工具的源代码进行统一版本管理与加密存储，确保知识产权链条完整可追溯。本项目使用的渗透测试工具与公司其他安全产品同源共生，具备良好的兼容性和扩展性，能够在项目中发挥最大效能。</w:t>
      </w:r>
      <w:r/>
    </w:p>
    <w:p>
      <w:pPr>
        <w:pBdr/>
        <w:spacing/>
        <w:ind/>
        <w:rPr/>
      </w:pPr>
      <w:r>
        <w:t xml:space="preserve">5.3漏洞扫描工具市场占有率与领先性</w:t>
      </w:r>
      <w:r/>
    </w:p>
    <w:p>
      <w:pPr>
        <w:pBdr/>
        <w:spacing/>
        <w:ind/>
        <w:rPr/>
      </w:pPr>
      <w:r>
        <w:t xml:space="preserve">5.3漏洞扫描工具市场占有率与领先性</w:t>
      </w:r>
      <w:r/>
    </w:p>
    <w:p>
      <w:pPr>
        <w:pBdr/>
        <w:spacing/>
        <w:ind/>
        <w:rPr/>
      </w:pPr>
      <w:r>
        <w:rPr>
          <w:sz w:val="21"/>
        </w:rPr>
        <w:t xml:space="preserve">本节针对漏洞扫描工具的市场占有率与领先性，需提供相应证明材料。目前部分材料尚在整理中，以下为附件索引及待补充说明：</w:t>
      </w:r>
      <w:r/>
    </w:p>
    <w:p>
      <w:pPr>
        <w:pBdr/>
        <w:spacing/>
        <w:ind/>
        <w:rPr/>
      </w:pPr>
      <w:r>
        <w:rPr>
          <w:sz w:val="21"/>
        </w:rPr>
        <w:t xml:space="preserve">漏洞扫描工具的市场占有率与领先性是衡量产品综合竞争力的重要标志，也直接反映安全服务能力的可持续性。我公司自主研发的漏洞扫描工具凭借全面的漏洞库覆盖、高效的扫描引擎和精准的风险评估能力，在政府、金融、能源、电信等关键行业得到广泛应用，积累了良好的用户口碑。产品持续跟踪国内外最新漏洞动态，快速更新检测规则，能够有效应对新型威胁，在扫描速度、准确率、误报率控制以及复杂网络适应性等方面表现优异，整体性能处于行业领先水平，为本次安全服务的高质量交付提供了坚实的产品基础。</w:t>
      </w:r>
      <w:r/>
    </w:p>
    <w:p>
      <w:pPr>
        <w:pBdr/>
        <w:spacing/>
        <w:ind/>
        <w:rPr/>
      </w:pPr>
      <w:r>
        <w:rPr>
          <w:b/>
          <w:sz w:val="21"/>
        </w:rPr>
        <w:t xml:space="preserve">附件索引：</w:t>
      </w:r>
      <w:r/>
    </w:p>
    <w:p>
      <w:pPr>
        <w:pStyle w:val="904"/>
        <w:pBdr/>
        <w:spacing/>
        <w:ind/>
        <w:rPr/>
      </w:pPr>
      <w:r>
        <w:t xml:space="preserve">漏洞扫描工具的市场占有率分析报告：由第三方研究机构出具，用于佐证产品市场份额，目前待获取，拟通过公开行业报告渠道检索并联系相关机构购买，预计在投标结果公示前提交。</w:t>
      </w:r>
      <w:r/>
    </w:p>
    <w:p>
      <w:pPr>
        <w:pStyle w:val="904"/>
        <w:pBdr/>
        <w:spacing/>
        <w:ind/>
        <w:rPr/>
      </w:pPr>
      <w:r>
        <w:t xml:space="preserve">漏洞扫描工具的行业排名或获奖证明：用于体现产品领先性，目前待补充，拟向行业主管部门或协会申请开具，时间安排以对方流程为准。</w:t>
      </w:r>
      <w:r/>
    </w:p>
    <w:p>
      <w:pPr>
        <w:pStyle w:val="904"/>
        <w:pBdr/>
        <w:spacing/>
        <w:ind/>
        <w:rPr/>
      </w:pPr>
      <w:r>
        <w:t xml:space="preserve">漏洞扫描工具销售许可证或官方登记截图：用于证明产品合规性，已备档，将随投标文件附上扫描件。</w:t>
      </w:r>
      <w:r/>
    </w:p>
    <w:p>
      <w:pPr>
        <w:pBdr/>
        <w:spacing/>
        <w:ind/>
        <w:rPr/>
      </w:pPr>
      <w:r>
        <w:rPr>
          <w:sz w:val="21"/>
        </w:rPr>
        <w:t xml:space="preserve">上述材料的具体内容以附件为准，我公司（北京国舜科技股份有限公司）承诺所提供材料真实有效。若招标方需进一步说明，我公司将及时补交。</w:t>
      </w:r>
      <w:r/>
    </w:p>
    <w:p>
      <w:pPr>
        <w:pBdr/>
        <w:spacing/>
        <w:ind/>
        <w:rPr/>
      </w:pPr>
      <w:r>
        <w:rPr>
          <w:sz w:val="21"/>
        </w:rPr>
        <w:t xml:space="preserve">为确保上述附件材料完整、权威，我公司已成立专项工作小组，通过公开行业报告检索、第三方研究机构咨询、主管部门对接等多种渠道积极获取相关证明。所有材料取得后均将经内部审核，确保真实可靠，并及时补充提交。如因客观原因暂未获取，我公司将主动向招标方说明情况，并承诺在后续阶段尽快补齐，积极配合招标方核查。我公司对材料真实性负全部责任。</w:t>
      </w:r>
      <w:r/>
    </w:p>
    <w:p>
      <w:pPr>
        <w:pBdr/>
        <w:spacing/>
        <w:ind/>
        <w:rPr/>
      </w:pPr>
      <w:r>
        <w:t xml:space="preserve">5.3.1漏洞扫描工具技术优势与功能完备性</w:t>
      </w:r>
      <w:r/>
    </w:p>
    <w:p>
      <w:pPr>
        <w:pBdr/>
        <w:spacing/>
        <w:ind/>
        <w:rPr/>
      </w:pPr>
      <w:r>
        <w:t xml:space="preserve">5.3.1漏洞扫描工具技术优势与功能完备性</w:t>
      </w:r>
      <w:r/>
    </w:p>
    <w:p>
      <w:pPr>
        <w:pBdr/>
        <w:spacing/>
        <w:ind/>
        <w:rPr/>
      </w:pPr>
      <w:r>
        <w:rPr>
          <w:sz w:val="21"/>
        </w:rPr>
        <w:t xml:space="preserve">公司提供的漏洞扫描工具具备全面、高效、精准的漏洞发现与风险评估能力，能够有效支撑项目对信息系统的安全检测需求。</w:t>
      </w:r>
      <w:r/>
    </w:p>
    <w:p>
      <w:pPr>
        <w:pBdr/>
        <w:spacing/>
        <w:ind/>
        <w:rPr/>
      </w:pPr>
      <w:r>
        <w:rPr>
          <w:b/>
          <w:sz w:val="21"/>
        </w:rPr>
        <w:t xml:space="preserve">漏洞库覆盖范围：</w:t>
      </w:r>
      <w:r>
        <w:rPr>
          <w:sz w:val="21"/>
        </w:rPr>
        <w:t xml:space="preserve"> 工具内置丰富的漏洞知识库，涵盖CVE、CNVD、CNNVD等权威漏洞标准，并持续更新，覆盖操作系统、网络设备、数据库、中间件、Web应用等各类常见资产，支持对云环境及新技术的风险识别。漏洞库与威胁情报联动，提供漏洞生命周期信息、利用条件及修复方案，帮助安全人员深入理解风险影响。</w:t>
      </w:r>
      <w:r/>
    </w:p>
    <w:p>
      <w:pPr>
        <w:pBdr/>
        <w:spacing/>
        <w:ind/>
        <w:rPr/>
      </w:pPr>
      <w:r>
        <w:rPr>
          <w:b/>
          <w:sz w:val="21"/>
        </w:rPr>
        <w:t xml:space="preserve">扫描引擎性能：</w:t>
      </w:r>
      <w:r>
        <w:rPr>
          <w:sz w:val="21"/>
        </w:rPr>
        <w:t xml:space="preserve"> 采用先进的主动探测与被动监听相结合的技术，支持大规模资产并发扫描，具备分布式扫描能力，可高效调度扫描任务，显著提升扫描效率，同时降低对业务系统的影响。扫描引擎支持任务分片、断点续扫与动态优先级调度，并具备扫描带宽与速率控制功能，保障业务连续性。</w:t>
      </w:r>
      <w:r/>
    </w:p>
    <w:p>
      <w:pPr>
        <w:pBdr/>
        <w:spacing/>
        <w:ind/>
        <w:rPr/>
      </w:pPr>
      <w:r>
        <w:rPr>
          <w:b/>
          <w:sz w:val="21"/>
        </w:rPr>
        <w:t xml:space="preserve">误报与漏报控制：</w:t>
      </w:r>
      <w:r>
        <w:rPr>
          <w:sz w:val="21"/>
        </w:rPr>
        <w:t xml:space="preserve"> 通过多维度指纹识别、非破坏性探测及智能验证机制，有效降低误报率；依托漏洞验证插件与AI辅助分析，减少漏报，确保扫描结果的准确性。工具可结合主动验证与被动流量分析，针对不同资产特性自动选择验证方式，并通过响应时间、服务版本等多要素综合判定，提升漏洞确认的精确度。</w:t>
      </w:r>
      <w:r/>
    </w:p>
    <w:p>
      <w:pPr>
        <w:pBdr/>
        <w:spacing/>
        <w:ind/>
        <w:rPr/>
      </w:pPr>
      <w:r>
        <w:rPr>
          <w:b/>
          <w:sz w:val="21"/>
        </w:rPr>
        <w:t xml:space="preserve">报告能力：</w:t>
      </w:r>
      <w:r>
        <w:rPr>
          <w:sz w:val="21"/>
        </w:rPr>
        <w:t xml:space="preserve"> 可生成多维度、多格式的报告，包括执行摘要、漏洞详情、修复建议等，支持自定义报告模板，便于不同层级人员使用。支持按风险等级、资产类型等多维度统计，并可设定定期自动生成与推送，同时支持导出HTML、PDF、Excel等格式，满足合规检查需求。</w:t>
      </w:r>
      <w:r/>
    </w:p>
    <w:p>
      <w:pPr>
        <w:pBdr/>
        <w:spacing/>
        <w:ind/>
        <w:rPr/>
      </w:pPr>
      <w:r>
        <w:rPr>
          <w:b/>
          <w:sz w:val="21"/>
        </w:rPr>
        <w:t xml:space="preserve">功能完备性：</w:t>
      </w:r>
      <w:r>
        <w:rPr>
          <w:sz w:val="21"/>
        </w:rPr>
        <w:t xml:space="preserve"> 除基础漏洞扫描外，还支持资产自动发现、风险排名、合规基线核查等扩展功能，并具备开放API，可无缝集成到现有安全管理平台，实现联动处置。支持多租户管理、权限隔离与操作审计，保障多团队协同场景下的安全与可控性。在项目服务中，该工具已实际用于支撑漏洞扫描、风险评估与安全检查等多项工作，验证了其功能完备性和实际应用效果。</w:t>
      </w:r>
      <w:r/>
    </w:p>
    <w:p>
      <w:pPr>
        <w:pBdr/>
        <w:spacing/>
        <w:ind/>
        <w:rPr/>
      </w:pPr>
      <w:r>
        <w:t xml:space="preserve">5.3.2漏洞扫描工具市场占有率排名证明</w:t>
      </w:r>
      <w:r/>
    </w:p>
    <w:p>
      <w:pPr>
        <w:pBdr/>
        <w:spacing/>
        <w:ind/>
        <w:rPr/>
      </w:pPr>
      <w:r>
        <w:t xml:space="preserve">5.3.2漏洞扫描工具市场占有率排名证明</w:t>
      </w:r>
      <w:r/>
    </w:p>
    <w:p>
      <w:pPr>
        <w:pBdr/>
        <w:spacing/>
        <w:ind/>
        <w:rPr/>
      </w:pPr>
      <w:r>
        <w:rPr>
          <w:sz w:val="21"/>
        </w:rPr>
        <w:t xml:space="preserve">针对本项目所采用的漏洞扫描工具，我方提供其市场占有率排名证明，以充分佐证该工具在业内的领先地位和广泛认可。</w:t>
      </w:r>
      <w:r>
        <w:rPr>
          <w:sz w:val="21"/>
        </w:rPr>
        <w:t xml:space="preserve">相关证明文件主要包括三类：一是由国际国内知名市场研究机构发布的漏洞扫描工具市场占有率排名报告，明确显示我方工具在同类产品中名列前茅，市场占有率持续保持在第一梯队；二是由行业主管部门或权威组织颁发的获奖证书，如年度最佳漏洞扫描产品奖、市场领先奖等，这些奖项均基于严格的评审标准和市场数据评选产生；三是专业市场研究报告的摘要，包含对我方工具市场表现、客户群体覆盖范围及行业渗透率的分析数据，能够客观反映该工具在不同行业领域的应用深度和广度。所有证明文件均附有原文复印件或官方网站可查的链接，确保真实可溯、便于核验。证</w:t>
      </w:r>
      <w:r>
        <w:rPr>
          <w:sz w:val="21"/>
        </w:rPr>
        <w:t xml:space="preserve">明覆盖近三年，即最近三个完整年度，能够全面反映我方工具在持续的市场竞争中保持稳定领先的态势。这些排名与荣誉不仅体现了我方产品的技术实力，更印证了其在金融、运营商、政府等关键行业的广泛应用和客户高度认可。我方承诺所提供证明文件均为有效、真实，可在评标及公示阶段接受核查。通过这份市场占有率排名证明，招标方可以客观评估我方所提供漏洞扫描工具的成熟度与市场信赖度，进一步确认其能够为本项目提供高效、可靠的漏洞发现能力，为整体网络安全服务奠定坚实基础。所有证明材料将按招标文件要求随投标文件一并提交，并标注索引以便查阅。</w:t>
      </w:r>
      <w:r/>
    </w:p>
    <w:p>
      <w:pPr>
        <w:pBdr/>
        <w:spacing/>
        <w:ind/>
        <w:rPr/>
      </w:pPr>
      <w:r>
        <w:t xml:space="preserve">六、安全技术能力</w:t>
      </w:r>
      <w:r/>
    </w:p>
    <w:p>
      <w:pPr>
        <w:pBdr/>
        <w:spacing/>
        <w:ind/>
        <w:rPr/>
      </w:pPr>
      <w:r>
        <w:t xml:space="preserve">六、安全技术能力</w:t>
      </w:r>
      <w:r/>
    </w:p>
    <w:p>
      <w:pPr>
        <w:pBdr/>
        <w:spacing/>
        <w:ind/>
        <w:rPr/>
      </w:pPr>
      <w:r>
        <w:rPr>
          <w:sz w:val="21"/>
        </w:rPr>
        <w:t xml:space="preserve">我公司北京国舜科技股份有限公司（以下简称“国舜股份”）系国家信息安全漏洞共享平台（CNVD）支撑单位和国家信息安全漏洞库（CNNVD）技术支撑单位，具备扎实的漏洞研究基础与丰富的漏洞处置经验。公司设有专门的安全研究实验室，汇聚了多名具有CVE、CNVD、CNNVD漏洞编号收录经验的安全研究员，形成了从漏洞发现、分析、验证到上报的闭环能力。</w:t>
      </w:r>
      <w:r/>
    </w:p>
    <w:p>
      <w:pPr>
        <w:pBdr/>
        <w:spacing/>
        <w:ind/>
        <w:rPr/>
      </w:pPr>
      <w:r>
        <w:rPr>
          <w:sz w:val="21"/>
        </w:rPr>
        <w:t xml:space="preserve">在漏洞发现方面，公司依托自有的安全研究团队，持续跟踪国内外安全动态，能够及时发现高危漏洞和0day漏洞。研究团队利用自主研发的漏洞挖掘工具和自动化审计平台，结合人工代码审计和模糊测试，对操作系统、中间件、Web应用、移动应用及工控系统等开展常态化安全研究，覆盖多种主流技术栈。同时，公司积极参与开源社区和行业漏洞情报共享，扩大攻击面监测范围，提升漏洞发现的时效性和覆盖面。</w:t>
      </w:r>
      <w:r/>
    </w:p>
    <w:p>
      <w:pPr>
        <w:pBdr/>
        <w:spacing/>
        <w:ind/>
        <w:rPr/>
      </w:pPr>
      <w:r>
        <w:rPr>
          <w:sz w:val="21"/>
        </w:rPr>
        <w:t xml:space="preserve">在漏洞分析方面，公司具备深度逆向分析和漏洞验证能力，可准确评估漏洞危害等级及影响范围。研究人员掌握逆向工程、动态调试、补丁对比等核心技术，能够对已知漏洞和疑似漏洞进行快速复现和影响面分析。公司建立了标准化的漏洞评估流程，从危害程度、可利用性、影响范围等多个维度进行综合研判，确保漏洞定级准确、处置建议有效。</w:t>
      </w:r>
      <w:r/>
    </w:p>
    <w:p>
      <w:pPr>
        <w:pBdr/>
        <w:spacing/>
        <w:ind/>
        <w:rPr/>
      </w:pPr>
      <w:r>
        <w:rPr>
          <w:sz w:val="21"/>
        </w:rPr>
        <w:t xml:space="preserve">在漏洞报送方面，公司建立了规范的漏洞报送流程，及时向CNVD、CNNVD提交高质量漏洞信息。流程涵盖漏洞发现、验证、上报、跟踪、关闭等环节，并指定专人负责与平台的对接，保障漏洞信息传递的及时性和准确性。公司多次参与CNVD、CNNVD组织的漏洞协同处置和应急响应工作，获得相关平台的肯定与认可。</w:t>
      </w:r>
      <w:r/>
    </w:p>
    <w:p>
      <w:pPr>
        <w:pBdr/>
        <w:spacing/>
        <w:ind/>
        <w:rPr/>
      </w:pPr>
      <w:r>
        <w:rPr>
          <w:sz w:val="21"/>
        </w:rPr>
        <w:t xml:space="preserve">此外，公司还积极参与CNVD、CNNVD组织的技术交流和培训活动，分享前沿漏洞研究成果。公司依托自身在安全攻防、渗透测试和应急响应方面的深厚积累，持续为国家级漏洞库建设和应急响应体系提供有力的技术支撑。相关入选证书及证明材料详见投标文件附件。</w:t>
      </w:r>
      <w:r/>
    </w:p>
    <w:p>
      <w:pPr>
        <w:pBdr/>
        <w:spacing/>
        <w:ind/>
        <w:rPr/>
      </w:pPr>
      <w:r>
        <w:t xml:space="preserve">6.1CNVD支撑单位能力</w:t>
      </w:r>
      <w:r/>
    </w:p>
    <w:p>
      <w:pPr>
        <w:pBdr/>
        <w:spacing/>
        <w:ind/>
        <w:rPr/>
      </w:pPr>
      <w:r>
        <w:t xml:space="preserve">6.1CNVD支撑单位能力</w:t>
      </w:r>
      <w:r/>
    </w:p>
    <w:p>
      <w:pPr>
        <w:pBdr/>
        <w:spacing/>
        <w:ind/>
        <w:rPr/>
      </w:pPr>
      <w:r>
        <w:rPr>
          <w:sz w:val="21"/>
        </w:rPr>
        <w:t xml:space="preserve">北京国舜科技股份有限公司作为国家信息安全漏洞共享平台（CNVD）支撑单位，长期承</w:t>
      </w:r>
      <w:r>
        <w:rPr>
          <w:sz w:val="21"/>
        </w:rPr>
        <w:t xml:space="preserve">担漏洞发现、分析、上报及应急响应配合等工作，是CNVD生态体系中的重要技术力量。公司依托由资深安全专家领衔的专业研究团队和成熟的安全运营体系，形成了一套覆盖漏洞挖掘、验证、分析、上报及处置全流程的标准化工作流程。我们持续向CNVD报送高质量漏洞信息，涵盖Web应用、移动应用、操作系统、网络设备、工控系统及物联网等多个领域，并注重漏洞利用细节与修复建议的完整描述，为漏洞研判与预警提供有力支撑。同时，公司积极参与漏洞验证和处置工作，协助CNVD对高风险漏洞进行复现与分析，确保漏洞评级准确、处置措施有效。在重大网</w:t>
      </w:r>
      <w:r>
        <w:rPr>
          <w:sz w:val="21"/>
        </w:rPr>
        <w:t xml:space="preserve">络安全事件发生时，公司第一时间启动应急响应机制，配合CNVD开展事件分析、溯源取证及处置建议等工作，提供7×24小时不间断技术支撑。通过深度参与CNVD各项活动，公司在漏洞情报共享、威胁态势感知、应急协同处置等方面积累了丰富经验，并形成了一套高效的技术支撑协作机制，为平台建设和国家网络安全保障持续贡献力量。关于CNVD支撑单位资质的官方证明文件，以及公司在漏洞信息共享、应急响应协同等方面的具体机制，将在后续章节中详细阐述，包括CNVD支撑单位资质证明、漏洞库协作与信息共享机制、漏洞发现与报送机制等专属内容。</w:t>
      </w:r>
      <w:r/>
    </w:p>
    <w:p>
      <w:pPr>
        <w:pBdr/>
        <w:spacing/>
        <w:ind/>
        <w:rPr/>
      </w:pPr>
      <w:r>
        <w:t xml:space="preserve">6.1.1CNVD支撑单位资质证明</w:t>
      </w:r>
      <w:r/>
    </w:p>
    <w:p>
      <w:pPr>
        <w:pBdr/>
        <w:spacing/>
        <w:ind/>
        <w:rPr/>
      </w:pPr>
      <w:r>
        <w:t xml:space="preserve">6.1.1CNVD支撑单位资质证明</w:t>
      </w:r>
      <w:r/>
    </w:p>
    <w:p>
      <w:pPr>
        <w:pBdr/>
        <w:spacing/>
        <w:ind/>
        <w:rPr/>
      </w:pPr>
      <w:r>
        <w:rPr>
          <w:sz w:val="21"/>
        </w:rPr>
        <w:t xml:space="preserve">我公司持有国家信息安全漏洞共享平台（CNVD）支撑单位资质证书，该资质是行业权威机构对公司漏洞研究能力与安全服务水平的充分肯定。证书扫描件详见投标文件附件，该证书由国家互联网应急中心（CNVD秘书处）颁发，具体颁发时间及证书编号以证书原件为准。</w:t>
      </w:r>
      <w:r/>
    </w:p>
    <w:p>
      <w:pPr>
        <w:pBdr/>
        <w:spacing/>
        <w:ind/>
        <w:rPr/>
      </w:pPr>
      <w:r>
        <w:rPr>
          <w:sz w:val="21"/>
        </w:rPr>
        <w:t xml:space="preserve">在技术能力方面，我公司组建了专业的漏洞研究团队，团队成员具备丰富的渗透测试、代码审计与漏洞挖掘经验，能够对Web应用、移动应用、系统及网络设备进行深入的安全检测。公司自研了多款漏洞扫描与验证工具，结合国内外主流威胁情报，建立了涵盖漏洞发现、分析、验证与上报的完整技术流程。作为CNVD支撑单位，我公司持续向CNVD提交高质量漏洞信息，覆盖中高危漏洞和前沿0day漏洞研究成果，为国家漏洞库建设提供了坚实的数据支撑。</w:t>
      </w:r>
      <w:r/>
    </w:p>
    <w:p>
      <w:pPr>
        <w:pBdr/>
        <w:spacing/>
        <w:ind/>
        <w:rPr/>
      </w:pPr>
      <w:r>
        <w:rPr>
          <w:sz w:val="21"/>
        </w:rPr>
        <w:t xml:space="preserve">在贡献层面，我公司积极履行支撑单位职责，通过CNVD平台及时共享漏洞信息，协助主管部门开展网络安全预警与应急处置工作。同时，公司多次参与国家重大活动期间的安全保障任务，将漏洞研究成果有效应用于实战防护。未来，我公司将继续依托CNVD支撑单位资质，不断提升漏洞研究能力，深化与国家互联网应急中心的协同合作，扩大漏洞信息共享范围，为国家网络安全防护体系建设贡献更多专业力量。</w:t>
      </w:r>
      <w:r/>
    </w:p>
    <w:p>
      <w:pPr>
        <w:pBdr/>
        <w:spacing/>
        <w:ind/>
        <w:rPr/>
      </w:pPr>
      <w:r>
        <w:t xml:space="preserve">6.1.2CNVD漏洞发现与报送机制</w:t>
      </w:r>
      <w:r/>
    </w:p>
    <w:p>
      <w:pPr>
        <w:pBdr/>
        <w:spacing/>
        <w:ind/>
        <w:rPr/>
      </w:pPr>
      <w:r>
        <w:t xml:space="preserve">6.1.2CNVD漏洞发现与报送机制</w:t>
      </w:r>
      <w:r/>
    </w:p>
    <w:p>
      <w:pPr>
        <w:pBdr/>
        <w:spacing/>
        <w:ind/>
        <w:rPr/>
      </w:pPr>
      <w:r>
        <w:rPr>
          <w:sz w:val="21"/>
        </w:rPr>
        <w:t xml:space="preserve">我公司作为国家信息安全漏洞共享平台（CNVD）技术支撑单位，长期致力于漏洞发现与报送工作，建立了覆盖漏洞发现、验证、报送及后续跟踪的全流程机制。公司依托专业安全研究团队，构建了主动挖掘、外部收集与情报驱动相结合的立体化漏洞发现渠道，在漏洞生命周期的每个环节均制定了明确的操作规程与质量标准。</w:t>
      </w:r>
      <w:r/>
    </w:p>
    <w:p>
      <w:pPr>
        <w:pBdr/>
        <w:spacing/>
        <w:ind/>
        <w:rPr/>
      </w:pPr>
      <w:r>
        <w:rPr>
          <w:sz w:val="21"/>
        </w:rPr>
        <w:t xml:space="preserve">漏洞发现方面，公司通过安全研究团队持续进行漏洞挖掘，结合渗透测试、代码审计、威胁情报监测等手段，重点跟踪主流操作系统、网络设备、Web应用及移动应用的安全漏洞，第一时间感知潜在风险。同时，公司建立了内部漏洞挖掘项目管理平台，对研究目标、进展与成果进行统一管理，确保漏洞发现工作的系统性与持续性。研究团队还积极跟踪国际安全社区动态，融合外部漏洞线索，扩大漏洞感知覆盖面。</w:t>
      </w:r>
      <w:r/>
    </w:p>
    <w:p>
      <w:pPr>
        <w:pBdr/>
        <w:spacing/>
        <w:ind/>
        <w:rPr/>
      </w:pPr>
      <w:r>
        <w:rPr>
          <w:sz w:val="21"/>
        </w:rPr>
        <w:t xml:space="preserve">漏洞验证方面，对发现的疑似漏洞进行严格复现验证，分析漏洞成因、影响范围及危害程度，编写详细的漏洞描述和验证方法，确保漏洞信息的准确性和可复现性。验证过程包括环境搭建、漏洞触发、影响性分析及修复方案初步评估。对于复杂漏洞，公司会组织专项小组进行交叉验证，必要时通过本地化复现环境确认漏洞真实性。验证通过后，所有信息录入内部漏洞库，形成标准化漏洞记录。</w:t>
      </w:r>
      <w:r/>
    </w:p>
    <w:p>
      <w:pPr>
        <w:pBdr/>
        <w:spacing/>
        <w:ind/>
        <w:rPr/>
      </w:pPr>
      <w:r>
        <w:rPr>
          <w:sz w:val="21"/>
        </w:rPr>
        <w:t xml:space="preserve">漏洞报送方面，依据CNVD漏洞报送规范，通过CNVD官方平台及时提交漏洞信息，包括漏洞类型、受影响产品、危害等级、修复建议等要素，并保持与CNVD审核团队的沟通，对CNVD反馈的补充要求及时响应，确保漏洞信息完</w:t>
      </w:r>
      <w:r>
        <w:rPr>
          <w:sz w:val="21"/>
        </w:rPr>
        <w:t xml:space="preserve">整有效。公司实行双人复核报送机制，即研究员编制报送材料后，由独立审核人员对漏洞准确性、描述规范性及敏感信息处理进行复核，确认无误后提交平台。同时，公司建立了漏洞报送台账，实时跟踪报送状态与审核结果，对退回或需要补充的漏洞及时处理，形成闭环管理。近年来，公司向CNVD报送漏洞数量持续增长，其中多件高危漏洞被平台收录，为漏洞预警和防护提供了有力支撑。在某主流办公软件远程代码执行漏洞的处置过程中，公司研究团队第一时间完成漏洞复现与影响分析，并在CNVD发布预警前及时提交完整报告，为相关用户安全加固争取了宝贵时间。</w:t>
      </w:r>
      <w:r/>
    </w:p>
    <w:p>
      <w:pPr>
        <w:pBdr/>
        <w:spacing/>
        <w:ind/>
        <w:rPr/>
      </w:pPr>
      <w:r>
        <w:rPr>
          <w:sz w:val="21"/>
        </w:rPr>
        <w:t xml:space="preserve">在协作机制上，公司积极参与CNVD组织的技术交流与合作，共享漏洞情报与防护经验，配合CNVD开展重大漏洞的应急响应与预警通报工作。作为支撑单位，公司定期参与CNVD组织的线上沟通会，及时了解平台规则更新及近期重点关注方向。对于CNVD下发的专项支撑任务，公司能够快速组建应急小组，在限定时间内完成漏洞分析、验证及报告编写，为平台提供有力的技术支持。</w:t>
      </w:r>
      <w:r/>
    </w:p>
    <w:p>
      <w:pPr>
        <w:pBdr/>
        <w:spacing/>
        <w:ind/>
        <w:rPr/>
      </w:pPr>
      <w:r>
        <w:rPr>
          <w:sz w:val="21"/>
        </w:rPr>
        <w:t xml:space="preserve">在日常运营中，公司设立专人负责CNVD漏洞报送工作，建立内部审核与复核流程，确保漏洞报送的规范性和时效性，同时严格遵守CNVD保密管理规定，妥善处理漏洞信息，未发生信息披露违规事件。此外，公司还制定了质量评价与改进机制，定期对报送漏洞的数量、质量、时效性进行统计分析，针对不足项制定整改措施，持续优化报送流程。公司还定期开展员工CNVD报送规范培训，确保相关人员熟练掌握平台操作规程，持续提升支撑工作的专业水平。</w:t>
      </w:r>
      <w:r/>
    </w:p>
    <w:p>
      <w:pPr>
        <w:pBdr/>
        <w:spacing/>
        <w:ind/>
        <w:rPr/>
      </w:pPr>
      <w:r>
        <w:t xml:space="preserve">6.1.3CNVD支撑业绩与案例</w:t>
      </w:r>
      <w:r/>
    </w:p>
    <w:p>
      <w:pPr>
        <w:pBdr/>
        <w:spacing/>
        <w:ind/>
        <w:rPr/>
      </w:pPr>
      <w:r>
        <w:t xml:space="preserve">6.1.3CNVD支撑业绩与案例</w:t>
      </w:r>
      <w:r/>
    </w:p>
    <w:p>
      <w:pPr>
        <w:pBdr/>
        <w:spacing/>
        <w:ind/>
        <w:rPr/>
      </w:pPr>
      <w:r>
        <w:rPr>
          <w:sz w:val="21"/>
        </w:rPr>
        <w:t xml:space="preserve">在作为CNVD支撑单位期间，我公司始终认真履行支撑单位职责，深度参与国家信息安全漏洞共享平台的日常支撑工作，持续开展漏洞发现、漏洞提交、安全预警及应急响应等专项任务。我公司已累计提交多种类型的安全漏洞信息，覆盖常见应用系统、网络设备及移动应用等方向，漏洞报告质量与时效性均达到CNVD平台的要求。同时，我公司积极配合平台开展漏洞验证、风险研判与预警通报工作，为平台的安全应急响应提供有力支持。</w:t>
      </w:r>
      <w:r/>
    </w:p>
    <w:p>
      <w:pPr>
        <w:pBdr/>
        <w:spacing/>
        <w:ind/>
        <w:rPr/>
      </w:pPr>
      <w:r>
        <w:rPr>
          <w:sz w:val="21"/>
        </w:rPr>
        <w:t xml:space="preserve">在故</w:t>
      </w:r>
      <w:r>
        <w:rPr>
          <w:sz w:val="21"/>
        </w:rPr>
        <w:t xml:space="preserve">障响应方面，我公司建立了7×24小时应急联络机制，针对平台通报的重大安全漏洞和突发网络安全事件，能够在第一时间启动应急响应流程，组织技术专家进行漏洞分析、影响范围评估和修复方案制定，并及时向平台提交处置结果。在漏洞提交方面，我公司形成了规范的漏洞发现、验证、复现、报告编制和提交流程，确保所提交漏洞信息的完整性、准确性和可利用性描述清晰明确，多次获得平台认可。在应急服务方面，我公司曾参与多起面向政企客户的网络安全应急支撑工作，高效完成恶意代码分析、攻击溯源、系统加固和恢复重建等任务，协助客户快速恢复业务运行。</w:t>
      </w:r>
      <w:r/>
    </w:p>
    <w:p>
      <w:pPr>
        <w:pBdr/>
        <w:spacing/>
        <w:ind/>
        <w:rPr/>
      </w:pPr>
      <w:r>
        <w:rPr>
          <w:sz w:val="21"/>
        </w:rPr>
        <w:t xml:space="preserve">本部分相关CNVD支撑单位证书扫描件、支撑业绩合同证明文件，以及完整的典型案例明细表（包括案例名称、服务类型、服务时间、服务内容、客户反馈等要素）均已整理后附于本标书附件材料中。上述案例充分体现了我公司在漏洞研究、应急响应和安全服务方面的综合实力，也为我公司持续高质量开展CNVD支撑工作奠定了坚实基础。</w:t>
      </w:r>
      <w:r/>
    </w:p>
    <w:p>
      <w:pPr>
        <w:pBdr/>
        <w:spacing/>
        <w:ind/>
        <w:rPr/>
      </w:pPr>
      <w:r>
        <w:t xml:space="preserve">6.2CNNVD核心技术支撑能力</w:t>
      </w:r>
      <w:r/>
    </w:p>
    <w:p>
      <w:pPr>
        <w:pBdr/>
        <w:spacing/>
        <w:ind/>
        <w:rPr/>
      </w:pPr>
      <w:r>
        <w:t xml:space="preserve">6.2CNNVD核心技术支撑能力</w:t>
      </w:r>
      <w:r/>
    </w:p>
    <w:p>
      <w:pPr>
        <w:pBdr/>
        <w:spacing/>
        <w:ind/>
        <w:rPr/>
      </w:pPr>
      <w:r>
        <w:rPr>
          <w:sz w:val="21"/>
        </w:rPr>
        <w:t xml:space="preserve">北京国舜科技股份有限公司作为CNNVD技术支撑单位，长期致力于漏洞挖掘、分析、验证与情报共享工作，形成了覆盖漏洞全生命周期的核心技术能力体系。公司从战略层面将CNNVD技术支撑定位为履行国家网络安全责任、提升自身安全研究水平的重要抓手，持续投入优势资源，构建了以漏洞研究为核心、以攻防实战为牵引、以数据赋能为导向的立体化支撑格局。</w:t>
      </w:r>
      <w:r/>
    </w:p>
    <w:p>
      <w:pPr>
        <w:pBdr/>
        <w:spacing/>
        <w:ind/>
        <w:rPr/>
      </w:pPr>
      <w:r>
        <w:rPr>
          <w:sz w:val="21"/>
        </w:rPr>
        <w:t xml:space="preserve">在技术能力组合方面，公司深度融合静态分析、动态调试、模糊测试、二进制逆向、代码审计等多元技术手段，覆盖从漏洞发现、验证、利用到修复验证的完整链条。团队具备深厚的操作系统内核、常用协议、Web应用及移动端安全研究能力，能够针对高危漏洞开展深入的技术分析和影响评估，输出高质量的漏洞描述、危害等级判定和修复建议。同时，公司建立了漏洞情报汇聚与分析平台，结合威胁情报和资产管理数据，对漏洞态势进行持续跟踪和研判，为CNNVD提供及时、精准的态势感知支撑。</w:t>
      </w:r>
      <w:r/>
    </w:p>
    <w:p>
      <w:pPr>
        <w:pBdr/>
        <w:spacing/>
        <w:ind/>
        <w:rPr/>
      </w:pPr>
      <w:r>
        <w:rPr>
          <w:sz w:val="21"/>
        </w:rPr>
        <w:t xml:space="preserve">在团队分工与协作机制上，公司组建了专职漏洞研究小组、应急分析小组和情报报送小组，分别负责漏洞挖掘与验证、应急响应技术支撑、情报整理与上报，并通过内部知识库和协同平台实现信息高效流转。团队内部实行严格的审核流程，确保报送漏洞信息的准确性、规范性和可用性。此外，公司积极与CNNVD保持常态化技术交流，参与漏洞分析、技术研讨和专项任务，形成高效顺畅的支撑协作机制。</w:t>
      </w:r>
      <w:r/>
    </w:p>
    <w:p>
      <w:pPr>
        <w:pBdr/>
        <w:spacing/>
        <w:ind/>
        <w:rPr/>
      </w:pPr>
      <w:r>
        <w:rPr>
          <w:sz w:val="21"/>
        </w:rPr>
        <w:t xml:space="preserve">在项目整体服务方案中，公司将充分发挥自身在安全攻防领域的技术积累，围绕CNNVD核心业务需求，建立标准化、流程化的漏洞研究机制，确保漏洞数据的准确性、及时性和可用性，为CNNVD平台建设及国家网络安全防护提供坚实技术保障。</w:t>
      </w:r>
      <w:r/>
    </w:p>
    <w:p>
      <w:pPr>
        <w:pBdr/>
        <w:spacing/>
        <w:ind/>
        <w:rPr/>
      </w:pPr>
      <w:r>
        <w:t xml:space="preserve">6.2.1CNNVD核心技术支撑单位资质证明</w:t>
      </w:r>
      <w:r/>
    </w:p>
    <w:p>
      <w:pPr>
        <w:pBdr/>
        <w:spacing/>
        <w:ind/>
        <w:rPr/>
      </w:pPr>
      <w:r>
        <w:t xml:space="preserve">6.2.1CNNVD核心技术支撑单位资质证明</w:t>
      </w:r>
      <w:r/>
    </w:p>
    <w:p>
      <w:pPr>
        <w:pBdr/>
        <w:spacing/>
        <w:ind/>
        <w:rPr/>
      </w:pPr>
      <w:r>
        <w:rPr>
          <w:sz w:val="21"/>
        </w:rPr>
        <w:t xml:space="preserve">我公司系CNNVD核心技术支撑单位，持有国家信息安全漏洞库（CNNVD）颁发的核心技术支撑单位资质证书，证书扫描件见本章附图。作为CNNVD核心技术支持体系中的正式成员，我公司在漏洞生态建设中承担着关键技术支撑职责，长期为CNNVD漏洞库提供高质量的漏洞信息与治理建议。</w:t>
      </w:r>
      <w:r/>
    </w:p>
    <w:p>
      <w:pPr>
        <w:pBdr/>
        <w:spacing/>
        <w:ind/>
        <w:rPr/>
      </w:pPr>
      <w:r>
        <w:rPr>
          <w:sz w:val="21"/>
        </w:rPr>
        <w:t xml:space="preserve">在核心技术支撑领域，我公司重点围绕漏洞挖掘、漏洞分析、漏洞验证、风险研判与预警响应五个维度开展工作。漏</w:t>
      </w:r>
      <w:r>
        <w:rPr>
          <w:sz w:val="21"/>
        </w:rPr>
        <w:t xml:space="preserve">洞挖掘方面，依托自研的自动化审计工具与人工渗透测试相结合的方法，持续发现Web应用、移动应用、基础网络设备及云平台环境中的高危漏洞；漏洞分析方面，组建了专门的漏洞分析团队，对原始漏洞信息进行深度逆向分析与影响评估，形成结构化漏洞描述、受影响范围及修复建议；漏洞验证方面，构建了漏洞复现与验证环境，对疑似漏洞进行可复现性验证，确保上报漏洞信息的准确性和可利用性评估的可信度；风险研判与预警方面，结合行业资产暴露面与威胁情报，输出漏洞风险评级和应急处置建议，并通过CNNVD平台向关键信息基础设施运营者提供预警提示。</w:t>
      </w:r>
      <w:r/>
    </w:p>
    <w:p>
      <w:pPr>
        <w:pBdr/>
        <w:spacing/>
        <w:ind/>
        <w:rPr/>
      </w:pPr>
      <w:r>
        <w:rPr>
          <w:sz w:val="21"/>
        </w:rPr>
        <w:t xml:space="preserve">在CNNVD体系中，我公司扮演着漏洞信息提供者、技术支撑者和标准建议者的多重角色。一方面，常态化向CNNVD提交漏洞信息与补丁建议，支撑国家漏洞库的数据完备性与时效性；另一方面，参与CNNVD组织的技术研讨、应急响应协同和漏洞趋势分析工作，定向输出技术分析报告与安全态势判断；同时，积极响应CNNVD下发的漏洞核查任务，配合完成重大漏洞的专项研判。我公司将持续深化与CNNVD的合作机制，投入优势技术资源，为国家漏洞治理体系和网络安全防护能力建设贡献力量。</w:t>
      </w:r>
      <w:r/>
    </w:p>
    <w:p>
      <w:pPr>
        <w:pBdr/>
        <w:spacing/>
        <w:ind/>
        <w:rPr/>
      </w:pPr>
      <w:r>
        <w:t xml:space="preserve">6.2.2CNNVD漏洞研究技术贡献</w:t>
      </w:r>
      <w:r/>
    </w:p>
    <w:p>
      <w:pPr>
        <w:pBdr/>
        <w:spacing/>
        <w:ind/>
        <w:rPr/>
      </w:pPr>
      <w:r>
        <w:t xml:space="preserve">6.2.2CNNVD漏洞研究技术贡献</w:t>
      </w:r>
      <w:r/>
    </w:p>
    <w:p>
      <w:pPr>
        <w:pBdr/>
        <w:spacing/>
        <w:ind/>
        <w:rPr/>
      </w:pPr>
      <w:r>
        <w:rPr>
          <w:b/>
          <w:sz w:val="21"/>
        </w:rPr>
        <w:t xml:space="preserve">漏洞挖掘与提交。</w:t>
      </w:r>
      <w:r>
        <w:rPr>
          <w:sz w:val="21"/>
        </w:rPr>
        <w:t xml:space="preserve"> 北京国舜科技股份有限公司作为网络安全服务专业厂商，长期关注并深度参与CNNVD漏洞研究工作。公司组建了专职漏洞研究团队，聚焦Web应用、移动应用、云平台、物联网及常见开源组件等方向，综合运用静态分析、动态测试、模糊测试等技术手段，持续开展漏洞挖掘与验证，并及时向CNNVD提交漏洞信息、验证用例和修复建议，支撑CNNVD漏洞库的持续扩充。漏洞研究团队在Web应用层持续跟踪主流</w:t>
      </w:r>
      <w:r>
        <w:rPr>
          <w:sz w:val="21"/>
        </w:rPr>
        <w:t xml:space="preserve">开发框架及中间件，在移动端关注Android/iOS应用安全，在云安全领域聚焦容器逃逸与云配置风险，同时覆盖常见开源组件版本迭代中的代码缺陷。团队定期开展内部攻防演练与样本复盘，沉淀漏洞挖掘经验，形成标准化漏洞验证流程。所提交漏洞信息均按要求附有详尽的复现步骤、影响范围说明及修复建议，确保漏洞高价值性与高可用性，已累计向CNNVD提交大量有效漏洞，漏洞类型涵盖SQL注入、跨站脚本、权限绕过、反序列化、文件上传等常见Web风险，以及组件漏洞、逻辑漏洞和配置缺陷等多样化安全问题，有效丰富了CNNVD漏洞信息库。</w:t>
      </w:r>
      <w:r/>
    </w:p>
    <w:p>
      <w:pPr>
        <w:pBdr/>
        <w:spacing/>
        <w:ind/>
        <w:rPr/>
      </w:pPr>
      <w:r>
        <w:rPr>
          <w:b/>
          <w:sz w:val="21"/>
        </w:rPr>
        <w:t xml:space="preserve">漏洞分析报告与数据贡献。</w:t>
      </w:r>
      <w:r>
        <w:rPr>
          <w:sz w:val="21"/>
        </w:rPr>
        <w:t xml:space="preserve"> 针对高危漏洞，公司编制包含漏洞成因、危害等级、影响范围、利用条件及修复措施在内的分析报告，配合CNNVD完成漏洞描述审核、危害评级和风险研判，为漏洞预警和安全加固提供参考依</w:t>
      </w:r>
      <w:r>
        <w:rPr>
          <w:sz w:val="21"/>
        </w:rPr>
        <w:t xml:space="preserve">据。公司还注重漏洞利用与防护技术研究，提升漏洞分析报告的准确性和实用价值。在报告编制过程中，技术团队综合运用补丁对比、二进制分析、协议分析等手段，深入剖析漏洞本质，从攻击者视角验证利用路径，并给出可落地的安全修复建议。针对CNNVD关注的重点漏洞（如0day、在野利用漏洞等），公司及时提交深度分析报告，支持CNNVD快速完成风险定级和预警发布。多项分析结论被CNNVD采纳，为相关漏洞的响应与处置提供了重要技术支撑。公司同时定期向CNNVD共享漏洞数据统计和趋势分析成果，为漏洞库的数据治理和资源优化提供参考。</w:t>
      </w:r>
      <w:r/>
    </w:p>
    <w:p>
      <w:pPr>
        <w:pBdr/>
        <w:spacing/>
        <w:ind/>
        <w:rPr/>
      </w:pPr>
      <w:r>
        <w:rPr>
          <w:b/>
          <w:sz w:val="21"/>
        </w:rPr>
        <w:t xml:space="preserve">技术支撑与活动参与。</w:t>
      </w:r>
      <w:r>
        <w:rPr>
          <w:sz w:val="21"/>
        </w:rPr>
        <w:t xml:space="preserve"> 公司积极参与CNNVD组织的漏洞验证、技术研讨、应急演练等活动，协助复核漏洞信息的准确性与完整性，并在漏洞研判、等级评定及技术响应等环节提供专业支持，为CNNVD漏洞治理体系的有效运行贡献力</w:t>
      </w:r>
      <w:r>
        <w:rPr>
          <w:sz w:val="21"/>
        </w:rPr>
        <w:t xml:space="preserve">量。在具体联动中，公司抽调资深漏洞研究人员作为技术支撑力量，快速响应CNNVD发起的突发漏洞验证和专项研判任务，在限定时间内提交验证结论和处置建议。同时，公司多次参与CNNVD组织的技术交流活动，结合实战经验分享漏洞挖掘、分析及应急响应方面的最佳实践，与行业专家共同探讨漏洞治理的难点与演进方向。此外，公司还将自研漏洞扫描工具与CNNVD漏洞知识库对接，提升工具对漏洞特征的识别能力，并通过工具报送补充验证数据，持续形成“挖掘—上报—分析—验证—反馈”的闭环机制，助力CNNVD整体防护能力和应对能力的持续提升。</w:t>
      </w:r>
      <w:r/>
    </w:p>
    <w:p>
      <w:pPr>
        <w:pBdr/>
        <w:spacing/>
        <w:ind/>
        <w:rPr/>
      </w:pPr>
      <w:r>
        <w:t xml:space="preserve">6.2.3CNNVD合作专家与团队能力</w:t>
      </w:r>
      <w:r/>
    </w:p>
    <w:p>
      <w:pPr>
        <w:pBdr/>
        <w:spacing/>
        <w:ind/>
        <w:rPr/>
      </w:pPr>
      <w:r>
        <w:t xml:space="preserve">6.2.3CNNVD合作专家与团队能力</w:t>
      </w:r>
      <w:r/>
    </w:p>
    <w:p>
      <w:pPr>
        <w:pBdr/>
        <w:spacing/>
        <w:ind/>
        <w:rPr/>
      </w:pPr>
      <w:r>
        <w:rPr>
          <w:sz w:val="21"/>
        </w:rPr>
        <w:t xml:space="preserve">我公司已通过CNNVD核心技术支撑单位认证，具备国家漏洞库支撑单位资质。在此基础上，公司组建了一支由资深安全专家领衔的专业化漏洞研究团队，团队成员均具备深厚的漏洞挖掘、分析与验证能力，并持有CISP、CVE编号等权威安全资质。团队现有核心专家10余名，其中多人拥有超过8年的漏洞研究经验，在国内外主流安全会议和漏洞平台中均有卓越表现。</w:t>
      </w:r>
      <w:r/>
    </w:p>
    <w:p>
      <w:pPr>
        <w:pBdr/>
        <w:spacing/>
        <w:ind/>
        <w:rPr/>
      </w:pPr>
      <w:r>
        <w:rPr>
          <w:sz w:val="21"/>
        </w:rPr>
        <w:t xml:space="preserve">为高效支撑CNNVD相关工作，团队内部建立了明确的角色分工与协作机制：由资深专家负责漏洞技术研判与质量把控，中级研究员负责漏洞验证与复现，初级成员负责漏洞信息收集与录入，形成了阶梯式人才梯队。团队长期跟踪国内外最新安全漏洞动态，在Web应用、系统内核、网络设备、移动终端等多个领域均有深入研究成果，累计提交漏洞数千个，其中多个高危漏洞获得CNNVD、CNVD等国家漏洞库收录与公告。</w:t>
      </w:r>
      <w:r/>
    </w:p>
    <w:p>
      <w:pPr>
        <w:pBdr/>
        <w:spacing/>
        <w:ind/>
        <w:rPr/>
      </w:pPr>
      <w:r>
        <w:rPr>
          <w:sz w:val="21"/>
        </w:rPr>
        <w:t xml:space="preserve">我公司与多名外部知名安全专家建立了稳定的合作关系，拟邀请其作为特聘专家参与CNNVD支撑工作。这些专家来自知名安全研究机构与高校，持有CISP、CISSP、CVE编号等资质，在漏洞挖掘、利用防护及应急响应方面具有丰富经验。具体合作专家名单及资质证明材料详见投标文件附件，其中包含专家个人简历、资质证书复印件及漏洞研究贡献列表。后续我公司将根据CNNVD任务需求，动态调整专家团队配置，确保各类漏洞收录、评估与响应任务能够快速、精准完成。</w:t>
      </w:r>
      <w:r/>
    </w:p>
    <w:p>
      <w:pPr>
        <w:pBdr/>
        <w:spacing/>
        <w:ind/>
        <w:rPr/>
      </w:pPr>
      <w:r>
        <w:t xml:space="preserve">6.3漏洞库综合支撑与安全研究能力</w:t>
      </w:r>
      <w:r/>
    </w:p>
    <w:p>
      <w:pPr>
        <w:pBdr/>
        <w:spacing/>
        <w:ind/>
        <w:rPr/>
      </w:pPr>
      <w:r>
        <w:t xml:space="preserve">6.3漏洞库综合支撑与安全研究能力</w:t>
      </w:r>
      <w:r/>
    </w:p>
    <w:p>
      <w:pPr>
        <w:pBdr/>
        <w:spacing/>
        <w:ind/>
        <w:rPr/>
      </w:pPr>
      <w:r>
        <w:rPr>
          <w:sz w:val="21"/>
        </w:rPr>
        <w:t xml:space="preserve">北京国舜科技股份有限公司深耕网络安全领域多年，具备完善的漏洞库综合支撑与安全研究能力。公司构建了从漏洞发现、分析验证、预警通报到应急响应的全流程闭环机制，长期支撑国家信息安全漏洞共享平台（CNVD）和国家信息安全漏洞库（CNNVD）的漏洞上报与审核工作，在漏洞研究、威胁分析、安全事件响应等方面积累了丰富经验。</w:t>
      </w:r>
      <w:r/>
    </w:p>
    <w:p>
      <w:pPr>
        <w:pBdr/>
        <w:spacing/>
        <w:ind/>
        <w:rPr/>
      </w:pPr>
      <w:r>
        <w:rPr>
          <w:sz w:val="21"/>
        </w:rPr>
        <w:t xml:space="preserve">公司安全研究团队由具备深厚攻防实战经验的专业人员组成，采用主动挖掘、样本分析、代码审计等多种方法，持续跟踪国内外安全动态，及时输出高质量漏洞分析与防护建议。通过典型漏洞案例的分析研究，不断沉淀漏洞研判方法论，提升对未知威胁的发现与防御能力，能够为客户提供专业、及时的安全预警和应急支撑服务。</w:t>
      </w:r>
      <w:r/>
    </w:p>
    <w:p>
      <w:pPr>
        <w:pBdr/>
        <w:spacing/>
        <w:ind/>
        <w:rPr/>
      </w:pPr>
      <w:r>
        <w:rPr>
          <w:sz w:val="21"/>
        </w:rPr>
        <w:t xml:space="preserve">公司依托自研漏洞管理平台，实现漏洞数据采集、去重、验证、分级、发布的全生命周期管理。漏洞库中收录了包括系统组件、Web应用、移动应用、物联网设备等多类漏洞信息，并通过与CNVD、CNNVD等国家级平台的数据对接，形成覆盖漏洞情报共享、可用性验证、影响评估的规范化流程。同时，公司建立了7×24小时漏洞监测与告警机制，确保重大漏洞信息第一时间获取、研判并同步至重要行业客户。</w:t>
      </w:r>
      <w:r/>
    </w:p>
    <w:p>
      <w:pPr>
        <w:pBdr/>
        <w:spacing/>
        <w:ind/>
        <w:rPr/>
      </w:pPr>
      <w:r>
        <w:rPr>
          <w:sz w:val="21"/>
        </w:rPr>
        <w:t xml:space="preserve">在安全研究方面，团队聚焦攻防对抗、恶意代码分析、威胁狩猎等方向，形成了以漏洞挖掘为基础、以实际利用场景验证为核心的研究方法论。研究人员综合运用静态分析、动态调试、模糊测试、被动流量分析等手段，深挖已知与未知漏洞成因，并针对典型漏洞建立分析案例库，持续完善漏洞指纹特征与检测规则。通过定期复盘重大安全事件，团队不断提升对新型攻击手法的响应速度和防御能力。</w:t>
      </w:r>
      <w:r/>
    </w:p>
    <w:p>
      <w:pPr>
        <w:pBdr/>
        <w:spacing/>
        <w:ind/>
        <w:rPr/>
      </w:pPr>
      <w:r>
        <w:rPr>
          <w:sz w:val="21"/>
        </w:rPr>
        <w:t xml:space="preserve">在应急响应支撑上，公司具备完善的漏洞应急预案和跨区域协同机制，能够针对突发高危漏洞快速启动响应流程，提供包括影响范围排查、攻击溯源、临时缓解措施和修复补丁测试在内的全过程应急服务。同时，公司定期向监管机构和行业客户输出漏洞预警通告与安全防护建议，协助客户提前进行风险收敛。公司漏洞研究能力在国家级专项检查和重大活动保障中得到了充分检验，能够为客户构建持续、稳定的安全防护屏障。</w:t>
      </w:r>
      <w:r/>
    </w:p>
    <w:p>
      <w:pPr>
        <w:pBdr/>
        <w:spacing/>
        <w:ind/>
        <w:rPr/>
      </w:pPr>
      <w:r>
        <w:t xml:space="preserve">6.3.1漏洞库协作与信息共享机制</w:t>
      </w:r>
      <w:r/>
    </w:p>
    <w:p>
      <w:pPr>
        <w:pBdr/>
        <w:spacing/>
        <w:ind/>
        <w:rPr/>
      </w:pPr>
      <w:r>
        <w:t xml:space="preserve">6.3.1漏洞库协作与信息共享机制</w:t>
      </w:r>
      <w:r/>
    </w:p>
    <w:p>
      <w:pPr>
        <w:pBdr/>
        <w:spacing/>
        <w:ind/>
        <w:rPr/>
      </w:pPr>
      <w:r>
        <w:rPr>
          <w:sz w:val="21"/>
        </w:rPr>
        <w:t xml:space="preserve">我公司建立完善的漏洞库协作与信息共享机制，依托CNVD、CNNVD等国家级漏洞库，构建覆盖漏洞发现、验证、上报、预警、共享、联动的全流程闭环管理体系，为项目提供及时、精准、全面的漏洞情报支撑。</w:t>
      </w:r>
      <w:r/>
    </w:p>
    <w:p>
      <w:pPr>
        <w:pBdr/>
        <w:spacing/>
        <w:ind/>
        <w:rPr/>
      </w:pPr>
      <w:r>
        <w:rPr>
          <w:b/>
          <w:sz w:val="21"/>
        </w:rPr>
        <w:t xml:space="preserve">协作体系：</w:t>
      </w:r>
      <w:r>
        <w:rPr>
          <w:sz w:val="21"/>
        </w:rPr>
        <w:t xml:space="preserve">作为CNVD支撑单位及CNNVD技术支撑单位，我公司与国家级漏洞库保持长期紧密协作，明确双方接口人与协作流程。公司内部设立漏洞情报中心，项目服务团队通过该中心与CNVD、CNNVD进行双向信息交互，实现漏洞情报的实时同步与共享。同时，公司定期参与漏洞库组织的技术交流与研讨，掌握最新漏洞动态与防护策略。</w:t>
      </w:r>
      <w:r/>
    </w:p>
    <w:p>
      <w:pPr>
        <w:pBdr/>
        <w:spacing/>
        <w:ind/>
        <w:rPr/>
      </w:pPr>
      <w:r>
        <w:rPr>
          <w:b/>
          <w:sz w:val="21"/>
        </w:rPr>
        <w:t xml:space="preserve">漏洞上报：</w:t>
      </w:r>
      <w:r>
        <w:rPr>
          <w:sz w:val="21"/>
        </w:rPr>
        <w:t xml:space="preserve">项目服务团队通过安全测试、威胁监测、红蓝对抗等途径主动发现潜在漏洞，遵循统一规范进行分级、验证与复现，确认漏洞真实性及影响范围后，通过加密渠道向CNVD、CNNVD提交详细报告，确保漏洞被官方收录。上报后持续跟踪漏洞确认、评级与修复进展，及时向客户同步相关信息，直至漏洞完全闭环。</w:t>
      </w:r>
      <w:r/>
    </w:p>
    <w:p>
      <w:pPr>
        <w:pBdr/>
        <w:spacing/>
        <w:ind/>
        <w:rPr/>
      </w:pPr>
      <w:r>
        <w:rPr>
          <w:b/>
          <w:sz w:val="21"/>
        </w:rPr>
        <w:t xml:space="preserve">预警同步：</w:t>
      </w:r>
      <w:r>
        <w:rPr>
          <w:sz w:val="21"/>
        </w:rPr>
        <w:t xml:space="preserve">设专人全天候监控CNVD、CNNVD及业内权威漏洞预警公告，一旦发布新漏洞，立即结合客户资产、业务特点与服务范围进行影响分析，评估风险等级，并生成针对性预警简报。预警信息纳入服务计划，经项目经理审批后通过邮件、即时通讯等方式快速通报客户，同时提供临时缓解措施及补丁修复指导，协助客户第一时间完成风险处置。</w:t>
      </w:r>
      <w:r/>
    </w:p>
    <w:p>
      <w:pPr>
        <w:pBdr/>
        <w:spacing/>
        <w:ind/>
        <w:rPr/>
      </w:pPr>
      <w:r>
        <w:rPr>
          <w:b/>
          <w:sz w:val="21"/>
        </w:rPr>
        <w:t xml:space="preserve">情报共享：</w:t>
      </w:r>
      <w:r>
        <w:rPr>
          <w:sz w:val="21"/>
        </w:rPr>
        <w:t xml:space="preserve">将漏洞库披露的漏洞信息与多源威胁情报（如威胁样本、攻击指标、暗网监控、社工情报等）进行关联分析，通过画像与关联模型提炼高价值威胁情报，提升对漏洞利用趋势、攻击手法的预测能力。同时，将服务过程中发现的漏洞利用态势、攻击线索及防御经验反向反馈至CNVD、CNNVD，促进漏洞库情报质量持续提升，形成“共享、互促、共赢”的情报生态。</w:t>
      </w:r>
      <w:r/>
    </w:p>
    <w:p>
      <w:pPr>
        <w:pBdr/>
        <w:spacing/>
        <w:ind/>
        <w:rPr/>
      </w:pPr>
      <w:r>
        <w:rPr>
          <w:b/>
          <w:sz w:val="21"/>
        </w:rPr>
        <w:t xml:space="preserve">应急联动：</w:t>
      </w:r>
      <w:r>
        <w:rPr>
          <w:sz w:val="21"/>
        </w:rPr>
        <w:t xml:space="preserve">安全事件发生时，项目团队第一时间启动应急响应流程，及时联动CNVD、CNNVD应急响应体系，获取漏洞技术细节、攻击路径与修复方案，为应急处置提供权威依据。对新型漏洞利用，立即上报漏洞库，协同开展影响评估、风险遏制与系统恢复，最大限度缩短响应时间，有效控制安全影响。同时，与漏洞库协同开展事件复盘，总结经验并优化防护策略。</w:t>
      </w:r>
      <w:r/>
    </w:p>
    <w:p>
      <w:pPr>
        <w:pBdr/>
        <w:spacing/>
        <w:ind/>
        <w:rPr/>
      </w:pPr>
      <w:r>
        <w:rPr>
          <w:b/>
          <w:sz w:val="21"/>
        </w:rPr>
        <w:t xml:space="preserve">项目价值：</w:t>
      </w:r>
      <w:r>
        <w:rPr>
          <w:sz w:val="21"/>
        </w:rPr>
        <w:t xml:space="preserve">该机制确保服务团队先于威胁一步掌握漏洞风险，提前布局防护策略，及时处置安全隐患，显著降低安全事件发生概率。同时，通过漏洞情报共享与应急联动，持续提升客户安全运营的主动性、精准性与整体防护水平，为客户的业务连续性和数据安全提供坚实保障。</w:t>
      </w:r>
      <w:r/>
    </w:p>
    <w:p>
      <w:pPr>
        <w:pBdr/>
        <w:spacing/>
        <w:ind/>
        <w:rPr/>
      </w:pPr>
      <w:r>
        <w:t xml:space="preserve">6.3.2安全漏洞应急响应与预警能力</w:t>
      </w:r>
      <w:r/>
    </w:p>
    <w:p>
      <w:pPr>
        <w:pBdr/>
        <w:spacing/>
        <w:ind/>
        <w:rPr/>
      </w:pPr>
      <w:r>
        <w:t xml:space="preserve">6.3.2安全漏洞应急响应与预警能力</w:t>
      </w:r>
      <w:r/>
    </w:p>
    <w:p>
      <w:pPr>
        <w:pBdr/>
        <w:spacing/>
        <w:ind/>
        <w:rPr/>
      </w:pPr>
      <w:r>
        <w:rPr>
          <w:sz w:val="21"/>
        </w:rPr>
        <w:t xml:space="preserve">安全漏洞应急响应与预警能力是网络安全保障体系的重要组成部分。北京国舜科技股份有限公司（以下简称“我公司”）建立了覆盖漏洞信息收集、评估、处置、复测和预警发布的全流程应急响应机制，确保安全漏洞得到及时、有效的控制，降低安全风险。</w:t>
      </w:r>
      <w:r/>
    </w:p>
    <w:p>
      <w:pPr>
        <w:pBdr/>
        <w:spacing/>
        <w:ind/>
        <w:rPr/>
      </w:pPr>
      <w:r>
        <w:rPr>
          <w:b/>
          <w:sz w:val="21"/>
        </w:rPr>
        <w:t xml:space="preserve">漏洞信息收集：</w:t>
      </w:r>
      <w:r>
        <w:rPr>
          <w:sz w:val="21"/>
        </w:rPr>
        <w:t xml:space="preserve">我公司通过多渠道收集漏洞信息，包括国家信息安全漏洞库（CNNVD）、中国国家信息安全漏洞共享平台（CNVD）、安全厂商公告、开源社区、自主安全研究和客户上报等，确保漏洞信息的全面性和时效性。同时，我公司利用自有的安全监测平台和威胁情报系统，实时关联漏洞信息与客户资产，为后续评估和处置奠定基础。</w:t>
      </w:r>
      <w:r/>
    </w:p>
    <w:p>
      <w:pPr>
        <w:pBdr/>
        <w:spacing/>
        <w:ind/>
        <w:rPr/>
      </w:pPr>
      <w:r>
        <w:rPr>
          <w:b/>
          <w:sz w:val="21"/>
        </w:rPr>
        <w:t xml:space="preserve">漏洞评估与分级：</w:t>
      </w:r>
      <w:r>
        <w:rPr>
          <w:sz w:val="21"/>
        </w:rPr>
        <w:t xml:space="preserve">对收集到的漏洞信息，我公司结合资产重要性、漏洞危害程度、攻击路径和可利用性等因素进行综合评估，参照CVSS评分标准将漏洞分为紧急、重要、一般三个等级。针对不同等级的漏洞，制定差异化的响应时限和处置策略，确保高优先级漏洞得到优先处理。</w:t>
      </w:r>
      <w:r/>
    </w:p>
    <w:p>
      <w:pPr>
        <w:pBdr/>
        <w:spacing/>
        <w:ind/>
        <w:rPr/>
      </w:pPr>
      <w:r>
        <w:rPr>
          <w:b/>
          <w:sz w:val="21"/>
        </w:rPr>
        <w:t xml:space="preserve">漏洞处置与复测：</w:t>
      </w:r>
      <w:r>
        <w:rPr>
          <w:sz w:val="21"/>
        </w:rPr>
        <w:t xml:space="preserve">我公司根据漏洞类型和影响范围，制定针对性的修复方案，包括补丁安装、配置调整、网络隔离或临时规避措施。在实施修复后，通过漏洞扫描、渗透测试等手段进行复测验证，确保漏洞被彻底修复且未引入新的风险，并记录处置过程形成闭环。</w:t>
      </w:r>
      <w:r/>
    </w:p>
    <w:p>
      <w:pPr>
        <w:pBdr/>
        <w:spacing/>
        <w:ind/>
        <w:rPr/>
      </w:pPr>
      <w:r>
        <w:rPr>
          <w:b/>
          <w:sz w:val="21"/>
        </w:rPr>
        <w:t xml:space="preserve">预警发布：</w:t>
      </w:r>
      <w:r>
        <w:rPr>
          <w:sz w:val="21"/>
        </w:rPr>
        <w:t xml:space="preserve">对于影响范围广或危害程度高的漏洞，我公司及时向客户和相关方发布安全预警，内容包括漏洞描述、影响范围、危害分析、修复建议和临时防护措施，帮助客户在修复前采取必要的缓解措施，降低被利用的风险。</w:t>
      </w:r>
      <w:r/>
    </w:p>
    <w:p>
      <w:pPr>
        <w:pBdr/>
        <w:spacing/>
        <w:ind/>
        <w:rPr/>
      </w:pPr>
      <w:r>
        <w:rPr>
          <w:b/>
          <w:sz w:val="21"/>
        </w:rPr>
        <w:t xml:space="preserve">与国家漏洞库的合作：</w:t>
      </w:r>
      <w:r>
        <w:rPr>
          <w:sz w:val="21"/>
        </w:rPr>
        <w:t xml:space="preserve">我公司依托CNNVD和CNVD等国家级漏洞信息平台，及时获取权威漏洞情报，同时将自主发现的漏洞信息按规范向相关平台报送，为国家漏洞库建设贡献力量，形成双向互动的预警协同机制。</w:t>
      </w:r>
      <w:r/>
    </w:p>
    <w:p>
      <w:pPr>
        <w:pBdr/>
        <w:spacing/>
        <w:ind/>
        <w:rPr/>
      </w:pPr>
      <w:r>
        <w:rPr>
          <w:b/>
          <w:sz w:val="21"/>
        </w:rPr>
        <w:t xml:space="preserve">应急响应案例：</w:t>
      </w:r>
      <w:r>
        <w:rPr>
          <w:sz w:val="21"/>
        </w:rPr>
        <w:t xml:space="preserve">在一次实际应急响应中，针对某应用系统曝出的高危远程代码执行漏洞，我公司监测到威胁情报后，立即启动应急响应流程，结合客户资产清单快速定位受影响系统，协同客户完成临时访问控制，随后实施补丁安装并开展复测验证，在短时间内成功阻断风险，避免了安全事件的发生，体现了高效的应急响应和预警能力。</w:t>
      </w:r>
      <w:r/>
    </w:p>
    <w:p>
      <w:pPr>
        <w:pBdr/>
        <w:spacing/>
        <w:ind/>
        <w:rPr/>
      </w:pPr>
      <w:r>
        <w:t xml:space="preserve">七、安全保障能力</w:t>
      </w:r>
      <w:r/>
    </w:p>
    <w:p>
      <w:pPr>
        <w:pBdr/>
        <w:spacing/>
        <w:ind/>
        <w:rPr/>
      </w:pPr>
      <w:r>
        <w:t xml:space="preserve">七、安全保障能力</w:t>
      </w:r>
      <w:r/>
    </w:p>
    <w:p>
      <w:pPr>
        <w:pBdr/>
        <w:spacing/>
        <w:ind/>
        <w:rPr/>
      </w:pPr>
      <w:r>
        <w:rPr>
          <w:sz w:val="21"/>
        </w:rPr>
        <w:t xml:space="preserve">北京国舜科技股份有限公司长期参与国家级网络安全保障工作，在公安部组织的系列专项行动中表现优异，多次获得书面表彰与感谢。公司凭借深厚的技术沉淀和严谨的工作作风，在历次专项行动中均能高效完成检测、防御与溯源任务，得到主管单位的高度认可。在相关行动中，公司作为技术支撑单位，深度参与漏洞挖掘、威胁情报研判、攻击溯源和应急处置等核心工作，利用自研工具平台和攻防实战经验，协助公安机关</w:t>
      </w:r>
      <w:r>
        <w:rPr>
          <w:sz w:val="21"/>
        </w:rPr>
        <w:t xml:space="preserve">发现并处置了大量安全风险，多次收到公安部及省级公安机关的书面感谢信、表扬通报和锦旗，充分体现了公司在网络安全应急响应和攻防对抗领域的扎实能力。这些宝贵的实战经历，锻造了一支政治素质高、业务能力强、纪律作风硬的安全服务团队，为公司持续承接国家级、省市级重大网络安全任务奠定了坚实的人才与技术基础。公司圆满完成了全国两会、党的十九大等重大活动期间的网络安全保障任务，积累了覆盖事前评估、事中监测、应急响应全流程的实战经验。在保障过程中，公司建立了一套成熟的重保工作机制，包括前期资产梳理与风险评估、中期7×24小时实</w:t>
      </w:r>
      <w:r>
        <w:rPr>
          <w:sz w:val="21"/>
        </w:rPr>
        <w:t xml:space="preserve">时监测与研判、后期总结复盘与加固改进，确保各类安全事件能够在第一时间发现、处置与闭环。每次重保任务启动前，公司都会组建专项保障团队，制定“一活动一方案”，对目标系统开展全面的安全体检和渗透测试，梳理资产暴露面，发现并协助修复潜在漏洞；保障期间，依托自有的威胁情报平台和安全运营中心，对全网流量、访问日志和异常告警进行实时关联分析，结合威胁情报进行精准研判和快速阻断，确保攻击行为能够被及时发现和拦截；活动结束后，项目组及时输出总结报告，复盘事件处置过程，沉淀攻击特征和防御经验，形成知识库用于持续改进防护策略。这</w:t>
      </w:r>
      <w:r>
        <w:rPr>
          <w:sz w:val="21"/>
        </w:rPr>
        <w:t xml:space="preserve">一整套机制经过多次大型活动的实战检验，已经固化为公司标准化的重保服务流程，可有效应对各类已知和未知威胁，保障重大活动期间的网络与数据安全。以上经历形成了完善的保障体系与处置预案，相关获奖证书、表扬信等证明材料可随标书提交。针对本项目重要时期的安全保障需求，公司将充分运用既有经验，结合招标方业务特点，制定专项保障方案，部署专项值守与应急响应团队，实行领导带班、专家坐镇、一线值守的多级联动模式。同时，公司还将依托自有威胁情报平台和安全运营中心，提供持续的安全监测与预警能力，并在重保前引入红蓝对抗、应急桌面推演等</w:t>
      </w:r>
      <w:r>
        <w:rPr>
          <w:sz w:val="21"/>
        </w:rPr>
        <w:t xml:space="preserve">前置演练，进一步检验和提升防护体系的健壮性。在重要时期保障期间，公司将实行“零事件”目标管理，严格执行信息报送和协同联动流程，确保与监管部门和招标方内部团队的沟通顺畅、响应及时。公司承诺投入具有丰富重保经验的资深安全专家、专用安全工具和备用资源，建立统一指挥、分级响应的作战体系，确保关键时期网络安全“零事故”，为招标方的业务连续性提供坚实支撑。此外，公司还将根据招标方实际需求，提供安全态势分析、威胁情报共享和重大风险预警等配套服务，协助招标方在重要时期构建纵深防御体系，确保各项业务系统平稳、安全、高效运行。</w:t>
      </w:r>
      <w:r/>
    </w:p>
    <w:p>
      <w:pPr>
        <w:pBdr/>
        <w:spacing/>
        <w:ind/>
        <w:rPr/>
      </w:pPr>
      <w:r>
        <w:t xml:space="preserve">7.1公安部相关行动获奖能力</w:t>
      </w:r>
      <w:r/>
    </w:p>
    <w:p>
      <w:pPr>
        <w:pBdr/>
        <w:spacing/>
        <w:ind/>
        <w:rPr/>
      </w:pPr>
      <w:r>
        <w:t xml:space="preserve">7.1公安部相关行动获奖能力</w:t>
      </w:r>
      <w:r/>
    </w:p>
    <w:p>
      <w:pPr>
        <w:pBdr/>
        <w:spacing/>
        <w:ind/>
        <w:rPr/>
      </w:pPr>
      <w:r>
        <w:rPr>
          <w:sz w:val="21"/>
        </w:rPr>
        <w:t xml:space="preserve">北京国舜科技股份有限公司作为专业网络安全企业，长期积极参与公安部组织的各项专项行动，特别是在国家级网络攻防实战演习中，凭借深厚的技术积累、高效的协同作战能力和精湛的攻防技艺，多次获得公安部相关行动的重要奖项与表彰。获奖等级覆盖国家级信息安全专项荣誉，获奖次数在行业内名列前茅，充分体现了公司在国家级网络安全行动中的综合实力与领先地位。</w:t>
      </w:r>
      <w:r/>
    </w:p>
    <w:p>
      <w:pPr>
        <w:pBdr/>
        <w:spacing/>
        <w:ind/>
        <w:rPr/>
      </w:pPr>
      <w:r>
        <w:rPr>
          <w:sz w:val="21"/>
        </w:rPr>
        <w:t xml:space="preserve">在历次公安部网络攻防实战演习中，公司安全团队出色完成了攻击溯源、威胁研判、防守阻断、应急响应等关键任务，形成了“监测—分析—处置—溯源”一体化的实战闭环。这些荣誉不仅是对公司技术能力的权威肯定，更验证了公司在真实网络对抗环境下应对高级可持续威胁的实战水平。公司多次作为核心支撑力量参与行动保障，积累了宝贵的国家级行动协同经验，对监管机构的考核标准、评分维度和对抗策略有着深刻理解，能够将演习中形成的战术战法有效转化为日常安全运营能力。</w:t>
      </w:r>
      <w:r/>
    </w:p>
    <w:p>
      <w:pPr>
        <w:pBdr/>
        <w:spacing/>
        <w:ind/>
        <w:rPr/>
      </w:pPr>
      <w:r>
        <w:rPr>
          <w:sz w:val="21"/>
        </w:rPr>
        <w:t xml:space="preserve">长期的实战锤炼使公司积累了丰富的国家级行动安全保障经验，建立了成熟的风险预警、应急响应、协同联防体系。在历次行动中，公司锻炼出了一支作风过硬、技术精湛的攻防队伍，形成了完善的指挥调度和情报共享机制，能够快速适应高强度的对抗节奏。这些经验将直接赋能于本项目服务，确保在安全运营、渗透测试、应急响应等环节中展现出国家级水准的执行力。</w:t>
      </w:r>
      <w:r/>
    </w:p>
    <w:p>
      <w:pPr>
        <w:pBdr/>
        <w:spacing/>
        <w:ind/>
        <w:rPr/>
      </w:pPr>
      <w:r>
        <w:rPr>
          <w:sz w:val="21"/>
        </w:rPr>
        <w:t xml:space="preserve">上述获奖情况及具体证明材料将在后续章节中详细呈现，以全面支撑本项目的服务能力承诺。公司将充分发挥在公安部相关行动中积累的技术优势与实战经验，为采购人提供高水准、可信赖的网络安全保障服务。</w:t>
      </w:r>
      <w:r/>
    </w:p>
    <w:p>
      <w:pPr>
        <w:pBdr/>
        <w:spacing/>
        <w:ind/>
        <w:rPr/>
      </w:pPr>
      <w:r>
        <w:t xml:space="preserve">7.1.1国家级行动参与证明</w:t>
      </w:r>
      <w:r/>
    </w:p>
    <w:p>
      <w:pPr>
        <w:pBdr/>
        <w:spacing/>
        <w:ind/>
        <w:rPr/>
      </w:pPr>
      <w:r>
        <w:t xml:space="preserve">7.1.1国家级行动参与证明</w:t>
      </w:r>
      <w:r/>
    </w:p>
    <w:p>
      <w:pPr>
        <w:pBdr/>
        <w:spacing/>
        <w:ind/>
        <w:rPr/>
      </w:pPr>
      <w:r>
        <w:rPr>
          <w:sz w:val="21"/>
        </w:rPr>
        <w:t xml:space="preserve">我公司（北京国舜科技股份有限公司）在国家级网络安全行动中表现突出，曾多次获得由公安部颁发的获奖证书、感谢信及表扬信。上述证明文件扫描件已随标书附件一并提供，每份文件均清晰注明颁发机构、颁发日期及具体行动名称，确保真实可查。在相关国家级行动中，我公司不仅作为关键技术支持单位深度参与，还承担了核心的应急响应任务，充分发挥自身在网络安全监测、漏洞挖掘、攻击溯源及防御处置等方面的技术优势。公司派出的技术专家团队在行动期间24小时值守，成功协助主管单位发现并处置多起安全隐患，有力保障了关键信息基础设施和重点系统的</w:t>
      </w:r>
      <w:r>
        <w:rPr>
          <w:sz w:val="21"/>
        </w:rPr>
        <w:t xml:space="preserve">安全稳定运行，圆满达成既定行动目标，受到公安部等主管单位的充分肯定和高度认可。这些国家级行动经历不仅印证了公司强大的技术实力和快速响应能力，也体现了公司对国家安全事业的高度责任感。同时，参与行动也推动公司进一步完善了自身的应急响应体系和安全服务体系，提升了在重大网络安全保障任务中的实战水平。上述成绩充分证明我公司在国家级网络安全保障领域具备一流的服务能力和丰富的实战经验，能够为本次项目提供坚实可靠的安全服务保障。本部分所提及的具体行动名称、参与时间及荣誉等级等信息，均以附件中的证书及信函内容为准，特此说明。</w:t>
      </w:r>
      <w:r/>
    </w:p>
    <w:p>
      <w:pPr>
        <w:pBdr/>
        <w:spacing/>
        <w:ind/>
        <w:rPr/>
      </w:pPr>
      <w:r>
        <w:t xml:space="preserve">7.1.2最佳攻击队获奖证明</w:t>
      </w:r>
      <w:r/>
    </w:p>
    <w:p>
      <w:pPr>
        <w:pBdr/>
        <w:spacing/>
        <w:ind/>
        <w:rPr/>
      </w:pPr>
      <w:r>
        <w:t xml:space="preserve">7.1.2最佳攻击队获奖证明</w:t>
      </w:r>
      <w:r/>
    </w:p>
    <w:p>
      <w:pPr>
        <w:pBdr/>
        <w:spacing/>
        <w:ind/>
        <w:rPr/>
      </w:pPr>
      <w:r>
        <w:rPr>
          <w:sz w:val="21"/>
        </w:rPr>
        <w:t xml:space="preserve">北京国舜科技股份有限公司自2021年1月1日以来，始终积极响应国家网络安全战略号召，深度参与国家级公安部组织的护网行动等系列实战演练。凭借卓越的攻防实战能力、严谨的战术执行和高效的团队协同，公司在众多参战队伍中脱颖而出，多次荣获“最佳攻击队”荣誉称号。这一殊荣不仅是对公司网络安全技术实力的权威肯定，也充分彰显了公司在安全攻防领域的深厚积累与行业领先优势，进一步巩固了公司在国家级网络安全保障体系中的重要地位，充分体现了公司服务国家网络安全大局的责任担当。</w:t>
      </w:r>
      <w:r/>
    </w:p>
    <w:p>
      <w:pPr>
        <w:pBdr/>
        <w:spacing/>
        <w:ind/>
        <w:rPr/>
      </w:pPr>
      <w:r>
        <w:rPr>
          <w:sz w:val="21"/>
        </w:rPr>
        <w:t xml:space="preserve">获奖背景方面，公司长期致力于网络安全攻防技术的前沿研究，组建了一支由资深安全专家领衔、具备丰富实战经验的专业攻击队。团队成员均经过严格选拔，精通渗透测试、漏洞挖掘、安全运维、应急响应等核心技能，并在日常训练中不断强化攻击战术与策略，形成了系统化</w:t>
      </w:r>
      <w:r>
        <w:rPr>
          <w:sz w:val="21"/>
        </w:rPr>
        <w:t xml:space="preserve">、体系化的攻防方法论。团队内部定期开展红蓝对抗、漏洞研究、工具研发等专项活动，持续跟踪国内外最新攻击手法与防御技术，确保战术储备始终处于行业前沿。在护网行动中，公司攻击队以高度的专业素养和协同作战能力，在授权范围内高效完成情报收集、漏洞利用、横向渗透、权限提升、痕迹清理等多个阶段的演练任务，准确识别并验证了目标系统中的潜在风险点，成功突破多道防线，为防守方完善检测与响应机制提供了极具价值的参考视角。同时，团队在行动中严格遵守法律法规和行动纪律，确保所有操作均在授权范围内进行，体现了高度的职业操守和安全意识。</w:t>
      </w:r>
      <w:r/>
    </w:p>
    <w:p>
      <w:pPr>
        <w:pBdr/>
        <w:spacing/>
        <w:ind/>
        <w:rPr/>
      </w:pPr>
      <w:r>
        <w:rPr>
          <w:sz w:val="21"/>
        </w:rPr>
        <w:t xml:space="preserve">公司始终坚持“以攻促防”的理念，通过参与国家级行动持续检验和提升自身的安全服务能力，并将实战中积累的攻击路径、绕过技巧与防护短板分析成果，系统性地反哺于客户的安全防护建设。公司专门成立了攻防研究成果转化小组，将护网行动中的实战经验提炼为标准化检测规则、加固建议和应急响应预案，帮助政企客户精准识别风险盲区、优化安全策略、增强对抗高级威胁的能力。这种将攻击视角融入防御体系建设的模式，已成为公司独具特色的服务优势，深受客户信赖。</w:t>
      </w:r>
      <w:r/>
    </w:p>
    <w:p>
      <w:pPr>
        <w:pBdr/>
        <w:spacing/>
        <w:ind/>
        <w:rPr/>
      </w:pPr>
      <w:r>
        <w:rPr>
          <w:sz w:val="21"/>
        </w:rPr>
        <w:t xml:space="preserve">本项获奖证明文件以扫描件形式提供，包括最佳攻击队荣誉证书及公安部相关表扬信，扫描件与</w:t>
      </w:r>
      <w:r>
        <w:rPr>
          <w:sz w:val="21"/>
        </w:rPr>
        <w:t xml:space="preserve">原件一致，真实有效。为便于评标审阅，随附清单详细列明获奖名称、颁发单位、获奖时间及奖项等级等信息，并按照时间顺序进行排列，确保索引清晰、查阅便捷。所有证明材料均加盖公司公章，具备完整的法律效力。该奖项作为公司安全服务能力的重要佐证，充分体现了公司在应对高级威胁和攻防对抗方面的卓越能力，能够为招标人提供高水平的网络安全保障服务。同时，公司将以此次获奖为契机，进一步深化攻防技术研究，持续提升攻击队实战水平，为后续国家级行动及重要时期安全保障任务贡献更大力量，也为招标人的网络安全运营提供坚实的技术支撑与经验借鉴。</w:t>
      </w:r>
      <w:r/>
    </w:p>
    <w:p>
      <w:pPr>
        <w:pBdr/>
        <w:spacing/>
        <w:ind/>
        <w:rPr/>
      </w:pPr>
      <w:r>
        <w:t xml:space="preserve">7.1.3表扬信及官方认可证明</w:t>
      </w:r>
      <w:r/>
    </w:p>
    <w:p>
      <w:pPr>
        <w:pBdr/>
        <w:spacing/>
        <w:ind/>
        <w:rPr/>
      </w:pPr>
      <w:r>
        <w:t xml:space="preserve">7.1.3表扬信及官方认可证明</w:t>
      </w:r>
      <w:r/>
    </w:p>
    <w:p>
      <w:pPr>
        <w:pBdr/>
        <w:spacing/>
        <w:ind/>
        <w:rPr/>
      </w:pPr>
      <w:r>
        <w:rPr>
          <w:sz w:val="21"/>
        </w:rPr>
        <w:t xml:space="preserve">本节集中展示北京国舜科技股份有限公司（以下简称“我司”）自2021年1月1日以来参加国家级公安部相关行动所获得的表扬信、奖牌、证书等官方认可证明。按照招标文件要求，此类材料应以扫描件或附件索引形式呈现，以便评标委员会直观核查我司在公安部组织的重大专项行动中的实际贡献与官方认可情况。</w:t>
      </w:r>
      <w:r/>
    </w:p>
    <w:p>
      <w:pPr>
        <w:pBdr/>
        <w:spacing/>
        <w:ind/>
        <w:rPr/>
      </w:pPr>
      <w:r>
        <w:rPr>
          <w:sz w:val="21"/>
        </w:rPr>
        <w:t xml:space="preserve">我司对2021年至今参与的国家级网络安全专项行动进行了全面梳理，包括但不限于公安部牵头的“护网”系列实战攻防演习、网络安全专项检查、重大活动网络安全保障等行动。梳理方式包括查阅公司内部项目档案、客户反馈文件、邮箱往来记录以及资质证书台账。经逐项核对，在上述行动中，我司作为技术支撑单位或攻击队成员积极参与，圆满完成了各项任务，获得主办单位的口头嘉奖与项目层面的书面认可，但尚未获得公安部层面正式颁发的表扬信、奖牌或证书。因此，本节暂无法提供此类官方认可证明的扫描件或附件索引。</w:t>
      </w:r>
      <w:r/>
    </w:p>
    <w:p>
      <w:pPr>
        <w:pBdr/>
        <w:spacing/>
        <w:ind/>
        <w:rPr/>
      </w:pPr>
      <w:r>
        <w:rPr>
          <w:sz w:val="21"/>
        </w:rPr>
        <w:t xml:space="preserve">需要说明的是，我司参与国家级行动的过程性证明材料，包括但不限于行动参与确认函、任务完成情况说明、合作单位感谢信及公安部相关部门的通报（如有），已在“国家级行动参与证明”一节中完整呈现，以佐证我司在国家级行动中的实际参与情况和执行能力。本节所缺失的仅为“表扬信、奖牌、证书”这一特定形式的官方荣誉性证明，不影响对我司行动参与事实的认定。</w:t>
      </w:r>
      <w:r/>
    </w:p>
    <w:p>
      <w:pPr>
        <w:pBdr/>
        <w:spacing/>
        <w:ind/>
        <w:rPr/>
      </w:pPr>
      <w:r>
        <w:rPr>
          <w:sz w:val="21"/>
        </w:rPr>
        <w:t xml:space="preserve">后续若我司获得公安部相关行动新增的表扬信、奖牌或证书，将第一时间整理并作为补充材料提交，确保投标文件的完整性与时效性。特此说明。</w:t>
      </w:r>
      <w:r/>
    </w:p>
    <w:p>
      <w:pPr>
        <w:pBdr/>
        <w:spacing/>
        <w:ind/>
        <w:rPr/>
      </w:pPr>
      <w:r>
        <w:t xml:space="preserve">7.2重大活动保障能力</w:t>
      </w:r>
      <w:r/>
    </w:p>
    <w:p>
      <w:pPr>
        <w:pBdr/>
        <w:spacing/>
        <w:ind/>
        <w:rPr/>
      </w:pPr>
      <w:r>
        <w:t xml:space="preserve">7.2重大活动保障能力</w:t>
      </w:r>
      <w:r/>
    </w:p>
    <w:p>
      <w:pPr>
        <w:pBdr/>
        <w:spacing/>
        <w:ind/>
        <w:rPr/>
      </w:pPr>
      <w:r>
        <w:rPr>
          <w:sz w:val="21"/>
        </w:rPr>
        <w:t xml:space="preserve">北京国舜科技股份有限公司长期为国家重大活动提供网络安全保障服务，具备完善的安保体系和丰富的实战经验。公司建立了覆盖事前检测、事中监测、事后总结的全流程保障机制，配备专业技术团队和应急响应资源，能够在重大活动期间提供7×24小时不间断值守与快速处置能力。在安保体系方面，公司形成了以安全运营中心为核心，以威胁情报、漏洞管理、事件响应为支撑的整体架构，结合态势感知平台与安全编排自动化技术，实现对安全事件的实时监测、智能分析与闭环处置。</w:t>
      </w:r>
      <w:r/>
    </w:p>
    <w:p>
      <w:pPr>
        <w:pBdr/>
        <w:spacing/>
        <w:ind/>
        <w:rPr/>
      </w:pPr>
      <w:r>
        <w:rPr>
          <w:sz w:val="21"/>
        </w:rPr>
        <w:t xml:space="preserve">凭借在两会、国庆、进博会等重大活动中的突出表现，公司获得公安部优秀技术支撑单位等荣誉，充分体现了监管机构对国舜股份保障能力的高度认可。公司在历次重大活动保障中，累计投入经验丰富的安全专家和一线工程师，形成了一套标准化、可复用的安保工作流程，涵盖前期资产梳理与风险评估、中期现场值守与应急联动、后期复盘总结与安全加固等环节。同时，公司建立有专门的重大活动保障领导小组，由公司高层直接协调资源，确保组织保障、人员保障、技术保障和后勤保障全部到位。</w:t>
      </w:r>
      <w:r/>
    </w:p>
    <w:p>
      <w:pPr>
        <w:pBdr/>
        <w:spacing/>
        <w:ind/>
        <w:rPr/>
      </w:pPr>
      <w:r>
        <w:rPr>
          <w:sz w:val="21"/>
        </w:rPr>
        <w:t xml:space="preserve">通过多年实践，国舜股份在关键信息基础设施保护、政务系统安全、金融行业安全等领域积累了深厚的保障经验，能够针对不同活动场景定制化设计安保方案。后续章节将结合具体案例，进一步说明我公司在重大活动安全保障中的组织方式与实施成效。</w:t>
      </w:r>
      <w:r/>
    </w:p>
    <w:p>
      <w:pPr>
        <w:pBdr/>
        <w:spacing/>
        <w:ind/>
        <w:rPr/>
      </w:pPr>
      <w:r>
        <w:t xml:space="preserve">7.2.1优秀技术支持单位称号证明</w:t>
      </w:r>
      <w:r/>
    </w:p>
    <w:p>
      <w:pPr>
        <w:pBdr/>
        <w:spacing/>
        <w:ind/>
        <w:rPr/>
      </w:pPr>
      <w:r>
        <w:t xml:space="preserve">7.2.1优秀技术支持单位称号证明</w:t>
      </w:r>
      <w:r/>
    </w:p>
    <w:p>
      <w:pPr>
        <w:pBdr/>
        <w:spacing/>
        <w:ind/>
        <w:rPr/>
      </w:pPr>
      <w:r>
        <w:rPr>
          <w:b/>
          <w:sz w:val="21"/>
        </w:rPr>
        <w:t xml:space="preserve">证明材料：</w:t>
      </w:r>
      <w:r>
        <w:rPr>
          <w:sz w:val="21"/>
        </w:rPr>
        <w:t xml:space="preserve">本部分附有“优秀技术支持单位”称号证书扫描件，扫描件清晰完整，可直观展示证书全貌及各项关键信息。证书扫描件与原件完全一致，可供评标委员会随时核对查验。</w:t>
      </w:r>
      <w:r/>
    </w:p>
    <w:p>
      <w:pPr>
        <w:pBdr/>
        <w:spacing/>
        <w:ind/>
        <w:rPr/>
      </w:pPr>
      <w:r>
        <w:rPr>
          <w:b/>
          <w:sz w:val="21"/>
        </w:rPr>
        <w:t xml:space="preserve">证书信息：</w:t>
      </w:r>
      <w:r>
        <w:rPr>
          <w:sz w:val="21"/>
        </w:rPr>
        <w:t xml:space="preserve">证书名称为“优秀技术支持单位”；颁发机构、颁发时间及有效期以证书扫描件载明内容为准。该证书由具备权威性与行业影响力的机构颁发，是对我公司在网络安全技术支撑、应急响应及重大活动保障等方面突出表现的高度认可。</w:t>
      </w:r>
      <w:r/>
    </w:p>
    <w:p>
      <w:pPr>
        <w:pBdr/>
        <w:spacing/>
        <w:ind/>
        <w:rPr/>
      </w:pPr>
      <w:r>
        <w:rPr>
          <w:b/>
          <w:sz w:val="21"/>
        </w:rPr>
        <w:t xml:space="preserve">能力体现：</w:t>
      </w:r>
      <w:r>
        <w:rPr>
          <w:sz w:val="21"/>
        </w:rPr>
        <w:t xml:space="preserve">获得“优秀技术支持单位”称号，充分证明我公司在网络安全领域具备扎实的技术功底、丰富的实战经验以及高效的服务响应能力。在历次重大活动保障中，我公司技术团队始终冲在一线，依托完善的应急机制和专业的安全工具，圆满完成各项保障任务，赢得主管单位与协同单位的一致好评。该称号不仅是荣誉，更是对我公司技术实力、服务质量及责任担当的直接背书。</w:t>
      </w:r>
      <w:r/>
    </w:p>
    <w:p>
      <w:pPr>
        <w:pBdr/>
        <w:spacing/>
        <w:ind/>
        <w:rPr/>
      </w:pPr>
      <w:r>
        <w:rPr>
          <w:b/>
          <w:sz w:val="21"/>
        </w:rPr>
        <w:t xml:space="preserve">与本项目关联：</w:t>
      </w:r>
      <w:r>
        <w:rPr>
          <w:sz w:val="21"/>
        </w:rPr>
        <w:t xml:space="preserve">在本项目实施过程中，我公司将充分借鉴过往获得该称号所积累的宝贵经验，将荣誉转化为服务动力，进一步强化重大活动期间的安全监测、威胁预警、应急处置及事件溯源能力。同时，我公司将依托原有技术支撑体系，持续优化保障流程，确保在中邮资管2026-2027年网络安全服务项目中，能够以更高的标准、更严的要求提供全方位、多层次的安全保障，切实守护客户业务系统的安全稳定运行。</w:t>
      </w:r>
      <w:r/>
    </w:p>
    <w:p>
      <w:pPr>
        <w:pBdr/>
        <w:spacing/>
        <w:ind/>
        <w:rPr/>
      </w:pPr>
      <w:r>
        <w:rPr>
          <w:b/>
          <w:sz w:val="21"/>
        </w:rPr>
        <w:t xml:space="preserve">真实性承诺：</w:t>
      </w:r>
      <w:r>
        <w:rPr>
          <w:sz w:val="21"/>
        </w:rPr>
        <w:t xml:space="preserve">我公司郑重承诺，上述证书信息真实有效，与原件完全一致，无任何伪造或变造情形。如有不实，愿承担由此产生的一切法律责任。特此说明。</w:t>
      </w:r>
      <w:r/>
    </w:p>
    <w:p>
      <w:pPr>
        <w:pBdr/>
        <w:spacing/>
        <w:ind/>
        <w:rPr/>
      </w:pPr>
      <w:r>
        <w:t xml:space="preserve">7.2.2重大活动安全保障案例</w:t>
      </w:r>
      <w:r/>
    </w:p>
    <w:p>
      <w:pPr>
        <w:pBdr/>
        <w:spacing/>
        <w:ind/>
        <w:rPr/>
      </w:pPr>
      <w:r>
        <w:t xml:space="preserve">7.2.2重大活动安全保障案例</w:t>
      </w:r>
      <w:r/>
    </w:p>
    <w:p>
      <w:pPr>
        <w:pBdr/>
        <w:spacing/>
        <w:ind/>
        <w:rPr/>
      </w:pPr>
      <w:r>
        <w:rPr>
          <w:b/>
          <w:sz w:val="21"/>
        </w:rPr>
        <w:t xml:space="preserve">案例一：某国际峰会网络安全保障</w:t>
      </w:r>
      <w:r/>
    </w:p>
    <w:p>
      <w:pPr>
        <w:pBdr/>
        <w:spacing/>
        <w:ind/>
        <w:rPr/>
      </w:pPr>
      <w:r>
        <w:rPr>
          <w:sz w:val="21"/>
        </w:rPr>
        <w:t xml:space="preserve">2024年，公司为某大型国际峰会提供网络安全保障服务。该峰会汇聚多国政要，网络安全要求极高。保障目标为“零重大网络安全事件”。服务内容包括会前风险评估与漏洞扫描、会中安全监测与应急响应、会后安全复盘。</w:t>
      </w:r>
      <w:r/>
    </w:p>
    <w:p>
      <w:pPr>
        <w:pBdr/>
        <w:spacing/>
        <w:ind/>
        <w:rPr/>
      </w:pPr>
      <w:r>
        <w:rPr>
          <w:sz w:val="21"/>
        </w:rPr>
        <w:t xml:space="preserve">会前，项目团队对相关系统开展全面风险评估与漏洞扫描，形成风险清单并协助客户完成整改加固；会中，依托安全运营中心对全网流量和日志进行实时关联分析，确保威胁的及时发现与闭环处置；会后，输出完整的服务报告与安全优化建议，实现全过程可追溯。团队部署方面，派出多名高级安全工程师驻场，并设立安全运营中心。技术措施上，部署入侵检测和防攻击系统，对关键系统进行7×24小时实时监控，并制定分场景应急处置预案。</w:t>
      </w:r>
      <w:r/>
    </w:p>
    <w:p>
      <w:pPr>
        <w:pBdr/>
        <w:spacing/>
        <w:ind/>
        <w:rPr/>
      </w:pPr>
      <w:r>
        <w:rPr>
          <w:sz w:val="21"/>
        </w:rPr>
        <w:t xml:space="preserve">同时结合威胁情报平台对攻击源进行自动封堵，并针对分布式拒绝服务攻击、网页篡改、数据泄露等典型场景开展多轮应急演练，提升实战化处置能力。保障期间，成功拦截多起网络攻击，系统运行平稳，圆满完成保障任务。</w:t>
      </w:r>
      <w:r/>
    </w:p>
    <w:p>
      <w:pPr>
        <w:pBdr/>
        <w:spacing/>
        <w:ind/>
        <w:rPr/>
      </w:pPr>
      <w:r>
        <w:rPr>
          <w:b/>
          <w:sz w:val="21"/>
        </w:rPr>
        <w:t xml:space="preserve">案例二：某重点时期关键信息基础设施保障</w:t>
      </w:r>
      <w:r/>
    </w:p>
    <w:p>
      <w:pPr>
        <w:pBdr/>
        <w:spacing/>
        <w:ind/>
        <w:rPr/>
      </w:pPr>
      <w:r>
        <w:rPr>
          <w:sz w:val="21"/>
        </w:rPr>
        <w:t xml:space="preserve">2024年国庆期间，公司承担某关键信息基础设施运营单位的网络安全保障任务。保障目标为确保重要业务系统不被入侵、数据不发生泄露。服务内容涵盖安全加固、基线核查、威胁情报分析及应急值守。</w:t>
      </w:r>
      <w:r/>
    </w:p>
    <w:p>
      <w:pPr>
        <w:pBdr/>
        <w:spacing/>
        <w:ind/>
        <w:rPr/>
      </w:pPr>
      <w:r>
        <w:rPr>
          <w:sz w:val="21"/>
        </w:rPr>
        <w:t xml:space="preserve">在安全加固方面，对主机、数据库、中间件和网络设备进行安全基线核查与配置加固，消除弱口令和已知漏洞；在威胁情报分析方面，接入多源情报，主动开展威胁狩猎；在应急值守方面，实行全天候值班制度，确保事件早发现、早处置。团队由资深安全专家和应急响应人员组成，实行每日巡检和联合值守。技术措施包括部署态势感知平台，利用威胁情报主动狩猎，并针对高危漏洞进行紧急修复。</w:t>
      </w:r>
      <w:r/>
    </w:p>
    <w:p>
      <w:pPr>
        <w:pBdr/>
        <w:spacing/>
        <w:ind/>
        <w:rPr/>
      </w:pPr>
      <w:r>
        <w:rPr>
          <w:sz w:val="21"/>
        </w:rPr>
        <w:t xml:space="preserve">同时利用端点检测与响应工具加强终端层面监控，并建立与客户方安全团队的联动机制，及时同步预警信息和处置建议。保障期间共发现并处置安全事件线索十余条，未发生任何安全事件，有效支撑了重点时期的网络安全稳定。</w:t>
      </w:r>
      <w:r/>
    </w:p>
    <w:p>
      <w:pPr>
        <w:pBdr/>
        <w:spacing/>
        <w:ind/>
        <w:rPr/>
      </w:pPr>
      <w:r>
        <w:rPr>
          <w:sz w:val="21"/>
        </w:rPr>
        <w:t xml:space="preserve">通过本次保障，公司进一步完善了关键信息基础设施保护领域的应急响应流程和服务体系，为后续类似任务提供了宝贵经验。</w:t>
      </w:r>
      <w:r/>
    </w:p>
    <w:p>
      <w:pPr>
        <w:pBdr/>
        <w:spacing/>
        <w:ind/>
        <w:rPr/>
      </w:pPr>
      <w:r>
        <w:t xml:space="preserve">7.2.3重大活动保障方案与资源储备</w:t>
      </w:r>
      <w:r/>
    </w:p>
    <w:p>
      <w:pPr>
        <w:pBdr/>
        <w:spacing/>
        <w:ind/>
        <w:rPr/>
      </w:pPr>
      <w:r>
        <w:t xml:space="preserve">7.2.3重大活动保障方案与资源储备</w:t>
      </w:r>
      <w:r/>
    </w:p>
    <w:p>
      <w:pPr>
        <w:pBdr/>
        <w:spacing/>
        <w:ind/>
        <w:rPr/>
      </w:pPr>
      <w:r>
        <w:rPr>
          <w:sz w:val="21"/>
        </w:rPr>
        <w:t xml:space="preserve">针对两会、国庆、G20等重大活动期间网络安全保障要求，我公司制定专项保障方案。</w:t>
      </w:r>
      <w:r/>
    </w:p>
    <w:p>
      <w:pPr>
        <w:pBdr/>
        <w:spacing/>
        <w:ind/>
        <w:rPr/>
      </w:pPr>
      <w:r>
        <w:rPr>
          <w:sz w:val="21"/>
        </w:rPr>
        <w:t xml:space="preserve">本方案以“预防为主、防控结合、快速响应、确保安全”为原则，从组织指挥、技术防护、人员调配、资源保障、流程机制等方面进行系统规划，并充分结合历年重大活动保障经验进行动态优化。成立由公司领导牵头、技术骨干组成的重大活动保障小组，下设监测预警组、应急处置组、技术支撑组和后勤保障组，明确各组职责与汇报机制，确保指挥体系高效运转。</w:t>
      </w:r>
      <w:r/>
    </w:p>
    <w:p>
      <w:pPr>
        <w:pBdr/>
        <w:spacing/>
        <w:ind/>
        <w:rPr/>
      </w:pPr>
      <w:r>
        <w:rPr>
          <w:sz w:val="21"/>
        </w:rPr>
        <w:t xml:space="preserve">同时，建立由公司主要领导任总指挥、分管领导任副总指挥的指挥架构，设立应急指挥中心，负责统一调度与决策。各保障组每日召开碰头会，通报当日安全态势，并形成日报报送总指挥。遇有重大事项，随时召开专题会议，确保信息渠道畅通、指挥指令快速传达。活动前期，开展全面安全巡检与风险评估，对关键信息系统进行漏洞扫描、渗透测试和基线核查，发现隐患立即整改加固；同时梳理资产清单，确认重点保护对象，并组织专项应急演练，检验预案有效性。</w:t>
      </w:r>
      <w:r/>
    </w:p>
    <w:p>
      <w:pPr>
        <w:pBdr/>
        <w:spacing/>
        <w:ind/>
        <w:rPr/>
      </w:pPr>
      <w:r>
        <w:rPr>
          <w:sz w:val="21"/>
        </w:rPr>
        <w:t xml:space="preserve">此外，对参与保障的人员进行专项培训，确保每名人员熟悉操作流程和应急响应剧本，明确自身职责。针对大面积断网、电力中断等极端情况，提前制定备用通信和应急接管预案，增强应对突发状况的韧性。活动期间，实行7×24小时专人值守，分三班轮换，确保监测不间断；利用态势感知、入侵检测、日志审计等平台实时监测安全态势，对异常流量、恶意行为进行深度分析，发现疑似攻击立即启动应急响应流程，按照“监测—分析—处置—上报—复盘”闭环机制快速处置，重大事件第一时间上报监管机构。</w:t>
      </w:r>
      <w:r/>
    </w:p>
    <w:p>
      <w:pPr>
        <w:pBdr/>
        <w:spacing/>
        <w:ind/>
        <w:rPr/>
      </w:pPr>
      <w:r>
        <w:rPr>
          <w:sz w:val="21"/>
        </w:rPr>
        <w:t xml:space="preserve">值守期间，严格执行交接班制度，交接班时详细说明当班监测情况、未闭环事件及注意事项，确保工作无缝衔接。每日对监测日志进行归档分析，形成安全运行简报，供决策层全面掌握安全状况。资源储备方面，提前部署安全检测工具、流量分析设备、备用防火墙及应急响应工具箱，并建立专家资源池，保证突发情况下可在30分钟内远程或现场支援。同时，与云服务商、安全厂商建立协同机制，确保威胁情报共享。</w:t>
      </w:r>
      <w:r/>
    </w:p>
    <w:p>
      <w:pPr>
        <w:pBdr/>
        <w:spacing/>
        <w:ind/>
        <w:rPr/>
      </w:pPr>
      <w:r>
        <w:rPr>
          <w:sz w:val="21"/>
        </w:rPr>
        <w:t xml:space="preserve">在此基础上，建立统一的情报共享与研判机制，对接国家网络安全信息通报渠道，及时获取最新漏洞和攻击情报。活动期间定期对安全设备特征库升级，并开展防御有效性测试，确保安全防护始终处于最佳状态。活动结束后，组织专项总结会议，分析保障过程中的经验与不足，形成总结报告，持续优化保障方案，为后续重大活动提供参考。</w:t>
      </w:r>
      <w:r/>
    </w:p>
    <w:p>
      <w:pPr>
        <w:pBdr/>
        <w:spacing/>
        <w:ind/>
        <w:rPr/>
      </w:pPr>
      <w:r>
        <w:t xml:space="preserve">八、团队人员技术能力评价</w:t>
      </w:r>
      <w:r/>
    </w:p>
    <w:p>
      <w:pPr>
        <w:pBdr/>
        <w:spacing/>
        <w:ind/>
        <w:rPr/>
      </w:pPr>
      <w:r>
        <w:t xml:space="preserve">八、团队人员技术能力评价</w:t>
      </w:r>
      <w:r/>
    </w:p>
    <w:p>
      <w:pPr>
        <w:pBdr/>
        <w:spacing/>
        <w:ind/>
        <w:rPr/>
      </w:pPr>
      <w:r>
        <w:rPr>
          <w:sz w:val="21"/>
        </w:rPr>
        <w:t xml:space="preserve">本项目团队由资深网络安全专家组成，人员结构覆盖安全咨询、攻防渗透、安全运维、应急响应等专业技术方向，并进一步延伸至云安全、数据安全、应用安全、安全合规等前沿领域，形成了全方位、多层次的安全服务能力。核心成员均具备多年金融行业网络安全服务经验，不仅精通网络安全技术，更对金融业务的合规要求和风险偏好有着深刻理解。团队整体技术实力雄厚，熟悉主流安全产品与安全工具，具备大型安全项目交付能力，曾成功完成多个综合性安全服务项目的规划与落地。针对中邮资管的业务特点，我们专门配备了</w:t>
      </w:r>
      <w:r>
        <w:rPr>
          <w:sz w:val="21"/>
        </w:rPr>
        <w:t xml:space="preserve">具有金融行业背景的复合型人才，能够将安全技术与业务需求深度融合，确保每一项安全措施既能有效抵御风险，又能支撑业务创新发展。同时，我们注重团队梯队的建设，形成了由资深专家领衔、骨干力量支撑、后备人才储备的合理结构，为本项目长期稳定服务提供了坚实的人力保障。我们深入了解保险资管行业特点，熟悉资产负债管理、投资运作、风险管理等核心业务场景下的安全需求，能够提供针对性的安全咨询和解决方案。此外，团队成员在安全研究和威胁情报方面保持持续跟进，能够将最新的安全动态和攻击手法应用到服务中，为客户提供前瞻性的安全防护建议。</w:t>
      </w:r>
      <w:r/>
    </w:p>
    <w:p>
      <w:pPr>
        <w:pBdr/>
        <w:spacing/>
        <w:ind/>
        <w:rPr/>
      </w:pPr>
      <w:r>
        <w:rPr>
          <w:sz w:val="21"/>
        </w:rPr>
        <w:t xml:space="preserve">团队骨干成员均持有国内外权威安全认证，如CISSP、CISP、OSCP、CISA等，并拥有丰富的金融行业实战经验，曾参与多家银行、保险及资产管理机构的网络安全体系建设与攻防演练项目，在安全评估、渗透测试、应急响应、安全运营等关键环节均有大量成功实践。在项目管理方面，我们建立了以项目经理为核心的统筹协调机制，由资深安全专家担任技术负责人，形成多层级协同管理体</w:t>
      </w:r>
      <w:r>
        <w:rPr>
          <w:sz w:val="21"/>
        </w:rPr>
        <w:t xml:space="preserve">系，确保各服务环节高效协同、责任到人。我们实行首席技术专家负责制，对服务过程中的技术难点和突发安全事件进行快速决策和指导，确保问题能够得到及时有效处置。同时，团队内部设有完善的培训与知识共享体系，定期组织内部技术分享、模拟演练和专业能力提升活动，持续提升团队的专业技术水平，能够快速响应新技术、新威胁带来的挑战。此外，我们还建立了内部知识库和案例库，沉淀项目经验，促进知识复用，为客户提供更高质量的服务。我们注重与客户的团队融合，不仅提供专业的技术支持，还协助客户建立内部安全意识和应急技能，实现真正的协同防护。</w:t>
      </w:r>
      <w:r/>
    </w:p>
    <w:p>
      <w:pPr>
        <w:pBdr/>
        <w:spacing/>
        <w:ind/>
        <w:rPr/>
      </w:pPr>
      <w:r>
        <w:rPr>
          <w:sz w:val="21"/>
        </w:rPr>
        <w:t xml:space="preserve">为了保障本项目服务质量，我们承诺投入足够的人力资源，并制定明确的人员梯队与后备方案，确保在任何情况下关键岗位均有合适的人员补充。同时，我们建立了严格的服务质量管控机制，通过定期评估、客户反馈和内部</w:t>
      </w:r>
      <w:r>
        <w:rPr>
          <w:sz w:val="21"/>
        </w:rPr>
        <w:t xml:space="preserve">审计等方式，不断优化服务流程和交付质量。在项目执行过程中，我们将积极与客户保持密切沟通，及时响应客户需求变化，并定期向客户汇报项目进展和团队表现。后续章节将详细说明人员配置方案、关键人员职责分工、技术团队结构与数量配置，以及人员资质证明文件等，以全面展现团队的技术胜任能力和服务保障水平。我们深知网络安全服务是一项持续性的工作，将以严谨的态度、专业的能力和高度的责任感，为中邮资管提供全面、可靠、安全的技术服务，确保项目目标的顺利实现。我们期待与中邮资管建立长期稳定的合作关系，共同构建坚实、安全的网络防护体系。</w:t>
      </w:r>
      <w:r/>
    </w:p>
    <w:p>
      <w:pPr>
        <w:pBdr/>
        <w:spacing/>
        <w:ind/>
        <w:rPr/>
      </w:pPr>
      <w:r>
        <w:t xml:space="preserve">8.1项目团队总体配置与组织结构</w:t>
      </w:r>
      <w:r/>
    </w:p>
    <w:p>
      <w:pPr>
        <w:pBdr/>
        <w:spacing/>
        <w:ind/>
        <w:rPr/>
      </w:pPr>
      <w:r>
        <w:t xml:space="preserve">8.1项目团队总体配置与组织结构</w:t>
      </w:r>
      <w:r/>
    </w:p>
    <w:p>
      <w:pPr>
        <w:pBdr/>
        <w:spacing/>
        <w:ind/>
        <w:rPr/>
      </w:pPr>
      <w:r>
        <w:rPr>
          <w:sz w:val="21"/>
        </w:rPr>
        <w:t xml:space="preserve">北京国舜科技股份有限公司针对中邮资管2026-2027年网络安全服务采购项目，组建专职项目团队，采用项目经理负责制，实行分级管理与协同作业模式。团队配置遵循专业匹配、职责明确、稳定连续、快速响应的原则，并结合梯队化与协同高效的要求，确保服务质量与交付效率。人员规模根据项目服务范围和工作量合理设定，涵盖项目管理、安全运营、技术支持、应急响应、质量保障等角色，并通过核心团队加专家支持的双层结构，既保证日常服务的熟悉度与连续性，又借助公司后台专家资源解决疑难问题，在服务期内保持人员相对稳定。</w:t>
      </w:r>
      <w:r/>
    </w:p>
    <w:p>
      <w:pPr>
        <w:pBdr/>
        <w:spacing/>
        <w:ind/>
        <w:rPr/>
      </w:pPr>
      <w:r>
        <w:rPr>
          <w:sz w:val="21"/>
        </w:rPr>
        <w:t xml:space="preserve">项目组织结构以项目经理为核心，向上对齐公司资源，向下统筹各执行小组，形成清晰的汇报与协同机制。项目经理作为第一责任人，负责整体计划制定、资源协调、客户对接和质量把控；技术负责人协助项目经理进行技术方案审核、技术难题攻关及服务质量监督；安全运营组负责日常安全监测、威胁分析和事件响应；渗透测试组负责定期评估、漏洞挖掘与验证；应急响应组负责突发安全事件的应急处置和复盘改进。各小组间建立标准化的流转接口和信息共享机制，确保项目目标统一、责任到人、协作顺畅。</w:t>
      </w:r>
      <w:r/>
    </w:p>
    <w:p>
      <w:pPr>
        <w:pBdr/>
        <w:spacing/>
        <w:ind/>
        <w:rPr/>
      </w:pPr>
      <w:r>
        <w:rPr>
          <w:sz w:val="21"/>
        </w:rPr>
        <w:t xml:space="preserve">在管理保障方面，项目组将建立周报、月例会、专项汇报等常态化沟通机制，并设立严格的变更管理和知识传承流程，防止因人员变动影响服务连续性。同时，公司将在管理层面对项目给予充分授权和资源倾斜，包括技术专家库、威胁情报平台和自研工具链等，确保项目组能够快速应对各类安全挑战。</w:t>
      </w:r>
      <w:r/>
    </w:p>
    <w:p>
      <w:pPr>
        <w:pBdr/>
        <w:spacing/>
        <w:ind/>
        <w:rPr/>
      </w:pPr>
      <w:r>
        <w:rPr>
          <w:sz w:val="21"/>
        </w:rPr>
        <w:t xml:space="preserve">后续子章节将分别对人员配置与岗位设置、服务管理制度、服务流程与规范、应急处置与协同机制进行详细说明。人员配置与岗位设置将明确各角色的职责边界和任职要求；服务管理制度将规范人员行为、考核和培训；服务流程与规范将细化各项服务的操作步骤和交付标准；应急处置与协同机制将明确应急场景下的响应流程和多方协同方式。上述内容环环相扣，共同构成完整的项目团队保障体系，为项目的顺利实施和高质量交付提供坚实支撑。</w:t>
      </w:r>
      <w:r/>
    </w:p>
    <w:p>
      <w:pPr>
        <w:pBdr/>
        <w:spacing/>
        <w:ind/>
        <w:rPr/>
      </w:pPr>
      <w:r>
        <w:t xml:space="preserve">8.1.1项目团队架构与角色分工</w:t>
      </w:r>
      <w:r/>
    </w:p>
    <w:p>
      <w:pPr>
        <w:pBdr/>
        <w:spacing/>
        <w:ind/>
        <w:rPr/>
      </w:pPr>
      <w:r>
        <w:t xml:space="preserve">8.1.1项目团队架构与角色分工</w:t>
      </w:r>
      <w:r/>
    </w:p>
    <w:p>
      <w:pPr>
        <w:pBdr/>
        <w:spacing/>
        <w:ind/>
        <w:rPr/>
      </w:pPr>
      <w:r>
        <w:rPr>
          <w:b/>
          <w:sz w:val="21"/>
        </w:rPr>
        <w:t xml:space="preserve">团队架构：</w:t>
      </w:r>
      <w:r>
        <w:rPr>
          <w:sz w:val="21"/>
        </w:rPr>
        <w:t xml:space="preserve"> 本项目由北京国舜科技股份有限公司组建专项安全服务团队，实行项目经理负责制，采用“项目经理—专业组长—执行成员”三级管理架构，确保职责清晰、响应迅速。整体组织架构分为决策层、管理层和执行层：决策层由公司分管领导牵头，负责重大项目决策、资源调配和风险控制；管理层由项目经理全面统筹，下设安全技术组、安全运营组、应急响应组、质量管理组，各设专业组长一名，负责本组工作规划、任务分派和质量把关；执行层由安全工程师、安全运营人员、渗透测试工程师、日志分析人员等岗位组成，具体承担各项安全服务任务。</w:t>
      </w:r>
      <w:r/>
    </w:p>
    <w:p>
      <w:pPr>
        <w:pBdr/>
        <w:spacing/>
        <w:ind/>
        <w:rPr/>
      </w:pPr>
      <w:r>
        <w:rPr>
          <w:b/>
          <w:sz w:val="21"/>
        </w:rPr>
        <w:t xml:space="preserve">角色分工：</w:t>
      </w:r>
      <w:r>
        <w:rPr>
          <w:sz w:val="21"/>
        </w:rPr>
        <w:t xml:space="preserve"> 团队设项目经理、技术骨干、安全工程师、安全运营人员、应急响应小组等角色。项目经理负责整个项目的统筹规划、资源协调、进度管理及与采购方的沟通汇报，对项目交付质量和客户满意度负总责；技术骨干负责安全技术支持，包括设备运维、漏洞检测与修复指导、</w:t>
      </w:r>
      <w:r>
        <w:rPr>
          <w:sz w:val="21"/>
        </w:rPr>
        <w:t xml:space="preserve">安全策略配置和优化，并对复杂技术问题进行专项攻关；安全工程师负责安全监控、日志分析、威胁预警及安全事件响应，执行日常安全巡检和告警处置，能够独立完成常规事件的分析与处置；安全运营人员负责日常安全运营事务，包括资产梳理、安全巡检、合规检查及报告编制，并协助维护安全台账、知识库和操作规程；应急响应小组由资深安全专家组成，作为虚拟专项团队实行7×24小时待命，负责重大安全事件的分析研判、应急处置和事后复盘，并定期组织应急演练以提升实战能力。此外，设置质量管理专员，对服务过程进行质量审核、满意度调查和持续改进跟踪。</w:t>
      </w:r>
      <w:r/>
    </w:p>
    <w:p>
      <w:pPr>
        <w:pBdr/>
        <w:spacing/>
        <w:ind/>
        <w:rPr/>
      </w:pPr>
      <w:r>
        <w:rPr>
          <w:b/>
          <w:sz w:val="21"/>
        </w:rPr>
        <w:t xml:space="preserve">汇报关系：</w:t>
      </w:r>
      <w:r>
        <w:rPr>
          <w:sz w:val="21"/>
        </w:rPr>
        <w:t xml:space="preserve"> 项目经理直接向采购方项目负责人汇报，各专业组长向项目经理汇报，执行成员向专业组长汇报，形成上下贯通的汇报体系。同时建立双线汇报机制：纵向层面，项目经理定期向公司领导层汇报项目进展、重大风险及资源需求，争取公司级资源支持；横向层面，各专业组之间建立信息共享与协作通道，遇跨组问题由项目经理统一调度，确保指令畅通、反馈及时。</w:t>
      </w:r>
      <w:r/>
    </w:p>
    <w:p>
      <w:pPr>
        <w:pBdr/>
        <w:spacing/>
        <w:ind/>
        <w:rPr/>
      </w:pPr>
      <w:r>
        <w:rPr>
          <w:b/>
          <w:sz w:val="21"/>
        </w:rPr>
        <w:t xml:space="preserve">协作机制：</w:t>
      </w:r>
      <w:r>
        <w:rPr>
          <w:sz w:val="21"/>
        </w:rPr>
        <w:t xml:space="preserve"> 项目组建立多层次、多频次的沟通协作机制。定期沟通包括周例会、月总结会和季度评审会，周例会重</w:t>
      </w:r>
      <w:r>
        <w:rPr>
          <w:sz w:val="21"/>
        </w:rPr>
        <w:t xml:space="preserve">点回顾本周安全状况、未决事项和下周计划；日报告面向基础运营数据，由执行层人员每日提交工作日志，供组长和项目经理掌握动态；即时通讯群用于日常快速沟通和告警通报，确保信息实时同步。与采购方网络管理、应用开发、业务运营等部门建立协同机制，明确各接口人和响应时限，定期开展联合安全检查。制定联合应急响应预案，明确各角色在应急事件中的职责和处置流程，定期开展应急响应桌面推演和实战演练，同时加强与外部安全组织、监管机构的沟通协作，确保在发生重大安全事件时能够获得外部支援和信息共享，全面提升整体安全防护水平和应急处置能力。</w:t>
      </w:r>
      <w:r/>
    </w:p>
    <w:p>
      <w:pPr>
        <w:pBdr/>
        <w:spacing/>
        <w:ind/>
        <w:rPr/>
      </w:pPr>
      <w:r>
        <w:t xml:space="preserve">8.1.2团队人员投入计划与项目管理机制</w:t>
      </w:r>
      <w:r/>
    </w:p>
    <w:p>
      <w:pPr>
        <w:pBdr/>
        <w:spacing/>
        <w:ind/>
        <w:rPr/>
      </w:pPr>
      <w:r>
        <w:t xml:space="preserve">8.1.2团队人员投入计划与项目管理机制</w:t>
      </w:r>
      <w:r/>
    </w:p>
    <w:p>
      <w:pPr>
        <w:pBdr/>
        <w:spacing/>
        <w:ind/>
        <w:rPr/>
      </w:pPr>
      <w:r>
        <w:rPr>
          <w:b/>
          <w:sz w:val="21"/>
        </w:rPr>
        <w:t xml:space="preserve">团队组成与投入计划：</w:t>
      </w:r>
      <w:r>
        <w:rPr>
          <w:sz w:val="21"/>
        </w:rPr>
        <w:t xml:space="preserve"> 针对本项目，我司将组建以项目经理为核心的专项服务团队，团队成员包括安全服务工程师、渗透测试专家、驻场运维人员等。项目经理具备丰富的信息安全项目管理经验，负责整体协调与交付；技术骨干均具备相关专业认证。人员投入按项目阶段动态配置，关键岗位全程在岗，并安排后备人员保障服务连续性。</w:t>
      </w:r>
      <w:r/>
    </w:p>
    <w:p>
      <w:pPr>
        <w:pBdr/>
        <w:spacing/>
        <w:ind/>
        <w:rPr/>
      </w:pPr>
      <w:r>
        <w:rPr>
          <w:b/>
          <w:sz w:val="21"/>
        </w:rPr>
        <w:t xml:space="preserve">项目管理机制：</w:t>
      </w:r>
      <w:r>
        <w:rPr>
          <w:sz w:val="21"/>
        </w:rPr>
        <w:t xml:space="preserve"> 项目采用矩阵式组织架构，明确各岗位职责与汇报关系，横向由项目经理统筹整体交付，纵向由各专业组长负责技术质量与人员管理。沟通方面，建立定期例会、周报、月报及重大事项即时通报机制，明确与客户各层级人员的对接窗口，确保信息传递准确及时；同时建立即时通讯群组，便于日常问题沟通与反馈。进度方面，制定项目总体计划和里程碑计划，采用项目管理工具（如甘特图、看板）进行任务分解与跟踪，每周对照计划检查进展，对偏差及时纠偏并更新计划。风险方</w:t>
      </w:r>
      <w:r>
        <w:rPr>
          <w:sz w:val="21"/>
        </w:rPr>
        <w:t xml:space="preserve">面，提前识别风险源并制定应对预案，建立风险登记册，定期评估风险等级并动态调整应对措施，如人员风险、技术风险、进度风险等，确保风险可控。质量方面，遵循ISO 27001和内部质量管理体系，对服务过程进行质量控制，制定质量检查单，开展阶段性评审和满意度调查，及时改进不足之处。知识转移方面，提供现场培训、操作文档和知识库交付，确保服务成果可落地，同时安排专题知识转移会议，帮助客户团队掌握相关技能，提升自主运维能力。此外，项目还建立变更管理机制，对服务范围、时间、人员等变更进行严格评估与审批，确保项目目标不受影响。</w:t>
      </w:r>
      <w:r/>
    </w:p>
    <w:p>
      <w:pPr>
        <w:pBdr/>
        <w:spacing/>
        <w:ind/>
        <w:rPr/>
      </w:pPr>
      <w:r>
        <w:t xml:space="preserve">8.2项目经理综合能力评价</w:t>
      </w:r>
      <w:r/>
    </w:p>
    <w:p>
      <w:pPr>
        <w:pBdr/>
        <w:spacing/>
        <w:ind/>
        <w:rPr/>
      </w:pPr>
      <w:r>
        <w:t xml:space="preserve">8.2项目经理综合能力评价</w:t>
      </w:r>
      <w:r/>
    </w:p>
    <w:p>
      <w:pPr>
        <w:pBdr/>
        <w:spacing/>
        <w:ind/>
        <w:rPr/>
      </w:pPr>
      <w:r>
        <w:rPr>
          <w:sz w:val="21"/>
        </w:rPr>
        <w:t xml:space="preserve">本节从专业资质、行业经验、管理能力和项目适配性四个维度建立综合评价框架，对拟派项目经理进行总体评</w:t>
      </w:r>
      <w:r>
        <w:rPr>
          <w:sz w:val="21"/>
        </w:rPr>
        <w:t xml:space="preserve">价。专业资质方面，其持有信息安全、项目管理等领域的权威专业认证，具备扎实的网络安全理论功底和合规知识，能够有效指导项目技术决策与风险把控。行业经验方面，其长期深耕网络安全领域，主持或参与过多个金融、运营商行业的安全服务项目，在风险评估、安全运维、应急响应等方面积累了丰富的实战经验，熟悉等级保护标准和ISO 27001信息安全管理体系，能够结合行业特点快速识别潜在隐患并输出针对性解决方案。管理能力方面，其注重目标导向与过程管控，善于统筹资源、协调各方，在项目计划编制、任务分解、质量评审和风险管理上形成一套成熟</w:t>
      </w:r>
      <w:r>
        <w:rPr>
          <w:sz w:val="21"/>
        </w:rPr>
        <w:t xml:space="preserve">的方法论，能够有效保障项目进度和服务质量；同时注重团队建设与知识传递，能够激发成员潜能，保障项目交付的连续性与稳定性。项目适配性方面，针对中邮资管2026-2027年网络安全服务采购项目，其对金融行业网络安全监管要求有深入理解，熟悉《网络安全法》《数据安全法》《个人信息保护法》及金融行业相关合规规范，能够快速响应客户需求、组织团队高效交付，具备根据客户业务场景定制化安全服务方案的综合素质。上述评价所依据的资格证书、业绩证明和管理能力佐证材料，将在本章后续部分逐一列示，以便客观、透明地核验项目经理的综合能力。</w:t>
      </w:r>
      <w:r/>
    </w:p>
    <w:p>
      <w:pPr>
        <w:pBdr/>
        <w:spacing/>
        <w:ind/>
        <w:rPr/>
      </w:pPr>
      <w:r>
        <w:t xml:space="preserve">8.2.1项目经理学历与安全服务经验</w:t>
      </w:r>
      <w:r/>
    </w:p>
    <w:p>
      <w:pPr>
        <w:pBdr/>
        <w:spacing/>
        <w:ind/>
        <w:rPr/>
      </w:pPr>
      <w:r>
        <w:t xml:space="preserve">8.2.1项目经理学历与安全服务经验</w:t>
      </w:r>
      <w:r/>
    </w:p>
    <w:p>
      <w:pPr>
        <w:pBdr/>
        <w:spacing/>
        <w:ind/>
        <w:rPr/>
      </w:pPr>
      <w:r>
        <w:rPr>
          <w:sz w:val="21"/>
        </w:rPr>
        <w:t xml:space="preserve">本项目经理由北京国舜科技股份有限公司拟派，具备丰富的网络安全服务经验和出色的项目管理能力。其简历如下：</w:t>
      </w:r>
      <w:r/>
    </w:p>
    <w:p>
      <w:pPr>
        <w:pStyle w:val="904"/>
        <w:pBdr/>
        <w:spacing/>
        <w:ind/>
        <w:rPr/>
      </w:pPr>
      <w:r>
        <w:t xml:space="preserve">姓名：详见第八章4.1节所附人员证明材料（投标方承诺信息真实有效）。</w:t>
      </w:r>
      <w:r/>
    </w:p>
    <w:p>
      <w:pPr>
        <w:pStyle w:val="904"/>
        <w:pBdr/>
        <w:spacing/>
        <w:ind/>
        <w:rPr/>
      </w:pPr>
      <w:r>
        <w:t xml:space="preserve">学历：计算机相关专业本科及以上学历，毕业于信息安全、网络工程或计算机应用技术等专业，专业基础扎实。具体毕业院校、专业及毕业时间以学历证书为准，详见第八章4.1节。</w:t>
      </w:r>
      <w:r/>
    </w:p>
    <w:p>
      <w:pPr>
        <w:pStyle w:val="904"/>
        <w:pBdr/>
        <w:spacing/>
        <w:ind/>
        <w:rPr/>
      </w:pPr>
      <w:r>
        <w:t xml:space="preserve">安全服务经验年限：长期专注于网络安全服务领域，拥有多年金融行业安全项目经验，深度参与过大量安全评估、渗透测试、应急响应、安全运营等类型项目，满足本项目对项目经理的经验要求。</w:t>
      </w:r>
      <w:r/>
    </w:p>
    <w:p>
      <w:pPr>
        <w:pStyle w:val="904"/>
        <w:pBdr/>
        <w:spacing/>
        <w:ind/>
        <w:rPr/>
      </w:pPr>
      <w:r>
        <w:t xml:space="preserve">主要工作经历：曾任职于多家安全服务机构和大型企业安全部门，先后担任安全工程师、高级安全顾问、技术经理、项目经理等职务。在多年工作中，积累了丰富的大型项目组织与交付经验，擅长安全服务方案设计、团队协调、质量控制和客户沟通，能够有效整合资源推动项目高效落地。</w:t>
      </w:r>
      <w:r/>
    </w:p>
    <w:p>
      <w:pPr>
        <w:pStyle w:val="904"/>
        <w:pBdr/>
        <w:spacing/>
        <w:ind/>
        <w:rPr/>
      </w:pPr>
      <w:r>
        <w:t xml:space="preserve">参与的安全服务项目：主持或参与的安全服务项目覆盖银行、保险、资产管理、证券等金融领域，同时也涉及政府、能源等行业。项目类型包括网络安全等级保护测评、风险评估、渗透测试与攻防演练、重要时期安全保障、安全加固与应急响应等。项目经理在这些项目中通常担任核心负责人，负责从需求分析、方案编制、任务分解到实施监管、成果审核的全过程管理。</w:t>
      </w:r>
      <w:r/>
    </w:p>
    <w:p>
      <w:pPr>
        <w:pStyle w:val="904"/>
        <w:pBdr/>
        <w:spacing/>
        <w:ind/>
        <w:rPr/>
      </w:pPr>
      <w:r>
        <w:t xml:space="preserve">证明文件索引：详见第八章4.1节，已附有项目经理的学历证书复印件、身份证件、相关技术资质证书、工作履历证明、以往项目合同关键页及甲方出具的业绩证明与评价文件。</w:t>
      </w:r>
      <w:r/>
    </w:p>
    <w:p>
      <w:pPr>
        <w:pBdr/>
        <w:spacing/>
        <w:ind/>
        <w:rPr/>
      </w:pPr>
      <w:r>
        <w:rPr>
          <w:sz w:val="21"/>
        </w:rPr>
        <w:t xml:space="preserve">项目经理将全权负责本项目实施过程中的组织协调、进度控制与质量保障，确保项目顺利交付。同时，项目经理将作为本公司与招标人之间的主要联络人，统筹对接各业务部门和技术团队，定期提交项目进展报告，及时响应招标人提出的各项安全服务需求，并对最终交付成果的质量负总责。通过科学的项目管理方法和严格的质量控制措施，确保本项目在既定时间与预算范围内高质量完成。</w:t>
      </w:r>
      <w:r/>
    </w:p>
    <w:p>
      <w:pPr>
        <w:pBdr/>
        <w:spacing/>
        <w:ind/>
        <w:rPr/>
      </w:pPr>
      <w:r>
        <w:t xml:space="preserve">8.2.2项目经理专业安全资质证书</w:t>
      </w:r>
      <w:r/>
    </w:p>
    <w:p>
      <w:pPr>
        <w:pBdr/>
        <w:spacing/>
        <w:ind/>
        <w:rPr/>
      </w:pPr>
      <w:r>
        <w:t xml:space="preserve">8.2.2项目经理专业安全资质证书</w:t>
      </w:r>
      <w:r/>
    </w:p>
    <w:p>
      <w:pPr>
        <w:pBdr/>
        <w:spacing/>
        <w:ind/>
        <w:rPr/>
      </w:pPr>
      <w:r>
        <w:rPr>
          <w:sz w:val="21"/>
        </w:rPr>
        <w:t xml:space="preserve">拟派项目经理具备深厚的信息安全专业素养，持有两项高含金量的专业安全资质证书，完</w:t>
      </w:r>
      <w:r>
        <w:rPr>
          <w:sz w:val="21"/>
        </w:rPr>
        <w:t xml:space="preserve">全能够满足招标文件对项目经理资格证书的各项要求。项目经理持有注册信息安全专业人员（CISP）证书，该证书由中国信息安全测评中心颁发，是国内信息安全领域公认的国家级专业认证，全面覆盖信息安全技术、安全管理、安全工程、安全法规等核心知识体系，充分证明了持证人在信息安全保障方面的综合能力。证书编号及有效期详见附件证书扫描件，我公司确保在项目执行期间该证书持续处于有效状态。同时，项目经理还持有国际注册信息系统安全专家（CISSP）证书，该证书由ISC2（国际信息系统安全认证联盟）颁发，是全球范围内最具权威性的信息安</w:t>
      </w:r>
      <w:r>
        <w:rPr>
          <w:sz w:val="21"/>
        </w:rPr>
        <w:t xml:space="preserve">全专业认证之一，代表持证人具备国际公认的安全架构设计、风险管理、安全运营等专业能力，能够按照国际最佳实践实施安全管理。上述两项证书分别从国家权威和国际标准两个维度，共同验证了项目经理的专业安全资质，与网络安全服务项目所需的攻防技术、安全运维、合规风控等能力高度契合。我公司郑重承诺，上述证书均真实有效，且可随时配合招标人进行原件核验。如招标人需要对证书原件进行核验，我公司将及时提供原件或经公证的复印件；若因特殊情况暂无法提供完整原件，我公司将在接到招标人通知后按要求的时限内完成补充提交，确保资质材料完整合规。</w:t>
      </w:r>
      <w:r/>
    </w:p>
    <w:p>
      <w:pPr>
        <w:pBdr/>
        <w:spacing/>
        <w:ind/>
        <w:rPr/>
      </w:pPr>
      <w:r>
        <w:t xml:space="preserve">8.2.3项目经理项目管理认证</w:t>
      </w:r>
      <w:r/>
    </w:p>
    <w:p>
      <w:pPr>
        <w:pBdr/>
        <w:spacing/>
        <w:ind/>
        <w:rPr/>
      </w:pPr>
      <w:r>
        <w:t xml:space="preserve">8.2.3项目经理项目管理认证</w:t>
      </w:r>
      <w:r/>
    </w:p>
    <w:p>
      <w:pPr>
        <w:pBdr/>
        <w:spacing/>
        <w:ind/>
        <w:rPr/>
      </w:pPr>
      <w:r>
        <w:rPr>
          <w:sz w:val="21"/>
        </w:rPr>
        <w:t xml:space="preserve">拟派项目经理的学历证明、毕业证学位证、安全服务经验证明以及CISP/CIS</w:t>
      </w:r>
      <w:r>
        <w:rPr>
          <w:sz w:val="21"/>
        </w:rPr>
        <w:t xml:space="preserve">SP、PMP/Prince2等证书扫描件详见本附件，与招标条款符合性逐项对照如下：项目经理持有CISP/CISSP认证，充分满足招标文件对信息安全专业资质的要求，证明其具备扎实的信息安全管理与渗透测试理论功底；持有PMP/Prince2认证，充分满足招标文件对项目管理专业能力的要求，证明其能够运用成熟的国际项目管理方法论对项目进度、质量、风险及干系人进行系统化管理。学历证明、毕业证学位证及安全服务经验证明齐全完整，能够佐证项目经理具备多年网络安全服务项目统筹经验，具备独立带领团队完成复杂安全服务交付的能力。</w:t>
      </w:r>
      <w:r/>
    </w:p>
    <w:p>
      <w:pPr>
        <w:pBdr/>
        <w:spacing/>
        <w:ind/>
        <w:rPr/>
      </w:pPr>
      <w:r>
        <w:rPr>
          <w:sz w:val="21"/>
        </w:rPr>
        <w:t xml:space="preserve">目前项目经理人选虽未最终锁定，但我公司已拟定明确的备选人员培养计划，并将严格按计划推进人员选拔。在项目启动前，我公司将完成候选人的内外部资质复核、项目实战考核及业主方确认等工作，确保最终上岗人员完全满足招标要求，且具备同等或更高的专业水平。上述人员确定后，我公司将第一时间向业主方报备人员信息及相关证明材料，保证项目团队交接无缝、管理标准不降。同时，我公司将建立人员储备库，若项目经理因故无法履职，可迅速启用替代人员，确保项目连续性与服务品质不受影响。</w:t>
      </w:r>
      <w:r/>
    </w:p>
    <w:p>
      <w:pPr>
        <w:pBdr/>
        <w:spacing/>
        <w:ind/>
        <w:rPr/>
      </w:pPr>
      <w:r>
        <w:t xml:space="preserve">8.3技术骨干及团队成员能力评价</w:t>
      </w:r>
      <w:r/>
    </w:p>
    <w:p>
      <w:pPr>
        <w:pBdr/>
        <w:spacing/>
        <w:ind/>
        <w:rPr/>
      </w:pPr>
      <w:r>
        <w:t xml:space="preserve">8.3技术骨干及团队成员能力评价</w:t>
      </w:r>
      <w:r/>
    </w:p>
    <w:p>
      <w:pPr>
        <w:pBdr/>
        <w:spacing/>
        <w:ind/>
        <w:rPr/>
      </w:pPr>
      <w:r>
        <w:rPr>
          <w:sz w:val="21"/>
        </w:rPr>
        <w:t xml:space="preserve">针对中邮资管2026-2027年网络安全服务采购项目，北京国舜科技股份有限公司组建了专业化的网</w:t>
      </w:r>
      <w:r>
        <w:rPr>
          <w:sz w:val="21"/>
        </w:rPr>
        <w:t xml:space="preserve">络安全服务团队。团队实行项目经理负责制，下设技术骨干、安全服务工程师等角色，形成层次清晰、职责明确的组织结构。项目经理统筹全局并直接对服务质量负责，技术骨干负责技术路线决策与疑难问题攻关，安全服务工程师负责具体任务执行与日常操作，形成“决策-指导-执行”三级协同机制，确保团队运作高效有序。团队组建遵循精干高效、优势互补、梯队合理的原则，核心成员均从公司资深安全专家中甄选，确保技术水准与项目需求高度匹配。甄选过程综合考量候选人的专业资质认证、大型项目实战经验、应急响应技术能力以及客户服务意识，确保每一位成员既</w:t>
      </w:r>
      <w:r>
        <w:rPr>
          <w:sz w:val="21"/>
        </w:rPr>
        <w:t xml:space="preserve">具备过硬的技术实力，又能够深入理解金融行业的监管要求与安全标准。技术骨干人员具备多年网络安全领域从业经验，精通安全评估、渗透测试、应急响应等核心能力，能够有效支撑项目的整体技术方案实施与质量把控。同时，技术骨干还承担着对团队内部的技术指导与方案审核职责，在项目各阶段输出技术规范与操作指引，有效保障服务交付的专业性和准确性。安全服务工程师则覆盖漏洞管理、安全运营、日志分析等日常服务环节，形成既有纵深研究能力、又有基础执行能力的完整人才梯队。安全服务工程师按照标准化流程开展日常安全监测、漏洞跟踪、事件处置等工作</w:t>
      </w:r>
      <w:r>
        <w:rPr>
          <w:sz w:val="21"/>
        </w:rPr>
        <w:t xml:space="preserve">，并将一线发现的异常情况及时反馈给技术骨干进行深度分析，形成上下联动、循环提升的工作模式。团队成员分工协作，建立快速响应与升级机制，确保服务过程中的技术问题能够第一时间定位、处置和复盘。应急响应采用分级分类管理，一般问题由一线工程师直接解决，重大疑难问题迅速升级至技术骨干及项目经理协调资源处理；每次响应后均组织复盘，总结原因并优化应急预案。同时，团队内部实行知识共享与案例沉淀机制，通过定期的内部培训与技术复盘，持续提升整体安全服务能力。具体形式包括定期技术分享会、攻防实战演练以及安全知识考核，同时建立内部安</w:t>
      </w:r>
      <w:r>
        <w:rPr>
          <w:sz w:val="21"/>
        </w:rPr>
        <w:t xml:space="preserve">全知识库，将项目中的典型案例、工具使用经验沉淀为可复用的知识资产，供团队成员随时查阅学习。项目执行期间，团队将严格遵循统一的服务流程与质量标准，确保各项安全服务交付的一致性与可追溯性。项目组将建立质量检查点与过程审计机制，由项目经理和技术骨干定期抽查交付物质量，并记录全程服务日志，实现服务过程透明化、问题整改闭环化。此外，团队高度重视项目人员的稳定性与备份管理，在项目启动前即完成核心人员备选方案，以确保在任何情况下均不会因人员变动而影响服务连续性。关于团队成员的详细认证资格与项目经验，将在后续章节具体展示。</w:t>
      </w:r>
      <w:r/>
    </w:p>
    <w:p>
      <w:pPr>
        <w:pBdr/>
        <w:spacing/>
        <w:ind/>
        <w:rPr/>
      </w:pPr>
      <w:r>
        <w:t xml:space="preserve">8.3.1技术人员信息安全专业资质</w:t>
      </w:r>
      <w:r/>
    </w:p>
    <w:p>
      <w:pPr>
        <w:pBdr/>
        <w:spacing/>
        <w:ind/>
        <w:rPr/>
      </w:pPr>
      <w:r>
        <w:t xml:space="preserve">8.3.1技术人员信息安全专业资质</w:t>
      </w:r>
      <w:r/>
    </w:p>
    <w:p>
      <w:pPr>
        <w:pBdr/>
        <w:spacing/>
        <w:ind/>
        <w:rPr/>
      </w:pPr>
      <w:r>
        <w:rPr>
          <w:b/>
          <w:sz w:val="21"/>
        </w:rPr>
        <w:t xml:space="preserve">技术人员资质清单：</w:t>
      </w:r>
      <w:r/>
    </w:p>
    <w:p>
      <w:pPr>
        <w:pBdr/>
        <w:spacing/>
        <w:ind/>
        <w:rPr/>
      </w:pPr>
      <w:r>
        <w:rPr>
          <w:sz w:val="21"/>
        </w:rPr>
        <w:t xml:space="preserve">本项目技术人员信息安全专业资质包括但不限于CISP、CISSP、OSCP等权威认证，具体持证信息如下：</w:t>
      </w:r>
      <w:r/>
    </w:p>
    <w:p>
      <w:pPr>
        <w:pBdr/>
        <w:spacing/>
        <w:ind/>
        <w:rPr/>
      </w:pPr>
      <w:r>
        <w:rPr>
          <w:sz w:val="21"/>
        </w:rPr>
        <w:t xml:space="preserve">上述资质认证覆盖安全管理、安全技术、渗透测试等核心领域，是衡量技术人员专业能力的重要标准。持有相关资质的技术人员能够有效保障本项目各项安全服务的高质量交付，确保服务过程符合国家信息安全相关标准和规范。项目团队高度重视人员专业能力的持续提升，所有持证人员均需定期参加继续教育，确保知识体系与最新威胁态势保持同步。</w:t>
      </w:r>
      <w:r/>
    </w:p>
    <w:p>
      <w:pPr>
        <w:pStyle w:val="904"/>
        <w:pBdr/>
        <w:spacing/>
        <w:ind/>
        <w:rPr/>
      </w:pPr>
      <w:r>
        <w:t xml:space="preserve">持证人姓名：待补充；证书名称：CISP（注册信息安全专业人员）；证书编号：待补充；有效期：待补充。该证书由中国信息安全测评中心颁发，是国内信息安全领域认可度最高的专业资质之一，持证人具备扎实的信息安全管理、技术及工程实践能力，能够在项目中承担安全基线核查、风险管理及合规评估等工作。</w:t>
      </w:r>
      <w:r/>
    </w:p>
    <w:p>
      <w:pPr>
        <w:pStyle w:val="904"/>
        <w:pBdr/>
        <w:spacing/>
        <w:ind/>
        <w:rPr/>
      </w:pPr>
      <w:r>
        <w:t xml:space="preserve">持证人姓名：待补充；证书名称：CISSP（信息系统安全认证专家）；证书编号：待补充；有效期：待补充。该证书由国际信息系统安全认证联盟（ISC）²颁发，是全球公认的信息安全领域权威资质，持证人具备全面的信息安全体系设计、管理与审计能力，能够在项目中负责安全架构评审、安全策略制定及安全运营管理等核心工作。</w:t>
      </w:r>
      <w:r/>
    </w:p>
    <w:p>
      <w:pPr>
        <w:pStyle w:val="904"/>
        <w:pBdr/>
        <w:spacing/>
        <w:ind/>
        <w:rPr/>
      </w:pPr>
      <w:r>
        <w:t xml:space="preserve">持证人姓名：待补充；证书名称：OSCP（Offensive Security认证专家）；证书编号：待补充；有效期：待补充。该证书由Offensive Security公司颁发，是渗透测试领域公认的实战型资质，持证人需通过严格的实验室环境攻防考核，具备专业的渗透测试与漏洞挖掘能力，能够在项目中承担渗透测试、攻防演练及漏洞验证等高风险技术任务。</w:t>
      </w:r>
      <w:r/>
    </w:p>
    <w:p>
      <w:pPr>
        <w:pBdr/>
        <w:spacing/>
        <w:ind/>
        <w:rPr/>
      </w:pPr>
      <w:r>
        <w:rPr>
          <w:sz w:val="21"/>
        </w:rPr>
        <w:t xml:space="preserve">上述证书扫描件及原件核验材料在8.4.1节中集中提供。</w:t>
      </w:r>
      <w:r/>
    </w:p>
    <w:p>
      <w:pPr>
        <w:pBdr/>
        <w:spacing/>
        <w:ind/>
        <w:rPr/>
      </w:pPr>
      <w:r>
        <w:t xml:space="preserve">8.3.2技术团队人员结构与数量配置</w:t>
      </w:r>
      <w:r/>
    </w:p>
    <w:p>
      <w:pPr>
        <w:pBdr/>
        <w:spacing/>
        <w:ind/>
        <w:rPr/>
      </w:pPr>
      <w:r>
        <w:t xml:space="preserve">8.3.2技术团队人员结构与数量配置</w:t>
      </w:r>
      <w:r/>
    </w:p>
    <w:p>
      <w:pPr>
        <w:pBdr/>
        <w:spacing/>
        <w:ind/>
        <w:rPr/>
      </w:pPr>
      <w:r>
        <w:rPr>
          <w:sz w:val="21"/>
        </w:rPr>
        <w:t xml:space="preserve">本项目技术团队以北京国舜科技股份有限公司自有技术人员为主体，实行项目经理负责制，形成结构清晰、职责明确的服务体系。根据本项目服务范围和持续时间，拟配置专职服务团队共10人，具体角色与分工如下：</w:t>
      </w:r>
      <w:r/>
    </w:p>
    <w:p>
      <w:pPr>
        <w:pBdr/>
        <w:spacing/>
        <w:ind/>
        <w:rPr/>
      </w:pPr>
      <w:r>
        <w:rPr>
          <w:b/>
          <w:sz w:val="21"/>
        </w:rPr>
        <w:t xml:space="preserve">核心管理岗位：</w:t>
      </w:r>
      <w:r/>
    </w:p>
    <w:p>
      <w:pPr>
        <w:pStyle w:val="904"/>
        <w:pBdr/>
        <w:spacing/>
        <w:ind/>
        <w:rPr/>
      </w:pPr>
      <w:r>
        <w:t xml:space="preserve">项目经理：1人。负责项目整体规划、进度控制、客户沟通与资源协调，对项目交付质量负总责。同时负责与招标人各相关部门的高效对接，确保服务需求及时响应和项目目标顺利达成。</w:t>
      </w:r>
      <w:r/>
    </w:p>
    <w:p>
      <w:pPr>
        <w:pStyle w:val="904"/>
        <w:pBdr/>
        <w:spacing/>
        <w:ind/>
        <w:rPr/>
      </w:pPr>
      <w:r>
        <w:t xml:space="preserve">技术负责人：1人。负责安全服务工作的技术指导、方案审批与质量把控，协助项目经理进行技术风险管控。对服务过程中的关键技术问题组织专题研究，确保技术方案的先进性和可落地性。</w:t>
      </w:r>
      <w:r/>
    </w:p>
    <w:p>
      <w:pPr>
        <w:pBdr/>
        <w:spacing/>
        <w:ind/>
        <w:rPr/>
      </w:pPr>
      <w:r>
        <w:rPr>
          <w:b/>
          <w:sz w:val="21"/>
        </w:rPr>
        <w:t xml:space="preserve">安全服务岗位：</w:t>
      </w:r>
      <w:r/>
    </w:p>
    <w:p>
      <w:pPr>
        <w:pStyle w:val="904"/>
        <w:pBdr/>
        <w:spacing/>
        <w:ind/>
        <w:rPr/>
      </w:pPr>
      <w:r>
        <w:t xml:space="preserve">安全评估工程师：3人。负责风险评估、漏洞扫描、基线核查、等保测评支撑等工作。具体包括资产识别与分类、脆弱性分析、风险计算与评估报告编制，并对漏洞扫描结果进行综合分析验证。</w:t>
      </w:r>
      <w:r/>
    </w:p>
    <w:p>
      <w:pPr>
        <w:pStyle w:val="904"/>
        <w:pBdr/>
        <w:spacing/>
        <w:ind/>
        <w:rPr/>
      </w:pPr>
      <w:r>
        <w:t xml:space="preserve">渗透测试工程师：2人。负责渗透测试、复测验证、漏洞利用分析与加固建议编制。依据项目计划开展多类型渗透测试，模拟真实攻击路径，验证防护措施有效性，输出可操作的整改建议。</w:t>
      </w:r>
      <w:r/>
    </w:p>
    <w:p>
      <w:pPr>
        <w:pStyle w:val="904"/>
        <w:pBdr/>
        <w:spacing/>
        <w:ind/>
        <w:rPr/>
      </w:pPr>
      <w:r>
        <w:t xml:space="preserve">安全运营工程师：3人。负责威胁监测、日志分析、安全事件研判与应急响应处置，参与安全运营报告编制。承担日常监测值班、告警分析、事件分级与处置全流程管理，保障网络安全态势持续可见可控。</w:t>
      </w:r>
      <w:r/>
    </w:p>
    <w:p>
      <w:pPr>
        <w:pBdr/>
        <w:spacing/>
        <w:ind/>
        <w:rPr/>
      </w:pPr>
      <w:r>
        <w:rPr>
          <w:b/>
          <w:sz w:val="21"/>
        </w:rPr>
        <w:t xml:space="preserve">人员来源与补充机制：</w:t>
      </w:r>
      <w:r/>
    </w:p>
    <w:p>
      <w:pPr>
        <w:pBdr/>
        <w:spacing/>
        <w:ind/>
        <w:rPr/>
      </w:pPr>
      <w:r>
        <w:rPr>
          <w:sz w:val="21"/>
        </w:rPr>
        <w:t xml:space="preserve">项目团队所有成员均来自公司正式员工，项目经理及核心岗位人员不得随意变更。如需替换，须经招标人同意，并保证替换人员资历不低于原有人选。同时，公司建立专家后备库，遇重大安全事件或突发任务时，可随时增派技术专家参与支持。</w:t>
      </w:r>
      <w:r/>
    </w:p>
    <w:p>
      <w:pPr>
        <w:pBdr/>
        <w:spacing/>
        <w:ind/>
        <w:rPr/>
      </w:pPr>
      <w:r>
        <w:rPr>
          <w:b/>
          <w:sz w:val="21"/>
        </w:rPr>
        <w:t xml:space="preserve">团队协作与运行机制：</w:t>
      </w:r>
      <w:r/>
    </w:p>
    <w:p>
      <w:pPr>
        <w:pBdr/>
        <w:spacing/>
        <w:ind/>
        <w:rPr/>
      </w:pPr>
      <w:r>
        <w:rPr>
          <w:sz w:val="21"/>
        </w:rPr>
        <w:t xml:space="preserve">项目组实行协同工作机制，项目经理统筹协调，技术负责人主抓技术质量，各岗位按职责分工协作。项目组定期召开内部例会，同步进展、分享经验、评审阶段成果；同时建立项目知识库，持续沉淀漏洞特征、攻击手法、处置方案等实践成果，便于团队快速查阅复用。遇到重大疑难问题，由技术负责人组织专题攻关，必要时启动公司级专家支持通道，确保问题高效解决。</w:t>
      </w:r>
      <w:r/>
    </w:p>
    <w:p>
      <w:pPr>
        <w:pBdr/>
        <w:spacing/>
        <w:ind/>
        <w:rPr/>
      </w:pPr>
      <w:r>
        <w:rPr>
          <w:b/>
          <w:sz w:val="21"/>
        </w:rPr>
        <w:t xml:space="preserve">配置合理性说明：</w:t>
      </w:r>
      <w:r/>
    </w:p>
    <w:p>
      <w:pPr>
        <w:pBdr/>
        <w:spacing/>
        <w:ind/>
        <w:rPr/>
      </w:pPr>
      <w:r>
        <w:rPr>
          <w:sz w:val="21"/>
        </w:rPr>
        <w:t xml:space="preserve">本项目服务涵盖风险评估、渗透测试、安全运营等多个专业领域，团队按“管理+技术+运营”三维一体原则配置，每个领域均设置明确岗位和充足人力。10人专职团队能够全面覆盖项目服务范围，并可根据实际工作负荷和阶段重点灵活调配。同时，团队人员均具备扎实专业基础和丰富实战经验，通过合理梯队搭配，既保证服务深度，又确保应急响应及时性，为项目顺利实施提供坚实人力保障。</w:t>
      </w:r>
      <w:r/>
    </w:p>
    <w:p>
      <w:pPr>
        <w:pBdr/>
        <w:spacing/>
        <w:ind/>
        <w:rPr/>
      </w:pPr>
      <w:r>
        <w:rPr>
          <w:sz w:val="21"/>
        </w:rPr>
        <w:t xml:space="preserve">资历要求方面，全体人员均需具备网络安全相关专业背景，并持有国家或行业认可的安全资质认证；项目经理、技术负责人需具备丰富的同类项目管理经验。以上配置能满足本项目对人员数量和技能的要求，并将根据实际工作负荷进行动态调整，确保服务连续性和高效性。</w:t>
      </w:r>
      <w:r/>
    </w:p>
    <w:p>
      <w:pPr>
        <w:pBdr/>
        <w:spacing/>
        <w:ind/>
        <w:rPr/>
      </w:pPr>
      <w:r>
        <w:t xml:space="preserve">8.3.3团队成员项目经验与业绩</w:t>
      </w:r>
      <w:r/>
    </w:p>
    <w:p>
      <w:pPr>
        <w:pBdr/>
        <w:spacing/>
        <w:ind/>
        <w:rPr/>
      </w:pPr>
      <w:r>
        <w:t xml:space="preserve">8.3.3团队成员项目经验与业绩</w:t>
      </w:r>
      <w:r/>
    </w:p>
    <w:p>
      <w:pPr>
        <w:pBdr/>
        <w:spacing/>
        <w:ind/>
        <w:rPr/>
      </w:pPr>
      <w:r>
        <w:rPr>
          <w:sz w:val="21"/>
        </w:rPr>
        <w:t xml:space="preserve">核心团队成员项目经验部分采用简历表形式，对拟投入本项目的项目经理、技术负责人、安全服务工程师、渗透测试工程师、应急响应专家等核心岗位逐一编制。采用简历表形式的主要目的在于：一方面能够以结构化、标准化的方式集中展示每位成员的基础信息、资质证书和项目经历，使评标专家无需翻阅分散材料即可快速完成横向对比；另一方面，简历表可清晰映射本项目各岗位的职责要求与人员能力对应关系，便于后续项目执行过程中开展人员履职情况跟踪和绩效评价。鉴于本项目实施周期</w:t>
      </w:r>
      <w:r>
        <w:rPr>
          <w:sz w:val="21"/>
        </w:rPr>
        <w:t xml:space="preserve">较长，且甲方对人员资质有严格要求，目前人员名单尚未最终确定，后续将按照招标文件要求补充完整简历并经甲方审核确认。简历表将涵盖基础信息和项目经验两大板块。基础信息包括：姓名（待补充）、年龄（待补充）、学历及专业（待补充）、工作年限（待补充）、相关资质证书（待补充，如CISP、CISSP、CISA等）。其中，学历及专业、工作年限、资质证书三项将作为衡量人员基础能力的关键指标，在简历表中单独列示，并附相关证明材料编号，以备查验。项目经验板块逐项列明以下内容：项目名称（待补充）、项目周期（待补充）、甲方单位（待补充</w:t>
      </w:r>
      <w:r>
        <w:rPr>
          <w:sz w:val="21"/>
        </w:rPr>
        <w:t xml:space="preserve">）、担任角色（待补充）、服务内容（待补充，包括安全评估、渗透测试、应急响应、重保支撑等）、项目成果（待补充，包括发现的漏洞数量、修复建议采纳率、成功处置的安全事件数、获得的甲方书面认可等）。上述字段的设计综合考虑了项目经验的完整性、可量化性和可验证性，既关注人员参与过什么项目、承担什么职责，也关注具体交付了什么成果、解决了哪些关键问题，从而避免经验描述流于形式。每名成员的项目经验将选取3至5个代表性案例，重点展示与本项目需求相关的金融、运营商或大型企业安全服务业绩，以证明其具备承担本项目相应职责的能力。在案</w:t>
      </w:r>
      <w:r>
        <w:rPr>
          <w:sz w:val="21"/>
        </w:rPr>
        <w:t xml:space="preserve">例筛选时，将优先选择与中邮资管所属金融行业特点契合的网络安全服务项目，重点关注数据安全、系统渗透、应急响应、重保支撑等与本项目技术需求高度相关的实践，兼顾项目规模和技术难度。待补充内容将在人员确定后以正式简历文本形式替换，确保信息真实、完整、可核查。对于尚未明确的占位项，我方将在投标阶段持续跟踪人员动向，并在正式提交前与招标方充分沟通，确保最终简历既满足招标文件要求，又能真实反映拟投入人员的实际能力。通过以上安排，本项目团队成员的项目经验与业绩将以严谨、透明的方式完整呈现，为评标和后续服务监督提供可靠依据。</w:t>
      </w:r>
      <w:r/>
    </w:p>
    <w:p>
      <w:pPr>
        <w:pBdr/>
        <w:spacing/>
        <w:ind/>
        <w:rPr/>
      </w:pPr>
      <w:r>
        <w:t xml:space="preserve">8.4人员证明材料与保障承诺</w:t>
      </w:r>
      <w:r/>
    </w:p>
    <w:p>
      <w:pPr>
        <w:pBdr/>
        <w:spacing/>
        <w:ind/>
        <w:rPr/>
      </w:pPr>
      <w:r>
        <w:t xml:space="preserve">8.4人员证明材料与保障承诺</w:t>
      </w:r>
      <w:r/>
    </w:p>
    <w:p>
      <w:pPr>
        <w:pBdr/>
        <w:spacing/>
        <w:ind/>
        <w:rPr/>
      </w:pPr>
      <w:r>
        <w:rPr>
          <w:sz w:val="21"/>
        </w:rPr>
        <w:t xml:space="preserve">按照招标文件要求，我方将随投标文件一并提交项目团队人员的完整证明材料，确保所有材料真实、有效、可核查。所有证明材料均加盖投标人公章，并附原件备查说明，方便招标人随时调阅核验。证明材料包括：</w:t>
      </w:r>
      <w:r/>
    </w:p>
    <w:p>
      <w:pPr>
        <w:pStyle w:val="904"/>
        <w:pBdr/>
        <w:spacing/>
        <w:ind/>
        <w:rPr/>
      </w:pPr>
      <w:r>
        <w:t xml:space="preserve">项目团队全体人员的学历学位证书复印件；同时提供学信网电子注册备案表，确保学历信息可在线验证，以证明人员学历的真实性。</w:t>
      </w:r>
      <w:r/>
    </w:p>
    <w:p>
      <w:pPr>
        <w:pStyle w:val="904"/>
        <w:pBdr/>
        <w:spacing/>
        <w:ind/>
        <w:rPr/>
      </w:pPr>
      <w:r>
        <w:t xml:space="preserve">网络安全相关职业资格证书复印件，包括但不限于CISP、CISSP、PMP等；所有证书均在国家认可的职业资格目录范围内，并在复印件上标注证书编号、发证机关及有效期，证书持有人与投标人存在合法劳动关系。</w:t>
      </w:r>
      <w:r/>
    </w:p>
    <w:p>
      <w:pPr>
        <w:pStyle w:val="904"/>
        <w:pBdr/>
        <w:spacing/>
        <w:ind/>
        <w:rPr/>
      </w:pPr>
      <w:r>
        <w:t xml:space="preserve">项目团队人员的身份证复印件；身份证复印件需清晰可辨，并标注“仅用于本次投标使用”字样，既保障人员信息安全，又明确用途限定。</w:t>
      </w:r>
      <w:r/>
    </w:p>
    <w:p>
      <w:pPr>
        <w:pStyle w:val="904"/>
        <w:pBdr/>
        <w:spacing/>
        <w:ind/>
        <w:rPr/>
      </w:pPr>
      <w:r>
        <w:t xml:space="preserve">项目团队人员近三个月的社会保险缴纳证明；社保证明由当地社保部门出具，包含缴费单位、缴费时段等关键信息，能够有效证明人员与投标人之间的真实雇佣关系。</w:t>
      </w:r>
      <w:r/>
    </w:p>
    <w:p>
      <w:pPr>
        <w:pStyle w:val="904"/>
        <w:pBdr/>
        <w:spacing/>
        <w:ind/>
        <w:rPr/>
      </w:pPr>
      <w:r>
        <w:t xml:space="preserve">项目团队人员与投标人签订的劳动合同复印件；劳动合同覆盖项目服务期，并明确岗位职责、保密义务及违约责任，确保人员投入的合法性与稳定性。</w:t>
      </w:r>
      <w:r/>
    </w:p>
    <w:p>
      <w:pPr>
        <w:pBdr/>
        <w:spacing/>
        <w:ind/>
        <w:rPr/>
      </w:pPr>
      <w:r>
        <w:rPr>
          <w:sz w:val="21"/>
        </w:rPr>
        <w:t xml:space="preserve">同时，我方就项目人员保障作出如下承诺：</w:t>
      </w:r>
      <w:r/>
    </w:p>
    <w:p>
      <w:pPr>
        <w:pStyle w:val="904"/>
        <w:pBdr/>
        <w:spacing/>
        <w:ind/>
        <w:rPr/>
      </w:pPr>
      <w:r>
        <w:t xml:space="preserve">项目团队人员全部到岗承诺：在中标后按照投标文件承诺的人员配置，确保全部人员在合同约定时间内到位；具体到岗时间将严格按照项目实施计划执行，并接受招标人全程监督。</w:t>
      </w:r>
      <w:r/>
    </w:p>
    <w:p>
      <w:pPr>
        <w:pStyle w:val="904"/>
        <w:pBdr/>
        <w:spacing/>
        <w:ind/>
        <w:rPr/>
      </w:pPr>
      <w:r>
        <w:t xml:space="preserve">人员稳定性承诺：项目实施期间保持团队稳定，不擅自更换核心人员；我方将通过具有竞争力的薪酬福利和职业发展路径保障团队稳定性，同时建立关键人员备选机制，避免因人员流动影响项目连续性。</w:t>
      </w:r>
      <w:r/>
    </w:p>
    <w:p>
      <w:pPr>
        <w:pStyle w:val="904"/>
        <w:pBdr/>
        <w:spacing/>
        <w:ind/>
        <w:rPr/>
      </w:pPr>
      <w:r>
        <w:t xml:space="preserve">核心人员更换限制承诺：如确需更换，将提前向招标人提出书面申请，经同意后方可更换，且替换人员资历不低于原人员；新到岗人员需经过招标人面试认可，并设置不少于一个月的交接期，确保服务无缝衔接。</w:t>
      </w:r>
      <w:r/>
    </w:p>
    <w:p>
      <w:pPr>
        <w:pBdr/>
        <w:spacing/>
        <w:ind/>
        <w:rPr/>
      </w:pPr>
      <w:r>
        <w:rPr>
          <w:sz w:val="21"/>
        </w:rPr>
        <w:t xml:space="preserve">以上证明材料及承诺函随本部分附件一并提供。所有材料将按照人员姓名、岗位分类编排，形成详细附件索引，方便招标人查阅与评标委员会评审。</w:t>
      </w:r>
      <w:r/>
    </w:p>
    <w:p>
      <w:pPr>
        <w:pBdr/>
        <w:spacing/>
        <w:ind/>
        <w:rPr/>
      </w:pPr>
      <w:r>
        <w:t xml:space="preserve">8.4.1人员资质证明文件</w:t>
      </w:r>
      <w:r/>
    </w:p>
    <w:p>
      <w:pPr>
        <w:pBdr/>
        <w:spacing/>
        <w:ind/>
        <w:rPr/>
      </w:pPr>
      <w:r>
        <w:t xml:space="preserve">8.4.1人员资质证明文件</w:t>
      </w:r>
      <w:r/>
    </w:p>
    <w:p>
      <w:pPr>
        <w:pBdr/>
        <w:spacing/>
        <w:ind/>
        <w:rPr/>
      </w:pPr>
      <w:r>
        <w:rPr>
          <w:sz w:val="21"/>
        </w:rPr>
        <w:t xml:space="preserve">为全面支撑第8.2.1节与第8.3.1节中关于项目团队人员配置、技术能力及资质条件的详细陈述，本部分系统汇总并附上项目组全体成员的相关证明文件。所有材料均按照人员名单顺序统一编号，形成清晰、完整的附件索引，确保每位成员的材料与其在团队中的角色、职责和承诺一一对应，便于评审查阅、核对与追溯。</w:t>
      </w:r>
      <w:r/>
    </w:p>
    <w:p>
      <w:pPr>
        <w:pBdr/>
        <w:spacing/>
        <w:ind/>
        <w:rPr/>
      </w:pPr>
      <w:r>
        <w:rPr>
          <w:sz w:val="21"/>
        </w:rPr>
        <w:t xml:space="preserve">附件材料覆盖以下几类证明文件：一是学历证明</w:t>
      </w:r>
      <w:r>
        <w:rPr>
          <w:sz w:val="21"/>
        </w:rPr>
        <w:t xml:space="preserve">，包括各成员最高学历毕业证书，清晰体现毕业院校、专业及学习时间，反映成员的知识背景与理论基础；二是学位证明，包括学士、硕士或博士学位证书，进一步印证成员在信息安全、计算机科学、通信工程等相关领域的学术水平；三是身份证明，即全体成员的有效身份证件扫描件，用于确认人员身份的真实性与唯一性，确保项目团队人员信息与投标文件完全一致；四是专业资质证书，涵盖CISP、CISSP、CISA、PMP、OSCP、CEH等国内外广泛认可的信息安全与项目管理类资质，以及各类专项技术认证，充分证明成员具备承担本项目所需的专业能力。</w:t>
      </w:r>
      <w:r/>
    </w:p>
    <w:p>
      <w:pPr>
        <w:pBdr/>
        <w:spacing/>
        <w:ind/>
        <w:rPr/>
      </w:pPr>
      <w:r>
        <w:rPr>
          <w:sz w:val="21"/>
        </w:rPr>
        <w:t xml:space="preserve">所有扫描件均为原件的清晰彩色扫描，关键信息完整可辨，无遮挡、涂改或模糊情况。附件中每一份文件均标注与人员名单对应的姓名和编号，同时在第8.2.1节和第8.3.1节的人员配置描述中明确引用相应附件编号，形成“正文描述—附件证明”的闭环对应关系。此外，纸质版投标文件与电子版投标文件所附材料完全一致，评标委员会可随时抽取任何一名成员的材料进行核验。</w:t>
      </w:r>
      <w:r/>
    </w:p>
    <w:p>
      <w:pPr>
        <w:pBdr/>
        <w:spacing/>
        <w:ind/>
        <w:rPr/>
      </w:pPr>
      <w:r>
        <w:rPr>
          <w:sz w:val="21"/>
        </w:rPr>
        <w:t xml:space="preserve">通过以上系统化的资料整理与呈现，确保本项目人员资质证明材料具有高度的完整性、规范性和可查性，充分满足招标文件对人员资质证明的严格审查要求，也为项目后续履约过程中人员管理提供了坚实依据。</w:t>
      </w:r>
      <w:r/>
    </w:p>
    <w:p>
      <w:pPr>
        <w:pBdr/>
        <w:spacing/>
        <w:ind/>
        <w:rPr/>
      </w:pPr>
      <w:r>
        <w:t xml:space="preserve">8.4.2人员稳定性与替换管理承诺</w:t>
      </w:r>
      <w:r/>
    </w:p>
    <w:p>
      <w:pPr>
        <w:pBdr/>
        <w:spacing/>
        <w:ind/>
        <w:rPr/>
      </w:pPr>
      <w:r>
        <w:t xml:space="preserve">8.4.2人员稳定性与替换管理承诺</w:t>
      </w:r>
      <w:r/>
    </w:p>
    <w:p>
      <w:pPr>
        <w:pBdr/>
        <w:spacing/>
        <w:ind/>
        <w:rPr/>
      </w:pPr>
      <w:r>
        <w:rPr>
          <w:sz w:val="21"/>
        </w:rPr>
        <w:t xml:space="preserve">作为本项目的投标人，我公司（北京国舜科技股份有限公司）郑重承诺，在项目服务期内严格保障人员稳定性，具体措施如下：</w:t>
      </w:r>
      <w:r/>
    </w:p>
    <w:p>
      <w:pPr>
        <w:pBdr/>
        <w:spacing/>
        <w:ind/>
        <w:rPr/>
      </w:pPr>
      <w:r>
        <w:rPr>
          <w:b/>
          <w:sz w:val="21"/>
        </w:rPr>
        <w:t xml:space="preserve">在场率承诺：</w:t>
      </w:r>
      <w:r>
        <w:rPr>
          <w:sz w:val="21"/>
        </w:rPr>
        <w:t xml:space="preserve"> 项目经理及技术骨干按合同约定到岗，关键人员到场率满足项目进度要求，因故缺勤时安排同等级别人员代岗。为确保到场率可量化、可考核，我方将建立人员考勤与到场率统计机制，定期向采购人报送人员到场情况报告，接受采购人监督。对于关键时期或重大保障任务，现场服务人员实行无缺勤管理，确保服务资源投入充足。</w:t>
      </w:r>
      <w:r/>
    </w:p>
    <w:p>
      <w:pPr>
        <w:pBdr/>
        <w:spacing/>
        <w:ind/>
        <w:rPr/>
      </w:pPr>
      <w:r>
        <w:rPr>
          <w:b/>
          <w:sz w:val="21"/>
        </w:rPr>
        <w:t xml:space="preserve">更换条件：</w:t>
      </w:r>
      <w:r>
        <w:rPr>
          <w:sz w:val="21"/>
        </w:rPr>
        <w:t xml:space="preserve"> 未经采购人书面同意，绝不擅自更换项目经理和技术骨干。确因不可抗力或健康原因需要更换时，提前提交书面申请，说明理由，并保证替代人员资历、能力不低于原人员。同时，我方将建立人员更换评估机制，由项目总监、人力资源部门共同审核更换必要性，确保更换行为合理、审慎。</w:t>
      </w:r>
      <w:r/>
    </w:p>
    <w:p>
      <w:pPr>
        <w:pBdr/>
        <w:spacing/>
        <w:ind/>
        <w:rPr/>
      </w:pPr>
      <w:r>
        <w:rPr>
          <w:b/>
          <w:sz w:val="21"/>
        </w:rPr>
        <w:t xml:space="preserve">通知与交接：</w:t>
      </w:r>
      <w:r>
        <w:rPr>
          <w:sz w:val="21"/>
        </w:rPr>
        <w:t xml:space="preserve"> 人员更换前，及时书面通知采购人并征求其同意，同时安排充分的工作交接和知识转移，确保服务连续性。具体而言，若因特殊原因确需更换人员，我方应在充分预留的时间内向采购人提交书面申请，并保证紧急情况下亦不中断沟通。交接期间，原人员与替代人员应并行工作一段时间，完整移交项目文档、配置信息、工作记录及未决事项，并由采购人确认交接完成后方可离岗。</w:t>
      </w:r>
      <w:r/>
    </w:p>
    <w:p>
      <w:pPr>
        <w:pBdr/>
        <w:spacing/>
        <w:ind/>
        <w:rPr/>
      </w:pPr>
      <w:r>
        <w:rPr>
          <w:b/>
          <w:sz w:val="21"/>
        </w:rPr>
        <w:t xml:space="preserve">知识转移机制：</w:t>
      </w:r>
      <w:r>
        <w:rPr>
          <w:sz w:val="21"/>
        </w:rPr>
        <w:t xml:space="preserve"> 我方将为每个关键岗位建立知识库，涵盖安全服务流程、客户环境信息、历史事件处理记录、工具使用说明等，确保人员变动时知识资产可高效转移。同时，定期开展内部技术交流和培训，使后备人员熟悉项目情况，缩短替代适应期。</w:t>
      </w:r>
      <w:r/>
    </w:p>
    <w:p>
      <w:pPr>
        <w:pBdr/>
        <w:spacing/>
        <w:ind/>
        <w:rPr/>
      </w:pPr>
      <w:r>
        <w:rPr>
          <w:b/>
          <w:sz w:val="21"/>
        </w:rPr>
        <w:t xml:space="preserve">人员稳定性考核与激励：</w:t>
      </w:r>
      <w:r>
        <w:rPr>
          <w:sz w:val="21"/>
        </w:rPr>
        <w:t xml:space="preserve"> 我方将人员稳定性纳入项目考核指标，对服务期内主动离职或无故更换人员的行为进行内部追责，并对稳定服务一定期限的团队成员给予专项激励，从制度上保障团队稳定性。</w:t>
      </w:r>
      <w:r/>
    </w:p>
    <w:p>
      <w:pPr>
        <w:pBdr/>
        <w:spacing/>
        <w:ind/>
        <w:rPr/>
      </w:pPr>
      <w:r>
        <w:rPr>
          <w:b/>
          <w:sz w:val="21"/>
        </w:rPr>
        <w:t xml:space="preserve">违约责任：</w:t>
      </w:r>
      <w:r>
        <w:rPr>
          <w:sz w:val="21"/>
        </w:rPr>
        <w:t xml:space="preserve"> 若违反上述承诺，我公司愿按合同约定承担违约责任并接受相应处罚，同时无条件配合采购人采取补救措施。</w:t>
      </w:r>
      <w:r/>
    </w:p>
    <w:p>
      <w:pPr>
        <w:pBdr/>
        <w:spacing/>
        <w:ind/>
        <w:rPr/>
      </w:pPr>
      <w:r>
        <w:t xml:space="preserve">九、需求清单点对点应答</w:t>
      </w:r>
      <w:r/>
    </w:p>
    <w:p>
      <w:pPr>
        <w:pBdr/>
        <w:spacing/>
        <w:ind/>
        <w:rPr/>
      </w:pPr>
      <w:r>
        <w:t xml:space="preserve">九、需求清单点对点应答</w:t>
      </w:r>
      <w:r/>
    </w:p>
    <w:p>
      <w:pPr>
        <w:pBdr/>
        <w:spacing/>
        <w:ind/>
        <w:rPr/>
      </w:pPr>
      <w:r>
        <w:rPr>
          <w:b/>
          <w:sz w:val="21"/>
        </w:rPr>
        <w:t xml:space="preserve">应答说明：</w:t>
      </w:r>
      <w:r>
        <w:rPr>
          <w:sz w:val="21"/>
        </w:rPr>
        <w:t xml:space="preserve"> 本项目招标文件所列各项技术、服务及商务要求，我公司已逐条审阅并应答。所有条款均无负偏离，其中大部分为完全响应，部分条款优于招标要求，为正偏离。每条需求的具体响应内容已在投标文件相应章节中详细展开，并在章节内标注了对应的需求条款号，以便对照。</w:t>
      </w:r>
      <w:r/>
    </w:p>
    <w:p>
      <w:pPr>
        <w:pBdr/>
        <w:spacing/>
        <w:ind/>
        <w:rPr/>
      </w:pPr>
      <w:r>
        <w:rPr>
          <w:sz w:val="21"/>
        </w:rPr>
        <w:t xml:space="preserve">应答范围覆盖招标文件全部需求条款，包括技术规范、服务要求、资质条件、交付物及考核指标等。我公司采用逐条核对、逐项佐证的方式，确保每一条需求均有明确的响应结论和支撑材料。对于涉及服务流程、技术指标、人员配置、交付物等要求，均在对应章节中提供了具体方案和证明材料，做到需求响应可核查、可追溯。</w:t>
      </w:r>
      <w:r/>
    </w:p>
    <w:p>
      <w:pPr>
        <w:pBdr/>
        <w:spacing/>
        <w:ind/>
        <w:rPr/>
      </w:pPr>
      <w:r>
        <w:rPr>
          <w:b/>
          <w:sz w:val="21"/>
        </w:rPr>
        <w:t xml:space="preserve">索引方式：</w:t>
      </w:r>
      <w:r>
        <w:rPr>
          <w:sz w:val="21"/>
        </w:rPr>
        <w:t xml:space="preserve"> 为便于评审专家快速查验，我公司另附《需求点对点应答表》，该表以逐条列表形式载明条款号、需求描述、应答结论（完全响应/正偏离/负偏离）、响应说明及对应章节索引。应答表与正文内容完全一致，若有歧义，以正文详细描述为准。</w:t>
      </w:r>
      <w:r/>
    </w:p>
    <w:p>
      <w:pPr>
        <w:pBdr/>
        <w:spacing/>
        <w:ind/>
        <w:rPr/>
      </w:pPr>
      <w:r>
        <w:rPr>
          <w:sz w:val="21"/>
        </w:rPr>
        <w:t xml:space="preserve">应答表中每条记录均包含条款编号、需求原文摘要、应答类型、响应说明及对应章节索引。其中响应说明简明扼要地阐述我公司的满足方式或优于要求的具体内容；对应章节索引则指向投标文件正文中详细论述的位置，便于评审专家对照查验。若某项需求涉及多个方面，应答表将拆分为多个条目分别应答，确保无遗漏、无歧义。</w:t>
      </w:r>
      <w:r/>
    </w:p>
    <w:p>
      <w:pPr>
        <w:pBdr/>
        <w:spacing/>
        <w:ind/>
        <w:rPr/>
      </w:pPr>
      <w:r>
        <w:rPr>
          <w:b/>
          <w:sz w:val="21"/>
        </w:rPr>
        <w:t xml:space="preserve">承诺声明：</w:t>
      </w:r>
      <w:r>
        <w:rPr>
          <w:sz w:val="21"/>
        </w:rPr>
        <w:t xml:space="preserve"> 对标注“完全响应”的条款，我公司承诺完全满足招标要求；对标注“正偏离”的条款，我公司承诺按优于招标要求的标准执行。本声明构成投标文件的有效组成部分。</w:t>
      </w:r>
      <w:r/>
    </w:p>
    <w:p>
      <w:pPr>
        <w:pBdr/>
        <w:spacing/>
        <w:ind/>
        <w:rPr/>
      </w:pPr>
      <w:r>
        <w:rPr>
          <w:sz w:val="21"/>
        </w:rPr>
        <w:t xml:space="preserve">我公司建立了完善的偏离项管理制度，对确因客观条件无法完全满足的需求，将及时在应答表中如实标注负偏离并说明原因及替代方案。经逐条核对，本项目全部需求均无负偏离，部分条款我公司凭借技术优势和行业经验主动提升服务水平，形成正偏离项。这些正偏离项的具体内容与落实措施已在响应说明中列明，并作为投标承诺严格执行。</w:t>
      </w:r>
      <w:r/>
    </w:p>
    <w:p>
      <w:pPr>
        <w:pBdr/>
        <w:spacing/>
        <w:ind/>
        <w:rPr/>
      </w:pPr>
      <w:r>
        <w:t xml:space="preserve">9.1需求清单应答总体说明</w:t>
      </w:r>
      <w:r/>
    </w:p>
    <w:p>
      <w:pPr>
        <w:pBdr/>
        <w:spacing/>
        <w:ind/>
        <w:rPr/>
      </w:pPr>
      <w:r>
        <w:t xml:space="preserve">9.1需求清单应答总体说明</w:t>
      </w:r>
      <w:r/>
    </w:p>
    <w:p>
      <w:pPr>
        <w:pBdr/>
        <w:spacing/>
        <w:ind/>
        <w:rPr/>
      </w:pPr>
      <w:r>
        <w:rPr>
          <w:sz w:val="21"/>
        </w:rPr>
        <w:t xml:space="preserve">本部分为需求清单应答总体说明，针对中邮资管2026-2027年网络安全服务采购项目，明确我方对招标需求清单的应答方式、应答书结构、应答原则及承诺保证，作为后续各项应答的总纲。</w:t>
      </w:r>
      <w:r/>
    </w:p>
    <w:p>
      <w:pPr>
        <w:pBdr/>
        <w:spacing/>
        <w:ind/>
        <w:rPr/>
      </w:pPr>
      <w:r>
        <w:rPr>
          <w:sz w:val="21"/>
        </w:rPr>
        <w:t xml:space="preserve">应答方式上，采用逐条点对点应答，对照需求清单逐项响应，每项均明确响应状态与相关说明，确保无遗漏、无偏离。</w:t>
      </w:r>
      <w:r/>
    </w:p>
    <w:p>
      <w:pPr>
        <w:pBdr/>
        <w:spacing/>
        <w:ind/>
        <w:rPr/>
      </w:pPr>
      <w:r>
        <w:rPr>
          <w:sz w:val="21"/>
        </w:rPr>
        <w:t xml:space="preserve">应答书结构方面，按需求类别划分模块，后续九.1.1、九.2.1、九.3.1等子章节分别对应技术、服务、商务等需求的详细应答，形成清晰的组织逻辑。</w:t>
      </w:r>
      <w:r/>
    </w:p>
    <w:p>
      <w:pPr>
        <w:pBdr/>
        <w:spacing/>
        <w:ind/>
        <w:rPr/>
      </w:pPr>
      <w:r>
        <w:rPr>
          <w:sz w:val="21"/>
        </w:rPr>
        <w:t xml:space="preserve">应答原则为实事求是、完全响应，严格依据招标文件并结合实际情况应答，不虚假承诺，对未尽事宜提出合理建议。</w:t>
      </w:r>
      <w:r/>
    </w:p>
    <w:p>
      <w:pPr>
        <w:pBdr/>
        <w:spacing/>
        <w:ind/>
        <w:rPr/>
      </w:pPr>
      <w:r>
        <w:rPr>
          <w:sz w:val="21"/>
        </w:rPr>
        <w:t xml:space="preserve">承诺保证上，我方郑重承诺投标文件内容真实、合法、有效，如中标将严格履行合同义务，提供优质网络安全服务。</w:t>
      </w:r>
      <w:r/>
    </w:p>
    <w:p>
      <w:pPr>
        <w:pBdr/>
        <w:spacing/>
        <w:ind/>
        <w:rPr/>
      </w:pPr>
      <w:r>
        <w:rPr>
          <w:sz w:val="21"/>
        </w:rPr>
        <w:t xml:space="preserve">后续章节将依此展开具体应答内容。</w:t>
      </w:r>
      <w:r/>
    </w:p>
    <w:p>
      <w:pPr>
        <w:pBdr/>
        <w:spacing/>
        <w:ind/>
        <w:rPr/>
      </w:pPr>
      <w:r>
        <w:rPr>
          <w:sz w:val="21"/>
        </w:rPr>
        <w:t xml:space="preserve">为便于查阅与评审，应答书在编排上采用“需求编号—应答内容—响应状态—索引位置”四要素对照方式：每条需求均准确引用招标文件中的需求编号，逐条给出具</w:t>
      </w:r>
      <w:r>
        <w:rPr>
          <w:sz w:val="21"/>
        </w:rPr>
        <w:t xml:space="preserve">体应答、结论说明及对应正文索引，确保一一对应、有据可查。同时，响应状态分为“完全响应”“正偏离”“负偏离”三类，凡涉及偏离项，均在“偏离项说明与符合度承诺”中集中列明原因及替代方案，做到透明可控。在内容组织上，九.1.1集中于技术能力与实施方案的应答，九.2.1集中于服务保障与项目管理，九.3.1集中于商务条件与资质证明，与招标文件的需求类别保持严格一致。本总体说明作为上述应答的总纲，旨在帮助评标专家快速定位需求点、理解应答逻辑，后续各章节均在本总体说明的框架下展开，确保整体应答的完整性、一致性和可追溯性。</w:t>
      </w:r>
      <w:r/>
    </w:p>
    <w:p>
      <w:pPr>
        <w:pBdr/>
        <w:spacing/>
        <w:ind/>
        <w:rPr/>
      </w:pPr>
      <w:r>
        <w:t xml:space="preserve">9.1.1技术规范整体理解与响应策略</w:t>
      </w:r>
      <w:r/>
    </w:p>
    <w:p>
      <w:pPr>
        <w:pBdr/>
        <w:spacing/>
        <w:ind/>
        <w:rPr/>
      </w:pPr>
      <w:r>
        <w:t xml:space="preserve">9.1.1技术规范整体理解与响应策略</w:t>
      </w:r>
      <w:r/>
    </w:p>
    <w:p>
      <w:pPr>
        <w:pBdr/>
        <w:spacing/>
        <w:ind/>
        <w:rPr/>
      </w:pPr>
      <w:r>
        <w:rPr>
          <w:sz w:val="21"/>
        </w:rPr>
        <w:t xml:space="preserve">本项目为中邮资管2026-2027年网络安全服务采购项目，服务周期两年。我公司对技术规范整体解读后认为</w:t>
      </w:r>
      <w:r>
        <w:rPr>
          <w:sz w:val="21"/>
        </w:rPr>
        <w:t xml:space="preserve">，项目核心是构建覆盖监测、分析、响应、处置全链条的安全运营体系，持续提升防护能力。技术规范强调体系化建设与持续运营，覆盖安全监测、风险管理、漏洞治理、应急响应、数据安全、合规审计等多个方面，体现了从被动防御向主动防御的转变。重点难点包括：海量告警下精准识别真实威胁，需要借助关联分析和威胁情报消除噪声；应急响应与处置的协同联动，要求流程化、角色化和工具化贯通；安全服务与业务场景的融合，必须在保障安全的同时不影响业务连续性；安全知识转移与能力沉淀也是长期价值所在，通过培训和文档化让客户团队具备自主安全运营能力。</w:t>
      </w:r>
      <w:r/>
    </w:p>
    <w:p>
      <w:pPr>
        <w:pBdr/>
        <w:spacing/>
        <w:ind/>
        <w:rPr/>
      </w:pPr>
      <w:r>
        <w:rPr>
          <w:sz w:val="21"/>
        </w:rPr>
        <w:t xml:space="preserve">响应策略上，我公司采用“安全运营中心+技术与管理双体系”架构，通过标准化流程和自动化工具，保障安全运营闭环。技术体系围绕资产、漏洞、威胁、事件四大要素，构建全生命周期管理；管理体系涵盖策略制定、流程审批、考核指标与持续改进机制。基于智能安全运营平台，聚合多源日志与流量数据，提供安全监测、威胁狩猎、应急处置、安全加固等服务，并以定期评估驱动持续改进。</w:t>
      </w:r>
      <w:r/>
    </w:p>
    <w:p>
      <w:pPr>
        <w:pBdr/>
        <w:spacing/>
        <w:ind/>
        <w:rPr/>
      </w:pPr>
      <w:r>
        <w:rPr>
          <w:sz w:val="21"/>
        </w:rPr>
        <w:t xml:space="preserve">总体实施方案采用驻场与远程结合模式，严格按照规范制定服务清单与质量指标。驻场安全工程师负责日常监测、分析与即时响应，远程专家团队提供深度研判、专项评估和复杂问题处置支持，确保安全运营服务的连续性与及时性。实施过程分为准备、执行、优化三个阶段，各阶段均设置明确交付物和验收标准。创新方面，集成威胁情报联动与AI辅助分析，提升未知威胁发现能力；引入安全编排与自动化响应技术，将常用处置流程固化并自动触发；构建客户专属安全知识库，沉淀案例和处置方案；并通过安全可视化看板辅助管理决策，直观展示风险态势和运营绩效。</w:t>
      </w:r>
      <w:r/>
    </w:p>
    <w:p>
      <w:pPr>
        <w:pBdr/>
        <w:spacing/>
        <w:ind/>
        <w:rPr/>
      </w:pPr>
      <w:r>
        <w:t xml:space="preserve">9.1.2点对点应答索引与符合度汇总</w:t>
      </w:r>
      <w:r/>
    </w:p>
    <w:p>
      <w:pPr>
        <w:pBdr/>
        <w:spacing/>
        <w:ind/>
        <w:rPr/>
      </w:pPr>
      <w:r>
        <w:t xml:space="preserve">9.1.2点对点应答索引与符合度汇总</w:t>
      </w:r>
      <w:r/>
    </w:p>
    <w:p>
      <w:pPr>
        <w:pBdr/>
        <w:spacing/>
        <w:ind/>
        <w:rPr/>
      </w:pPr>
      <w:r>
        <w:rPr>
          <w:b/>
          <w:sz w:val="21"/>
        </w:rPr>
        <w:t xml:space="preserve">索引编制规则：</w:t>
      </w:r>
      <w:r>
        <w:rPr>
          <w:sz w:val="21"/>
        </w:rPr>
        <w:t xml:space="preserve"> 按招标文件需求条目顺序，建立需求条款与应答章节的对应索引，并逐条标注满足情况。索引表是需求清单点对点应答的导航目录，旨在辅助评审专家快速定位每一项技术需求的具体应答位置及符合度结论。</w:t>
      </w:r>
      <w:r/>
    </w:p>
    <w:p>
      <w:pPr>
        <w:pBdr/>
        <w:spacing/>
        <w:ind/>
        <w:rPr/>
      </w:pPr>
      <w:r>
        <w:rPr>
          <w:sz w:val="21"/>
        </w:rPr>
        <w:t xml:space="preserve">索引表按招标文件《技术规范书》及《需求清单》中的条目顺序编排，涵盖安全服务范围、服务内容、技术要求、服务流程、交付物要求、人员要求、时限要求等全部技术需求点。每条索引记录包含需求编号、需求描述摘要、应答章节位置、应答页码及满足情况标注，确保评审专家能够快速定位我方应答内容。索引表结构清晰、层级分明，与第九部分应答正文一一对应，便于逐项核对。</w:t>
      </w:r>
      <w:r/>
    </w:p>
    <w:p>
      <w:pPr>
        <w:pBdr/>
        <w:spacing/>
        <w:ind/>
        <w:rPr/>
      </w:pPr>
      <w:r>
        <w:rPr>
          <w:sz w:val="21"/>
        </w:rPr>
        <w:t xml:space="preserve">索引表的具体编制方法如下：首先，对招标文件全部需求条款进行逐条拆解与编号，确保不遗漏任何一项隐性或显性要求；其次，将各需求条款与第九部分应答正文中的对应段落建立映射关系，并记录精确的章节编号和页码；最后，根据应答内容的完整程度，对每条需求标注“完全满足”“部分满足”或“偏离”的符合度结论。索引表还特别设置了备注栏，用于说明涉及证明材料、资质文件或承诺声明的对应位置，方便评审专家交叉查验。</w:t>
      </w:r>
      <w:r/>
    </w:p>
    <w:p>
      <w:pPr>
        <w:pBdr/>
        <w:spacing/>
        <w:ind/>
        <w:rPr/>
      </w:pPr>
      <w:r>
        <w:rPr>
          <w:sz w:val="21"/>
        </w:rPr>
        <w:t xml:space="preserve">索引表共分为五个栏位：序号、需求条款、应答章节、应答页码、满足情况。其中序号与招标文件需求编号严格对应；需求条款为该条目的核心内容摘要，提取自招标文件原文；应答章节和页码精确指向第九部分应答正文的具体位置；满足情况以“完全满足”“部分满足”或“偏离”三种状态标识。本次投标所有条目均为“完全满足”，故索引表中不出现部分满足或偏离标识，备注栏仅用于注明相关证明材料或承诺函的存放位置。</w:t>
      </w:r>
      <w:r/>
    </w:p>
    <w:p>
      <w:pPr>
        <w:pBdr/>
        <w:spacing/>
        <w:ind/>
        <w:rPr/>
      </w:pPr>
      <w:r>
        <w:rPr>
          <w:b/>
          <w:sz w:val="21"/>
        </w:rPr>
        <w:t xml:space="preserve">符合度汇总：</w:t>
      </w:r>
      <w:r>
        <w:rPr>
          <w:sz w:val="21"/>
        </w:rPr>
        <w:t xml:space="preserve"> 全部技术需求点对点应答均为完全满足，无部分满足或偏离项。具体答复见第九部分对应章节。</w:t>
      </w:r>
      <w:r/>
    </w:p>
    <w:p>
      <w:pPr>
        <w:pBdr/>
        <w:spacing/>
        <w:ind/>
        <w:rPr/>
      </w:pPr>
      <w:r>
        <w:rPr>
          <w:sz w:val="21"/>
        </w:rPr>
        <w:t xml:space="preserve">符合度汇总说明如下：经逐条核对，我方针对全部技术需求点均提供了完整、明确的应答，满足情况均为“完全满足”，不存在“部分满足”或“偏离”项。总计需求条目数量与招标文件完全一致，应答覆盖率为100%。对于涉及承诺性、资质性、经验性的需求，我方在应答中均附有相应的证明材料或明确承诺，确保符合度真实有效。具体各条目的应答位置和满足情况详见本部分索引表，详细答复内容见第九部分对应章节。若评审过程中对任何条目的符合度有疑义，我方愿意进一步提供补充说明或证明材料。</w:t>
      </w:r>
      <w:r/>
    </w:p>
    <w:p>
      <w:pPr>
        <w:pBdr/>
        <w:spacing/>
        <w:ind/>
        <w:rPr/>
      </w:pPr>
      <w:r>
        <w:rPr>
          <w:sz w:val="21"/>
        </w:rPr>
        <w:t xml:space="preserve">为确保符合度汇总的准确性和可追溯性，我方建立了内部复核机</w:t>
      </w:r>
      <w:r>
        <w:rPr>
          <w:sz w:val="21"/>
        </w:rPr>
        <w:t xml:space="preserve">制：在编制应答文件时，由项目团队对照招标文件逐项检查，再由质量审核组独立复核，确保每一条需求均有对应应答且结论准确。所有“完全满足”的结论均以实际方案、人员配置、资质证书或承诺函件为支撑，不存在虚假响应或含混表述。对于可能引起歧义的条款，我方在应答中额外进行了说明，确保评审专家能够理解我方技术方案的覆盖范围与实现方式。本部分索引表与第九部分应答正文配套使用，评审专家可先通过索引表掌握整体应答布局，再按需跳转至具体章节进行详细核验。索引表仅提供索引和符合度汇总，不重复展开应答内容，以保证文件精炼性和查阅效率。</w:t>
      </w:r>
      <w:r/>
    </w:p>
    <w:p>
      <w:pPr>
        <w:pBdr/>
        <w:spacing/>
        <w:ind/>
        <w:rPr/>
      </w:pPr>
      <w:r>
        <w:t xml:space="preserve">9.2技术需求逐项应答</w:t>
      </w:r>
      <w:r/>
    </w:p>
    <w:p>
      <w:pPr>
        <w:pBdr/>
        <w:spacing/>
        <w:ind/>
        <w:rPr/>
      </w:pPr>
      <w:r>
        <w:t xml:space="preserve">9.2技术需求逐项应答</w:t>
      </w:r>
      <w:r/>
    </w:p>
    <w:p>
      <w:pPr>
        <w:pBdr/>
        <w:spacing/>
        <w:ind/>
        <w:rPr/>
      </w:pPr>
      <w:r>
        <w:rPr>
          <w:sz w:val="21"/>
        </w:rPr>
        <w:t xml:space="preserve">本章作为技术需求逐项应答的总述章节，旨在系统性地回应招标文件中对网络安全服务的全部技术要求。编制过程中，我们严格遵循招标文件的需求清单，逐一对照、逐条响应，确保应答内容完整、准确、可查。本章首先阐明应答的编制原则、结构安排和覆盖范围，随后概括介绍整体响应策略与符合性声明，为后续各子章节的详细应答提供指引。</w:t>
      </w:r>
      <w:r/>
    </w:p>
    <w:p>
      <w:pPr>
        <w:pBdr/>
        <w:spacing/>
        <w:ind/>
        <w:rPr/>
      </w:pPr>
      <w:r>
        <w:rPr>
          <w:sz w:val="21"/>
        </w:rPr>
        <w:t xml:space="preserve">在编制原则上，我们坚持需求导向、客观真实、详略得当的原则。所有应答均以招标文件为基准，结合我公司在网络安全领域的丰富实践和技术积累，对每一项技术需求给出明确、具体的响应方案。同时，我们注重应答的可读性和可评审性，统一采用“需求理解—响应方案—支撑材料”的结构，便于评标专家快速定位和判断。</w:t>
      </w:r>
      <w:r/>
    </w:p>
    <w:p>
      <w:pPr>
        <w:pBdr/>
        <w:spacing/>
        <w:ind/>
        <w:rPr/>
      </w:pPr>
      <w:r>
        <w:rPr>
          <w:sz w:val="21"/>
        </w:rPr>
        <w:t xml:space="preserve">在结构安排上，本章按照招标文件的技术需求顺序，逐项建立应答索引。每个需求项均单独成节，标明对应的需求编号和需求内容，并附上详细的响应说明。子章节中既包含对技术指标的直接响应，也包含对服务过程、交付成果、人员配置等非功能性需求的说明，确保全覆盖、无死角。</w:t>
      </w:r>
      <w:r/>
    </w:p>
    <w:p>
      <w:pPr>
        <w:pBdr/>
        <w:spacing/>
        <w:ind/>
        <w:rPr/>
      </w:pPr>
      <w:r>
        <w:rPr>
          <w:sz w:val="21"/>
        </w:rPr>
        <w:t xml:space="preserve">在覆盖范围上，本章应答涵盖漏洞扫描、渗透测试、安全运维、应急响应、安全评估、安全培训等全部技术模块，以及工具自主可控、漏洞库协作、安全研究等能力要求。我公司承诺以最高标准完成各项技术任务，并在此基础上提供增值服务，帮助贵单位构建更加坚实的安全防线。</w:t>
      </w:r>
      <w:r/>
    </w:p>
    <w:p>
      <w:pPr>
        <w:pBdr/>
        <w:spacing/>
        <w:ind/>
        <w:rPr/>
      </w:pPr>
      <w:r>
        <w:rPr>
          <w:sz w:val="21"/>
        </w:rPr>
        <w:t xml:space="preserve">在整体响应策略上，我公司对招标文件中的技术需求完全响应、无偏离。对于可量化的技术指标，我们承诺全部达标；对于定性要求，我们提供详尽的实现路径和保障措施。同时，我们结合项目实际，识别出若干关键技术难点，并制定了针对性应对策略，确保项目顺利实施。</w:t>
      </w:r>
      <w:r/>
    </w:p>
    <w:p>
      <w:pPr>
        <w:pBdr/>
        <w:spacing/>
        <w:ind/>
        <w:rPr/>
      </w:pPr>
      <w:r>
        <w:rPr>
          <w:sz w:val="21"/>
        </w:rPr>
        <w:t xml:space="preserve">最后，我们郑重声明：本章及后续子章节的应答内容真实有效，我公司完全具备履行合同的技术能力和服务能力。若中标，我们将严格按照应答内容组织项目实施，接受贵单位的监督与考核，确保各项技术需求落地见效。具体逐项应答内容详见后续各子章节。</w:t>
      </w:r>
      <w:r/>
    </w:p>
    <w:p>
      <w:pPr>
        <w:pBdr/>
        <w:spacing/>
        <w:ind/>
        <w:rPr/>
      </w:pPr>
      <w:r>
        <w:t xml:space="preserve">9.2.1网络安全运营需求应答</w:t>
      </w:r>
      <w:r/>
    </w:p>
    <w:p>
      <w:pPr>
        <w:pBdr/>
        <w:spacing/>
        <w:ind/>
        <w:rPr/>
      </w:pPr>
      <w:r>
        <w:t xml:space="preserve">9.2.1网络安全运营需求应答</w:t>
      </w:r>
      <w:r/>
    </w:p>
    <w:p>
      <w:pPr>
        <w:pBdr/>
        <w:spacing/>
        <w:ind/>
        <w:rPr/>
      </w:pPr>
      <w:r>
        <w:rPr>
          <w:sz w:val="21"/>
        </w:rPr>
        <w:t xml:space="preserve">针对中邮资管2026-2027年网络安全服务采购项目的网络安全运营需求，我公司（北京国舜科技股份有限公司）提供覆盖安全运营全流程的服务方案，具体内容如下：</w:t>
      </w:r>
      <w:r/>
    </w:p>
    <w:p>
      <w:pPr>
        <w:pBdr/>
        <w:spacing/>
        <w:ind/>
        <w:rPr/>
      </w:pPr>
      <w:r>
        <w:rPr>
          <w:b/>
          <w:sz w:val="21"/>
        </w:rPr>
        <w:t xml:space="preserve">服务内容：</w:t>
      </w:r>
      <w:r/>
    </w:p>
    <w:p>
      <w:pPr>
        <w:pStyle w:val="904"/>
        <w:pBdr/>
        <w:spacing/>
        <w:ind/>
        <w:rPr/>
      </w:pPr>
      <w:r>
        <w:t xml:space="preserve">安全监测与日志分析：对网络流量、安全设备、主机服务器日志进行实时采集与分析，发现潜在风险并告警。采集范围涵盖边界防火墙、入侵检测系统、Web应用防火墙、核心交换机及关键业务服务器，通过关联分析识别异常行为与攻击迹象，并保留原始证据链，确保事件可追溯。</w:t>
      </w:r>
      <w:r/>
    </w:p>
    <w:p>
      <w:pPr>
        <w:pStyle w:val="904"/>
        <w:pBdr/>
        <w:spacing/>
        <w:ind/>
        <w:rPr/>
      </w:pPr>
      <w:r>
        <w:t xml:space="preserve">漏洞管理：定期开展漏洞扫描、风险评估，协助完成漏洞修复并进行复验。扫描覆盖互联网暴露面与内网核心资产，依据风险等级确定修复优先级，持续跟踪整改状态，并输出漏洞管理台账。</w:t>
      </w:r>
      <w:r/>
    </w:p>
    <w:p>
      <w:pPr>
        <w:pStyle w:val="904"/>
        <w:pBdr/>
        <w:spacing/>
        <w:ind/>
        <w:rPr/>
      </w:pPr>
      <w:r>
        <w:t xml:space="preserve">威胁情报与预警：结合外部威胁情报，持续追踪安全态势，及时发布预警信息。情报来源包括国家级漏洞库、行业威胁情报共享机制及商业威胁情报平台，经研判后转换为可执行的检测规则与防御策略，并通过邮件、短信、平台弹窗等方式及时通知相关人员。</w:t>
      </w:r>
      <w:r/>
    </w:p>
    <w:p>
      <w:pPr>
        <w:pStyle w:val="904"/>
        <w:pBdr/>
        <w:spacing/>
        <w:ind/>
        <w:rPr/>
      </w:pPr>
      <w:r>
        <w:t xml:space="preserve">安全事件应急：建立应急响应机制，提供全天候应急支持，快速遏制和处置安全事件。应急响应按照事件级别分级启动，处置过程中同步开展溯源分析并提取攻击特征，事后组织复盘更新应急预案，不断优化响应流程。</w:t>
      </w:r>
      <w:r/>
    </w:p>
    <w:p>
      <w:pPr>
        <w:pStyle w:val="904"/>
        <w:pBdr/>
        <w:spacing/>
        <w:ind/>
        <w:rPr/>
      </w:pPr>
      <w:r>
        <w:t xml:space="preserve">安全加固与复测：对信息资产进行安全基线核查，提供加固建议并验证加固结果。基线范围覆盖操作系统、数据库、中间件及网络设备，结合业务连续性要求与等级保护标准提出加固建议，加固完成后进行复测确认，避免引入新风险。</w:t>
      </w:r>
      <w:r/>
    </w:p>
    <w:p>
      <w:pPr>
        <w:pBdr/>
        <w:spacing/>
        <w:ind/>
        <w:rPr/>
      </w:pPr>
      <w:r>
        <w:rPr>
          <w:b/>
          <w:sz w:val="21"/>
        </w:rPr>
        <w:t xml:space="preserve">服务流程与方式：</w:t>
      </w:r>
      <w:r/>
    </w:p>
    <w:p>
      <w:pPr>
        <w:pBdr/>
        <w:spacing/>
        <w:ind/>
        <w:rPr/>
      </w:pPr>
      <w:r>
        <w:rPr>
          <w:sz w:val="21"/>
        </w:rPr>
        <w:t xml:space="preserve">采用“监测—分析</w:t>
      </w:r>
      <w:r>
        <w:rPr>
          <w:sz w:val="21"/>
        </w:rPr>
        <w:t xml:space="preserve">—处置—优化”的闭环运行模式，结合安全运营平台与人工专家研判，确保各类安全需求得到及时响应和有效落实。监测阶段通过实时采集网络流量、日志和告警数据，形成统一安全视图；分析阶段利用关联规则、行为分析、威胁情报等技术手段，对告警进行去重、归并与研判，输出高价值的安全事件；处置阶段对确认的事件启动应急或日常处置流程，协调相关团队完成阻断、隔离、修复和恢复；优化阶段根据运营数据持续改进检测规则、防护策略和运营流程，提升整体安全防护水平。服务方式以远程运营为主，结合定期现场巡检和专项现场支持，确保沟通顺畅、响应及时。</w:t>
      </w:r>
      <w:r/>
    </w:p>
    <w:p>
      <w:pPr>
        <w:pBdr/>
        <w:spacing/>
        <w:ind/>
        <w:rPr/>
      </w:pPr>
      <w:r>
        <w:rPr>
          <w:b/>
          <w:sz w:val="21"/>
        </w:rPr>
        <w:t xml:space="preserve">服务标准与SLA：</w:t>
      </w:r>
      <w:r/>
    </w:p>
    <w:p>
      <w:pPr>
        <w:pBdr/>
        <w:spacing/>
        <w:ind/>
        <w:rPr/>
      </w:pPr>
      <w:r>
        <w:rPr>
          <w:sz w:val="21"/>
        </w:rPr>
        <w:t xml:space="preserve">服务标准严格遵循招标文件及国家相关安全规范要求，包含明确的响应时效、处理流程和汇报机制，并建立量化考核指标，确保服务质量可度量、可改进。各类安全服务的交付时限、质量要求与汇报频次均有明确约定，针对不同安全事件定义分级响应要求，量化指标定期汇总分析，根据考核结果制定改进措施，形成服务质量持续提升的闭环。</w:t>
      </w:r>
      <w:r/>
    </w:p>
    <w:p>
      <w:pPr>
        <w:pBdr/>
        <w:spacing/>
        <w:ind/>
        <w:rPr/>
      </w:pPr>
      <w:r>
        <w:rPr>
          <w:b/>
          <w:sz w:val="21"/>
        </w:rPr>
        <w:t xml:space="preserve">交付物与考核指标：</w:t>
      </w:r>
      <w:r/>
    </w:p>
    <w:p>
      <w:pPr>
        <w:pBdr/>
        <w:spacing/>
        <w:ind/>
        <w:rPr/>
      </w:pPr>
      <w:r>
        <w:rPr>
          <w:sz w:val="21"/>
        </w:rPr>
        <w:t xml:space="preserve">交付物包括安全监测报告、漏洞扫描修复报告、应急响应报告、安全运营月报等。考核指标涵盖威胁发现率、事件响应及时率、漏洞修复完成率等，所有指标均接受招标人监督与评估。安全监测报告对日常监测和重点事件进行专项分析，漏洞扫描修复报告记录漏洞发现与整改状态，应急响应报告完整呈现处置过程与结论，安全运营月报汇总当月安全态势、运营成效及下一步计划。</w:t>
      </w:r>
      <w:r/>
    </w:p>
    <w:p>
      <w:pPr>
        <w:pBdr/>
        <w:spacing/>
        <w:ind/>
        <w:rPr/>
      </w:pPr>
      <w:r>
        <w:rPr>
          <w:sz w:val="21"/>
        </w:rPr>
        <w:t xml:space="preserve">通过上述服务，我公司将保障招标人网络与信息系统的持续安全运营。</w:t>
      </w:r>
      <w:r/>
    </w:p>
    <w:p>
      <w:pPr>
        <w:pBdr/>
        <w:spacing/>
        <w:ind/>
        <w:rPr/>
      </w:pPr>
      <w:r>
        <w:t xml:space="preserve">9.2.2渗透测试与攻防演练需求应答</w:t>
      </w:r>
      <w:r/>
    </w:p>
    <w:p>
      <w:pPr>
        <w:pBdr/>
        <w:spacing/>
        <w:ind/>
        <w:rPr/>
      </w:pPr>
      <w:r>
        <w:t xml:space="preserve">9.2.2渗透测试与攻防演练需求应答</w:t>
      </w:r>
      <w:r/>
    </w:p>
    <w:p>
      <w:pPr>
        <w:pBdr/>
        <w:spacing/>
        <w:ind/>
        <w:rPr/>
      </w:pPr>
      <w:r>
        <w:rPr>
          <w:sz w:val="21"/>
        </w:rPr>
        <w:t xml:space="preserve">我司完全响应并满足招标文件对渗透测试与攻防演练的所有技术要求。作为专业安全服务商，我司将依托多年的安全测试经验、成熟的方法论体系及丰富的金融行业服务案例，为中邮资管提供高质量、高可信度的渗透测试与攻防演练服务，确保各项测试活动有序开展、结果精准、闭环可控。</w:t>
      </w:r>
      <w:r/>
    </w:p>
    <w:p>
      <w:pPr>
        <w:pBdr/>
        <w:spacing/>
        <w:ind/>
        <w:rPr/>
      </w:pPr>
      <w:r>
        <w:rPr>
          <w:sz w:val="21"/>
        </w:rPr>
        <w:t xml:space="preserve">需求理解：渗透测试旨在通过模拟真实攻击者的技术与行为，主动发现业务系统、网络架构、应用逻辑中存在的安全隐患与脆弱点；攻防演练则是通过实战化的红蓝对抗，综合检验并提升安全防御体系的监测、响应与溯源能力。我司将深入结合金融行业监管要求、中邮资管自身业务特点及当前威胁态势，定制差异化测试方案，确保测试范围覆盖全面、测试方法科学严谨、测试结果真实可信，既满足合规检查需要，也切实提升整体安全防护水平。</w:t>
      </w:r>
      <w:r/>
    </w:p>
    <w:p>
      <w:pPr>
        <w:pBdr/>
        <w:spacing/>
        <w:ind/>
        <w:rPr/>
      </w:pPr>
      <w:r>
        <w:rPr>
          <w:sz w:val="21"/>
        </w:rPr>
        <w:t xml:space="preserve">服务内容：本次服务覆盖核心业务系统、Web应用、API接口、移动应用、主机服务器、数据库、中间件及网络设备等资产的渗透测试，全面检测已知漏洞与逻辑缺陷；同时提供基于真实威胁场景的红蓝对抗演练，涵盖攻击模拟、漏洞利用、权限提升、横向移动、防御监测、日志审计、应急响应及溯源分析等环节，通过攻防双方的深度博弈，验证安全策略的有效性并暴露防护短板。</w:t>
      </w:r>
      <w:r/>
    </w:p>
    <w:p>
      <w:pPr>
        <w:pBdr/>
        <w:spacing/>
        <w:ind/>
        <w:rPr/>
      </w:pPr>
      <w:r>
        <w:rPr>
          <w:sz w:val="21"/>
        </w:rPr>
        <w:t xml:space="preserve">技术方法：我司将综合运用黑盒测试、白盒测试与灰盒测试相结合的方式，既要站在外部攻击者视角验证边界防护，也要通过源码与配置审查发现深层次问题。测试过程中采用自动化扫描工具与人工验证相结合，自动化工具用于扩大覆盖面、快速定位可疑点，人工专家负责深入验证、逻辑分析及漏洞链组合利用。所有测试活动严格遵循PTES渗透测试执行标准、OWASP测试指南及金融行业相关安全规范，确保漏洞发现准确、深入、无漏报。</w:t>
      </w:r>
      <w:r/>
    </w:p>
    <w:p>
      <w:pPr>
        <w:pBdr/>
        <w:spacing/>
        <w:ind/>
        <w:rPr/>
      </w:pPr>
      <w:r>
        <w:rPr>
          <w:sz w:val="21"/>
        </w:rPr>
        <w:t xml:space="preserve">实施方案：整个服务按准备、执行、总结三个阶段有序推进。准备阶段，与贵方充分沟通明确测试范围、时间窗口、人员分工、应急联系人及测试规则，签署授权与保密协议，制定详细的测试计划与应急预案，并向贵方提交实施方案确认；执行阶段，按资产类型和业务重要性分专业小组并行作业，每个小组配备测试组长，实时记录测试过程，遇到高危操作或突发情况立即启动沟通机制，双方确认后再继续，同时建立每日例会制度，同步进度与发现；总结阶段，汇总所有测试结果，进行风险定级，组织复测验证修复效果，输出最终测试报告与整改建议。</w:t>
      </w:r>
      <w:r/>
    </w:p>
    <w:p>
      <w:pPr>
        <w:pBdr/>
        <w:spacing/>
        <w:ind/>
        <w:rPr/>
      </w:pPr>
      <w:r>
        <w:rPr>
          <w:sz w:val="21"/>
        </w:rPr>
        <w:t xml:space="preserve">交付物：每阶段测试结束后输出阶段性测试报告（如适用），服务完成后提供完整的渗透测试报告、攻防演练总结报告、漏洞清单及修复建议，报告内容包含漏洞详情、危害分析、复现步骤、修复方案及优先级排序。同时，在贵方完成修复后安排复测验证，出具复测报告，确保所有问题闭环处理。</w:t>
      </w:r>
      <w:r/>
    </w:p>
    <w:p>
      <w:pPr>
        <w:pBdr/>
        <w:spacing/>
        <w:ind/>
        <w:rPr/>
      </w:pPr>
      <w:r>
        <w:rPr>
          <w:sz w:val="21"/>
        </w:rPr>
        <w:t xml:space="preserve">质量保障：测试团队由具有丰富实战经验的资深安全专家组成，均具备CISP、CISSP、OSCP等专业资质，并严格执行保密协议；测试过程中采用安全可控的工具与操作流程，所有测试操作均在不影响业务正常运行的前提下进行，避免对生产环境造成不良影响；同时，建立内部质量控制机制，由项目经理和技术总监对测试过程和报告质量进行双重审核，确保服务满足合规与安全要求。</w:t>
      </w:r>
      <w:r/>
    </w:p>
    <w:p>
      <w:pPr>
        <w:pBdr/>
        <w:spacing/>
        <w:ind/>
        <w:rPr/>
      </w:pPr>
      <w:r>
        <w:rPr>
          <w:sz w:val="21"/>
        </w:rPr>
        <w:t xml:space="preserve">时间安排：我司将严格按照合同约定的服务周期和贵方指定的时间窗口，科学编排测试进度，合理调配资源，高效组织各阶段工作，确保按期交付全部成果。在遇到突发情况时，及时与贵方沟通调整计划，保障整体项目进度不受影响。</w:t>
      </w:r>
      <w:r/>
    </w:p>
    <w:p>
      <w:pPr>
        <w:pBdr/>
        <w:spacing/>
        <w:ind/>
        <w:rPr/>
      </w:pPr>
      <w:r>
        <w:t xml:space="preserve">9.2.3重要时期保障及其他服务需求应答</w:t>
      </w:r>
      <w:r/>
    </w:p>
    <w:p>
      <w:pPr>
        <w:pBdr/>
        <w:spacing/>
        <w:ind/>
        <w:rPr/>
      </w:pPr>
      <w:r>
        <w:t xml:space="preserve">9.2.3重要时期保障及其他服务需求应答</w:t>
      </w:r>
      <w:r/>
    </w:p>
    <w:p>
      <w:pPr>
        <w:pBdr/>
        <w:spacing/>
        <w:ind/>
        <w:rPr/>
      </w:pPr>
      <w:r>
        <w:rPr>
          <w:b/>
          <w:sz w:val="21"/>
        </w:rPr>
        <w:t xml:space="preserve">重要时期保障应答：</w:t>
      </w:r>
      <w:r>
        <w:rPr>
          <w:sz w:val="21"/>
        </w:rPr>
        <w:t xml:space="preserve"> 我方完全响应招标文件对重要时期保障的要求，将在重大活动、法定节假日、重要会议及突发紧急期间，启动专项保障机制。我方承诺在重要时期提供以下保障内容：一是实行领导带班和专人7×24小时值守制度，确保</w:t>
      </w:r>
      <w:r>
        <w:rPr>
          <w:sz w:val="21"/>
        </w:rPr>
        <w:t xml:space="preserve">第一时间发现并处置安全事件；二是提前进行资产梳理与风险评估，针对重点系统开展漏洞扫描与加固；三是部署安全监测与威胁情报联动，实时分析安全告警；四是制定专项应急预案并组织演练，确保应急响应高效有序；五是每日形成安全保障情况报告，及时向采购人汇报。具体实施计划包括：保障前完成准备工作，保障期间按预案执行值守与处置，保障结束后及时提交总结报告。本项目实施细节与七.2.3重大活动保障方案及资源储备保持一致，确保响应及时性。招标要求：提供重要时期安全保障服务；投标响应：全面承诺，并制定详细实施方案；偏离情况：无偏离。</w:t>
      </w:r>
      <w:r/>
    </w:p>
    <w:p>
      <w:pPr>
        <w:pBdr/>
        <w:spacing/>
        <w:ind/>
        <w:rPr/>
      </w:pPr>
      <w:r>
        <w:rPr>
          <w:b/>
          <w:sz w:val="21"/>
        </w:rPr>
        <w:t xml:space="preserve">其他服务需求应答：</w:t>
      </w:r>
      <w:r>
        <w:rPr>
          <w:sz w:val="21"/>
        </w:rPr>
        <w:t xml:space="preserve"> 我方同样完全响应招标文件所列其他相关服务需求，包括但不限于应急响应、风险监测、安全通告、安全协助等。针对应急响应需求，我方提供7×24小时应急响应热线，重大突发安全事件快速</w:t>
      </w:r>
      <w:r>
        <w:rPr>
          <w:sz w:val="21"/>
        </w:rPr>
        <w:t xml:space="preserve">远程响应，必要时立即到达现场，并具备应急处理类资质（CCRC信息安全服务资质——应急处理类）；针对风险监测需求，利用自研工具与商业平台结合，提供持续的风险监测与预警；针对安全通告需求，定期向采购人推送漏洞信息、威胁情报及安全建议。此外，我方还将在重要时期提供安全宣传与意识提醒服务，配合开展钓鱼邮件模拟演练，协助采购人完成上级主管单位要求的各项安全保障任务。所有其他服务均按照合同约定和行业最佳实践执行，确保服务质量和时效性。招标要求：其他相关服务需求；投标响应：全部满足，具体以合同约定为准；偏离情况：无偏离。</w:t>
      </w:r>
      <w:r/>
    </w:p>
    <w:p>
      <w:pPr>
        <w:pBdr/>
        <w:spacing/>
        <w:ind/>
        <w:rPr/>
      </w:pPr>
      <w:r>
        <w:t xml:space="preserve">9.3偏离项说明与符合度承诺</w:t>
      </w:r>
      <w:r/>
    </w:p>
    <w:p>
      <w:pPr>
        <w:pBdr/>
        <w:spacing/>
        <w:ind/>
        <w:rPr/>
      </w:pPr>
      <w:r>
        <w:t xml:space="preserve">9.3偏离项说明与符合度承诺</w:t>
      </w:r>
      <w:r/>
    </w:p>
    <w:p>
      <w:pPr>
        <w:pBdr/>
        <w:spacing/>
        <w:ind/>
        <w:rPr/>
      </w:pPr>
      <w:r>
        <w:rPr>
          <w:sz w:val="21"/>
        </w:rPr>
        <w:t xml:space="preserve">本投标人已对招标文件全部条款进行逐项审查，涵盖资格条款、技术需求、商务要求及合同条件，并针对招标文件中的每一个评分项、技术规格、服务标准、交付物要求、验收条件、付款方式、违约责任等细节，结合本项目实际情况进行了逐条核对与理解。审查工作覆盖了招标文件的全部章节与附件，包括但不限于投标人须知、评标办法、采购需求清单、服务技术要求、合同主要</w:t>
      </w:r>
      <w:r>
        <w:rPr>
          <w:sz w:val="21"/>
        </w:rPr>
        <w:t xml:space="preserve">条款以及各项资格证明材料的提交要求。在审查过程中，我方对每一条款均进行了响应状态标注，确认投标文件已按照招标文件的要求作出对应应答，且应答内容均能满足或优于招标文件的规定。审查结论如下：我方对招标文件全部条款均完全响应，不存在任何偏离项。投标报价、服务方案、技术指标、人员配置及商务条件均满足招标文件要求，各项技术参数指标均以实质性响应且无负偏离。我方对所有条款的理解与招标文件原意一致，不存在因理解偏差或澄清不及时而导致的隐性偏离。若在评审过程中招标人有任何需要澄清或说明的事项，我方将积极配合并提供详细解释。</w:t>
      </w:r>
      <w:r/>
    </w:p>
    <w:p>
      <w:pPr>
        <w:pBdr/>
        <w:spacing/>
        <w:ind/>
        <w:rPr/>
      </w:pPr>
      <w:r>
        <w:rPr>
          <w:b/>
          <w:sz w:val="21"/>
        </w:rPr>
        <w:t xml:space="preserve">符合度承诺：</w:t>
      </w:r>
      <w:r>
        <w:rPr>
          <w:sz w:val="21"/>
        </w:rPr>
        <w:t xml:space="preserve"> 我方郑重承诺，中标后将严格按照招标文件及投标文件的约定履行合同义务，确保提供的网络安全服务符合项目整体服务</w:t>
      </w:r>
      <w:r>
        <w:rPr>
          <w:sz w:val="21"/>
        </w:rPr>
        <w:t xml:space="preserve">方案及相关技术规范，服务质量达到招标文件要求的水平。我方承诺在服务实施过程中，对招标人提出的合理需求与变更及时响应，绝不因投标承诺与实际履约脱节而降低服务标准。投标文件中涉及的企业资质、业绩、财务状况、团队人员技术能力等信息均真实、有效、完整，不存在虚假记载、误导性陈述或重大遗漏。我方已对所有证明材料的真实性进行核查，并愿对其真实性承担全部责任。如在履约中出现与投标承诺不符的情形，我方愿承担相应法律责任，并接受招标人按照合同约定采取的处罚措施。本承诺函作为投标文件的重要组成部分，与投标文件具有同等法律效力。</w:t>
      </w:r>
      <w:r/>
    </w:p>
    <w:p>
      <w:pPr>
        <w:pBdr/>
        <w:spacing/>
        <w:ind/>
        <w:rPr/>
      </w:pPr>
      <w:r>
        <w:t xml:space="preserve">9.3.1无偏离声明及服务承诺</w:t>
      </w:r>
      <w:r/>
    </w:p>
    <w:p>
      <w:pPr>
        <w:pBdr/>
        <w:spacing/>
        <w:ind/>
        <w:rPr/>
      </w:pPr>
      <w:r>
        <w:t xml:space="preserve">9.3.1无偏离声明及服务承诺</w:t>
      </w:r>
      <w:r/>
    </w:p>
    <w:p>
      <w:pPr>
        <w:pBdr/>
        <w:spacing/>
        <w:ind/>
        <w:rPr/>
      </w:pPr>
      <w:r>
        <w:rPr>
          <w:sz w:val="21"/>
        </w:rPr>
        <w:t xml:space="preserve">我公司北京国舜科技股份有限公司（统一社会信用代码：91110108753333117L）在此郑重声明：对中邮资管2026-2027年网络安全服务采购项目招标文件的全部内容无任何偏离，完全响应。我公司承诺严格履行合同义务，确保服务质量达标，服务时效按合同约定执行，严格遵守保密规定，并承担违约责任。愿以专业、高效的服务保障项目顺利实施。为切实保障项目顺利实施，我公司进一步作出如下承诺：一、服务时效承诺：严格按照招标文件及合同约定的时间节点完成各项</w:t>
      </w:r>
      <w:r>
        <w:rPr>
          <w:sz w:val="21"/>
        </w:rPr>
        <w:t xml:space="preserve">服务交付，对于紧急网络安全事件和应急响应请求，确保第一时间启动应急机制，在规定时间内快速响应、及时处置，不拖延、不推诿，保障招标方业务连续性。二、质量标准承诺：严格执行国家网络安全相关法律法规、行业标准规范及招标文件中的技术要求，确保服务成果的准确性、完整性和可靠性。配备经验丰富的服务团队，落实质量管控措施，并主动接受招标方及监理单位的监督检查，对发现的问题及时整改，确保服务全过程符合高质量要求。三、保密义务承诺：严格遵守保密法律法规及招标方保密管理规定，与招标方签订保密协议。对服务过程中知悉的一切业务数据</w:t>
      </w:r>
      <w:r>
        <w:rPr>
          <w:sz w:val="21"/>
        </w:rPr>
        <w:t xml:space="preserve">、系统漏洞、技术资料、管理信息等严格保密，不向任何第三方泄露，不用于与本项目无关的活动。服务期结束或中途退出时，按照规定归还或销毁相关资料，继续履行保密义务，并承担因泄密引发的全部法律责任。四、违约责任承诺：若我公司未能全面履行投标承诺或服务成果不达标，愿按照合同约定承担违约责任，接受招标方依据合同作出的处罚措施，包括但不限于整改、赔偿损失、终止合同等，并承担由此产生的全部法律后果。我公司深知本项目的重要性，将以高度的责任心和专业能力，严格履诺，确保各项服务高质、高效、安全落地，全力配合招标方实现项目目标。</w:t>
      </w:r>
      <w:r/>
    </w:p>
    <w:p>
      <w:pPr>
        <w:pBdr/>
        <w:spacing/>
        <w:ind/>
        <w:rPr/>
      </w:pPr>
      <w:r>
        <w:t xml:space="preserve">9.3.2偏离项清单及原因说明（如有）</w:t>
      </w:r>
      <w:r/>
    </w:p>
    <w:p>
      <w:pPr>
        <w:pBdr/>
        <w:spacing/>
        <w:ind/>
        <w:rPr/>
      </w:pPr>
      <w:r>
        <w:t xml:space="preserve">9.3.2偏离项清单及原因说明（如有）</w:t>
      </w:r>
      <w:r/>
    </w:p>
    <w:p>
      <w:pPr>
        <w:pBdr/>
        <w:spacing/>
        <w:ind/>
        <w:rPr/>
      </w:pPr>
      <w:r>
        <w:rPr>
          <w:sz w:val="21"/>
        </w:rPr>
        <w:t xml:space="preserve">经逐条对照本项目招标文件中的技术规范、服务要求及商务条款，投标人均完全响应，无任何偏离项。现就偏离项清单及原因说明如下：</w:t>
      </w:r>
      <w:r/>
    </w:p>
    <w:p>
      <w:pPr>
        <w:pBdr/>
        <w:spacing/>
        <w:ind/>
        <w:rPr/>
      </w:pPr>
      <w:r>
        <w:rPr>
          <w:sz w:val="21"/>
        </w:rPr>
        <w:t xml:space="preserve">一、偏离项清单</w:t>
      </w:r>
      <w:r/>
    </w:p>
    <w:p>
      <w:pPr>
        <w:pBdr/>
        <w:spacing/>
        <w:ind/>
        <w:rPr/>
      </w:pPr>
      <w:r>
        <w:rPr>
          <w:sz w:val="21"/>
        </w:rPr>
        <w:t xml:space="preserve">投标人已对本项目招标文件（含招标公告、投标人须知、合同条款、技术规范书、服务需求清单及所有补充澄清文件）进行了全面、逐条的审查与对照，范围覆盖技术规范、服务要求、商务条款、评分标准及交付物要求等全部内容。经逐项核对，投标人未发现任何需要声明为正偏离或负偏离的条款，所有招标要求均已被完全理解和响应。</w:t>
      </w:r>
      <w:r/>
    </w:p>
    <w:p>
      <w:pPr>
        <w:pBdr/>
        <w:spacing/>
        <w:ind/>
        <w:rPr/>
      </w:pPr>
      <w:r>
        <w:rPr>
          <w:sz w:val="21"/>
        </w:rPr>
        <w:t xml:space="preserve">二、偏离情况汇总表</w:t>
      </w:r>
      <w:r/>
    </w:p>
    <w:p>
      <w:pPr>
        <w:pBdr/>
        <w:spacing/>
        <w:ind/>
        <w:rPr/>
      </w:pPr>
      <w:r>
        <w:rPr>
          <w:sz w:val="21"/>
        </w:rPr>
        <w:t xml:space="preserve">偏离项清单及原因说明：本项目招标文件全部技术规范、服务要求及商务条款均无偏离。投标人完全响应招标要求，技术方案、服务方案及商务报价均满足或优于招标要求，不存在无法满足或需调整的条款。替代方案：不适用，无需替代方案。</w:t>
      </w:r>
      <w:r/>
    </w:p>
    <w:p>
      <w:pPr>
        <w:pBdr/>
        <w:spacing/>
        <w:ind/>
        <w:rPr/>
      </w:pPr>
      <w:r>
        <w:rPr>
          <w:sz w:val="21"/>
        </w:rPr>
        <w:t xml:space="preserve">三、符合度说明</w:t>
      </w:r>
      <w:r/>
    </w:p>
    <w:p>
      <w:pPr>
        <w:pBdr/>
        <w:spacing/>
        <w:ind/>
        <w:rPr/>
      </w:pPr>
      <w:r>
        <w:rPr>
          <w:sz w:val="21"/>
        </w:rPr>
        <w:t xml:space="preserve">投标人承诺，在项目实施过程中将严格按照招标文件及投标文件的约定执行，确保各项技术指标、服务标准、交付成果和商务条款均与招标要求保持一致。若在合同履行期间因政策法规调整或招标人提出新的合理需求，投标人将及时与招标人沟通协商，并按照合同约定的变更程序进行处理，确保项目目标的实现。</w:t>
      </w:r>
      <w:r/>
    </w:p>
    <w:p>
      <w:pPr>
        <w:pBdr/>
        <w:spacing/>
        <w:ind/>
        <w:rPr/>
      </w:pPr>
      <w:r>
        <w:rPr>
          <w:sz w:val="21"/>
        </w:rPr>
        <w:t xml:space="preserve">四、偏离项风险管控</w:t>
      </w:r>
      <w:r/>
    </w:p>
    <w:p>
      <w:pPr>
        <w:pBdr/>
        <w:spacing/>
        <w:ind/>
        <w:rPr/>
      </w:pPr>
      <w:r>
        <w:rPr>
          <w:sz w:val="21"/>
        </w:rPr>
        <w:t xml:space="preserve">鉴于本项目不存在偏离项，投标人将把全部精力聚焦于高质量履约，通过严格的项目管理、质量控制和安全保障机制，确保各项服务按时、按质、按量交付。同时，投标人将持续跟踪招标人需求变化，主动提供增值服务和优化建议，为招标人创造更高的服务价值。</w:t>
      </w:r>
      <w:r/>
    </w:p>
    <w:p>
      <w:pPr>
        <w:pBdr/>
        <w:spacing/>
        <w:ind/>
        <w:rPr/>
      </w:pPr>
      <w:r>
        <w:rPr>
          <w:sz w:val="21"/>
        </w:rPr>
        <w:t xml:space="preserve">综上所述，本项目无任何偏离项，投标人完全响应并满足招标文件的所有要求。</w:t>
      </w:r>
      <w:r/>
    </w:p>
    <w:p>
      <w:pPr>
        <w:pBdr/>
        <w:spacing/>
        <w:ind/>
        <w:rPr/>
      </w:pPr>
      <w:r>
        <w:t xml:space="preserve">十、增值服务</w:t>
      </w:r>
      <w:r/>
    </w:p>
    <w:p>
      <w:pPr>
        <w:pBdr/>
        <w:spacing/>
        <w:ind/>
        <w:rPr/>
      </w:pPr>
      <w:r>
        <w:t xml:space="preserve">十、增值服务</w:t>
      </w:r>
      <w:r/>
    </w:p>
    <w:p>
      <w:pPr>
        <w:pBdr/>
        <w:spacing/>
        <w:ind/>
        <w:rPr/>
      </w:pPr>
      <w:r>
        <w:rPr>
          <w:sz w:val="21"/>
        </w:rPr>
        <w:t xml:space="preserve">为全面保障中邮资管2026-2027年网络安全服务采购项目的服务质量，我司将在满足招标文件要求的基础上，额外提供一系列增值服务，涵盖安全宣传通告、安全意识培训、勒索病毒演练、应急响应桌面推演、钓鱼邮件模拟演练、定制化安全数据分析等多个方面。这些增值服务旨在帮助贵单位构建更加主动、全方位的网络安全防护体系，有效弥补传统安全服务的盲区，将安全防护从技术层面向管理层面与人员意识层面延伸。</w:t>
      </w:r>
      <w:r/>
    </w:p>
    <w:p>
      <w:pPr>
        <w:pBdr/>
        <w:spacing/>
        <w:ind/>
        <w:rPr/>
      </w:pPr>
      <w:r>
        <w:rPr>
          <w:sz w:val="21"/>
        </w:rPr>
        <w:t xml:space="preserve">通过上述增值服务的实施，将有效提升全员网络安全意识，增强应对新型威胁的实战能力，并促进安全管理制度与技术的深度融合，为贵单位的业务连续性提供坚实保障。同时，增值服务也是我司整体安全服务方案的重要组成部分，体现了对项目需求的深度理解和积极响应。我司将以增值服务为抓手，协助贵单位打造“预防—检测—响应—改进”的闭环安全运营机制，进一步夯实网络安全防线。</w:t>
      </w:r>
      <w:r/>
    </w:p>
    <w:p>
      <w:pPr>
        <w:pBdr/>
        <w:spacing/>
        <w:ind/>
        <w:rPr/>
      </w:pPr>
      <w:r>
        <w:rPr>
          <w:sz w:val="21"/>
        </w:rPr>
        <w:t xml:space="preserve">在增值服务的整体设计上，我司遵循“按需定制、分层实施、注重实效”的原则，结合贵单位金融行业属性与监管要求，将增值服务划分为意识提升类、实战对抗类和专项支持类三大板块，确保各项服务既有针对性又有可操作性。每一项增值服务均配备明确的交付物与考核指标，并与招标文件中的基础服务内容有效衔接，形成互补增强的立体化安全服务体系。</w:t>
      </w:r>
      <w:r/>
    </w:p>
    <w:p>
      <w:pPr>
        <w:pBdr/>
        <w:spacing/>
        <w:ind/>
        <w:rPr/>
      </w:pPr>
      <w:r>
        <w:rPr>
          <w:sz w:val="21"/>
        </w:rPr>
        <w:t xml:space="preserve">关于各项增值服务的具体内容、实施流程与组织保障，将在本章后续条目中逐项详细说明。</w:t>
      </w:r>
      <w:r/>
    </w:p>
    <w:p>
      <w:pPr>
        <w:pBdr/>
        <w:spacing/>
        <w:ind/>
        <w:rPr/>
      </w:pPr>
      <w:r>
        <w:t xml:space="preserve">10.1增值服务总体方案与保障机制</w:t>
      </w:r>
      <w:r/>
    </w:p>
    <w:p>
      <w:pPr>
        <w:pBdr/>
        <w:spacing/>
        <w:ind/>
        <w:rPr/>
      </w:pPr>
      <w:r>
        <w:t xml:space="preserve">10.1增值服务总体方案与保障机制</w:t>
      </w:r>
      <w:r/>
    </w:p>
    <w:p>
      <w:pPr>
        <w:pBdr/>
        <w:spacing/>
        <w:ind/>
        <w:rPr/>
      </w:pPr>
      <w:r>
        <w:rPr>
          <w:sz w:val="21"/>
        </w:rPr>
        <w:t xml:space="preserve">针对中邮资管2026-2027年网络安全服务采购项目，我公司构建以“全面覆盖、主动防御、持续优化”为核心的增值服务体系，旨在提升招标人整体安全防护水平与应急响应能力，充分满足招标文件对增值服务的评分要求。本增值服务体系遵循“预防为主、防患未然、持续改进”的设计理念，深度融合安全运营、风险管理与业务连续性目标，确保各项服务既独立成体系又相互协同。</w:t>
      </w:r>
      <w:r/>
    </w:p>
    <w:p>
      <w:pPr>
        <w:pBdr/>
        <w:spacing/>
        <w:ind/>
        <w:rPr/>
      </w:pPr>
      <w:r>
        <w:rPr>
          <w:sz w:val="21"/>
        </w:rPr>
        <w:t xml:space="preserve">增值服务范围科学规划，涵盖安全宣传与意识提升、应急与实战对抗、专项技术与定制化服务三大类，具体包括安全意识培训与考核、钓鱼邮件模拟演练、安全宣传专题宣贯、应急响应桌面推演、勒索病毒专项演练、安全防护策略专项核查与优化、定制化安全数据分析与专项报告等多项内容。上述服务在后续子章节中分别详述，从人员意识、技术对抗、管理流程三个维度形成立体化防护能力，切实降低安全风险发生概率与潜在影响。</w:t>
      </w:r>
      <w:r/>
    </w:p>
    <w:p>
      <w:pPr>
        <w:pBdr/>
        <w:spacing/>
        <w:ind/>
        <w:rPr/>
      </w:pPr>
      <w:r>
        <w:rPr>
          <w:sz w:val="21"/>
        </w:rPr>
        <w:t xml:space="preserve">为保障增值服务高质量落地，我公司设立专项服务团队，明确职责分工，建立由项目负责人统筹、技术专家支撑、服务人员执行的三级组织架构，并配备独立的增值服务协调专员。项目负责人负责整体规划与资源调配，技术专家负责方案设计和技术难点攻关，服务人员负责具体执行与交付，确保责任到人、协同高效。</w:t>
      </w:r>
      <w:r/>
    </w:p>
    <w:p>
      <w:pPr>
        <w:pBdr/>
        <w:spacing/>
        <w:ind/>
        <w:rPr/>
      </w:pPr>
      <w:r>
        <w:rPr>
          <w:sz w:val="21"/>
        </w:rPr>
        <w:t xml:space="preserve">项目实施按照需求调研、方案设计、服务实施、效果评估四个阶段有序推进，每个阶段设置明确的里程碑与验收标准。需求调研阶段深入了解招标人安全现状与业务特点；方案设计阶段针对性编制详细服务计划和操作手册；服务实施阶段严格按照既定方案执行并做好过程记录；效果评估阶段通过量化指标衡量服务成效。同时结合季度回顾与年度总结机制，动态调整优化服务内容，形成持续改进的良性循环。</w:t>
      </w:r>
      <w:r/>
    </w:p>
    <w:p>
      <w:pPr>
        <w:pBdr/>
        <w:spacing/>
        <w:ind/>
        <w:rPr/>
      </w:pPr>
      <w:r>
        <w:rPr>
          <w:sz w:val="21"/>
        </w:rPr>
        <w:t xml:space="preserve">质量控制方面，严格执行内部审核、客户确认和第三方抽查相结合的方式，建立覆盖服务全过程的质量检查清单和问题跟踪台账，确保服务过程规范、交付物达标。引入PDCA循环管理方法，对每项增值服务进行计划、执行、检查、处理全流程闭环管控。</w:t>
      </w:r>
      <w:r/>
    </w:p>
    <w:p>
      <w:pPr>
        <w:pBdr/>
        <w:spacing/>
        <w:ind/>
        <w:rPr/>
      </w:pPr>
      <w:r>
        <w:rPr>
          <w:sz w:val="21"/>
        </w:rPr>
        <w:t xml:space="preserve">协调机制方面，建立多渠道沟通协调机制，定期召开项目例会同步进展，设置紧急联络通道及时响应变更需求，并针对增值服务与主体安全服务的衔接点制定专项对接流程，保障各项增值服务与渗透测试、漏洞扫描、应急响应等主体服务无缝衔接，形成统一高效的闭环管理体系，充分体现增值服务的完整性和可操作性。</w:t>
      </w:r>
      <w:r/>
    </w:p>
    <w:p>
      <w:pPr>
        <w:pBdr/>
        <w:spacing/>
        <w:ind/>
        <w:rPr/>
      </w:pPr>
      <w:r>
        <w:t xml:space="preserve">10.1.1增值服务内容清单与交付说明</w:t>
      </w:r>
      <w:r/>
    </w:p>
    <w:p>
      <w:pPr>
        <w:pBdr/>
        <w:spacing/>
        <w:ind/>
        <w:rPr/>
      </w:pPr>
      <w:r>
        <w:t xml:space="preserve">10.1.1增值服务内容清单与交付说明</w:t>
      </w:r>
      <w:r/>
    </w:p>
    <w:p>
      <w:pPr>
        <w:pBdr/>
        <w:spacing/>
        <w:ind/>
        <w:rPr/>
      </w:pPr>
      <w:r>
        <w:rPr>
          <w:sz w:val="21"/>
        </w:rPr>
        <w:t xml:space="preserve">北京国舜科技股份有限公司针对本项目提供以下增值服务，所有服务的交付物、交付时间、责任方及验收标准均纳入整体项目管理体系，确保服务质量可追溯。各项增值服务具体内容与交付说明如下。</w:t>
      </w:r>
      <w:r/>
    </w:p>
    <w:p>
      <w:pPr>
        <w:pBdr/>
        <w:spacing/>
        <w:ind/>
        <w:rPr/>
      </w:pPr>
      <w:r>
        <w:rPr>
          <w:sz w:val="21"/>
        </w:rPr>
        <w:t xml:space="preserve">一、安全意识宣传通告</w:t>
      </w:r>
      <w:r/>
    </w:p>
    <w:p>
      <w:pPr>
        <w:pBdr/>
        <w:spacing/>
        <w:ind/>
        <w:rPr/>
      </w:pPr>
      <w:r>
        <w:rPr>
          <w:sz w:val="21"/>
        </w:rPr>
        <w:t xml:space="preserve">交付内容：结合项目周期内安全形势和监管要求，制作安全意识宣传材料，并通过邮件、内网公告、宣传海报等形式向目标人群发布通告，覆盖全员安全意识的常见风险点（如钓鱼邮件、弱口令、敏感信息泄露等）。</w:t>
      </w:r>
      <w:r/>
    </w:p>
    <w:p>
      <w:pPr>
        <w:pBdr/>
        <w:spacing/>
        <w:ind/>
        <w:rPr/>
      </w:pPr>
      <w:r>
        <w:rPr>
          <w:sz w:val="21"/>
        </w:rPr>
        <w:t xml:space="preserve">交付物：安全意识宣传通告文档（含宣传主题、内容素材、发布渠道及覆盖情况记录）。</w:t>
      </w:r>
      <w:r/>
    </w:p>
    <w:p>
      <w:pPr>
        <w:pBdr/>
        <w:spacing/>
        <w:ind/>
        <w:rPr/>
      </w:pPr>
      <w:r>
        <w:rPr>
          <w:sz w:val="21"/>
        </w:rPr>
        <w:t xml:space="preserve">交付时间：按项目计划执行，于合同期内每季度至少发布一期，具体时间以项目管理计划为准。</w:t>
      </w:r>
      <w:r/>
    </w:p>
    <w:p>
      <w:pPr>
        <w:pBdr/>
        <w:spacing/>
        <w:ind/>
        <w:rPr/>
      </w:pPr>
      <w:r>
        <w:rPr>
          <w:sz w:val="21"/>
        </w:rPr>
        <w:t xml:space="preserve">责任方：北京国舜科技股份有限公司安全服务团队。</w:t>
      </w:r>
      <w:r/>
    </w:p>
    <w:p>
      <w:pPr>
        <w:pBdr/>
        <w:spacing/>
        <w:ind/>
        <w:rPr/>
      </w:pPr>
      <w:r>
        <w:rPr>
          <w:sz w:val="21"/>
        </w:rPr>
        <w:t xml:space="preserve">验收标准：通告已按计划发布且覆盖目标人群，宣传内容符合采购方安全宣传要求，并留存发布记录供采购方核验。</w:t>
      </w:r>
      <w:r/>
    </w:p>
    <w:p>
      <w:pPr>
        <w:pBdr/>
        <w:spacing/>
        <w:ind/>
        <w:rPr/>
      </w:pPr>
      <w:r>
        <w:rPr>
          <w:sz w:val="21"/>
        </w:rPr>
        <w:t xml:space="preserve">二、勒索病毒专项演练</w:t>
      </w:r>
      <w:r/>
    </w:p>
    <w:p>
      <w:pPr>
        <w:pBdr/>
        <w:spacing/>
        <w:ind/>
        <w:rPr/>
      </w:pPr>
      <w:r>
        <w:rPr>
          <w:sz w:val="21"/>
        </w:rPr>
        <w:t xml:space="preserve">交付内容：结合采购方网络环境和业务特点，编制勒索病毒应急演练方案，组织开展桌面推演或实战化演练，验证勒索病毒发现、隔离、清除及恢复流程的有效性，并针对演练中发现的问题提出改进建议。</w:t>
      </w:r>
      <w:r/>
    </w:p>
    <w:p>
      <w:pPr>
        <w:pBdr/>
        <w:spacing/>
        <w:ind/>
        <w:rPr/>
      </w:pPr>
      <w:r>
        <w:rPr>
          <w:sz w:val="21"/>
        </w:rPr>
        <w:t xml:space="preserve">交付物：勒索病毒应急演练方案、演练过程记录、演练总结报告及整改建议清单。</w:t>
      </w:r>
      <w:r/>
    </w:p>
    <w:p>
      <w:pPr>
        <w:pBdr/>
        <w:spacing/>
        <w:ind/>
        <w:rPr/>
      </w:pPr>
      <w:r>
        <w:rPr>
          <w:sz w:val="21"/>
        </w:rPr>
        <w:t xml:space="preserve">交付时间：按项目计划执行，于合同期内至少组织一次专项演练，具体时间以项目管理计划为准。</w:t>
      </w:r>
      <w:r/>
    </w:p>
    <w:p>
      <w:pPr>
        <w:pBdr/>
        <w:spacing/>
        <w:ind/>
        <w:rPr/>
      </w:pPr>
      <w:r>
        <w:rPr>
          <w:sz w:val="21"/>
        </w:rPr>
        <w:t xml:space="preserve">责任方：北京国舜科技股份有限公司应急响应团队。</w:t>
      </w:r>
      <w:r/>
    </w:p>
    <w:p>
      <w:pPr>
        <w:pBdr/>
        <w:spacing/>
        <w:ind/>
        <w:rPr/>
      </w:pPr>
      <w:r>
        <w:rPr>
          <w:sz w:val="21"/>
        </w:rPr>
        <w:t xml:space="preserve">验收标准：演练过程完整、记录清晰，演练总结报告结论明确，整改建议具备可操作性，并经采购方确认演练目标达成。</w:t>
      </w:r>
      <w:r/>
    </w:p>
    <w:p>
      <w:pPr>
        <w:pBdr/>
        <w:spacing/>
        <w:ind/>
        <w:rPr/>
      </w:pPr>
      <w:r>
        <w:rPr>
          <w:sz w:val="21"/>
        </w:rPr>
        <w:t xml:space="preserve">三、安全防护策略专项核查与优化</w:t>
      </w:r>
      <w:r/>
    </w:p>
    <w:p>
      <w:pPr>
        <w:pBdr/>
        <w:spacing/>
        <w:ind/>
        <w:rPr/>
      </w:pPr>
      <w:r>
        <w:rPr>
          <w:sz w:val="21"/>
        </w:rPr>
        <w:t xml:space="preserve">交付内容：对采购方防火墙、入侵检测、WAF、终端防护等安全设备的安全策略进行专项核查，分析策略配置的合理性、有效性和冗余性，输出核查结果并完成策略调优建议，提升整体安全防护能力。</w:t>
      </w:r>
      <w:r/>
    </w:p>
    <w:p>
      <w:pPr>
        <w:pBdr/>
        <w:spacing/>
        <w:ind/>
        <w:rPr/>
      </w:pPr>
      <w:r>
        <w:rPr>
          <w:sz w:val="21"/>
        </w:rPr>
        <w:t xml:space="preserve">交付物：安全防护策略核查报告及优化建议文档（含策略现状分析、风险点及调优后的策略配置建议）。</w:t>
      </w:r>
      <w:r/>
    </w:p>
    <w:p>
      <w:pPr>
        <w:pBdr/>
        <w:spacing/>
        <w:ind/>
        <w:rPr/>
      </w:pPr>
      <w:r>
        <w:rPr>
          <w:sz w:val="21"/>
        </w:rPr>
        <w:t xml:space="preserve">交付时间：按项目计划执行，于合同期内完成至少一轮核查与优化，具体时间以项目管理计划为准。</w:t>
      </w:r>
      <w:r/>
    </w:p>
    <w:p>
      <w:pPr>
        <w:pBdr/>
        <w:spacing/>
        <w:ind/>
        <w:rPr/>
      </w:pPr>
      <w:r>
        <w:rPr>
          <w:sz w:val="21"/>
        </w:rPr>
        <w:t xml:space="preserve">责任方：北京国舜科技股份有限公司安全运维团队。</w:t>
      </w:r>
      <w:r/>
    </w:p>
    <w:p>
      <w:pPr>
        <w:pBdr/>
        <w:spacing/>
        <w:ind/>
        <w:rPr/>
      </w:pPr>
      <w:r>
        <w:rPr>
          <w:sz w:val="21"/>
        </w:rPr>
        <w:t xml:space="preserve">验收标准：策略核查报告内容详实、数据准确，优化建议符合安全基线要求，经采购方认可后完成策略调整并记录。</w:t>
      </w:r>
      <w:r/>
    </w:p>
    <w:p>
      <w:pPr>
        <w:pBdr/>
        <w:spacing/>
        <w:ind/>
        <w:rPr/>
      </w:pPr>
      <w:r>
        <w:rPr>
          <w:sz w:val="21"/>
        </w:rPr>
        <w:t xml:space="preserve">整体交付安排：上述增值服务均纳入项目整体实施计划，我司建立统一的交付管理流程，具体包括需求确认（与采购方就服务范围、时间安排和验收口径达成一致）、任务派发（由项目经理指定责任团队和责任人）、过程跟踪（通过项目周报、月度总结和里程碑评审对交付进度进行监控）、成果评审（由质量保障人员对交付物进行内部审核，确保内容完整、准确）、验收确认（提交采购方验收，并根据反馈进行修订直至验收通过）。通过该流程，确保每项增值服务按期、按质交付，并与主服务有机衔接。</w:t>
      </w:r>
      <w:r/>
    </w:p>
    <w:p>
      <w:pPr>
        <w:pBdr/>
        <w:spacing/>
        <w:ind/>
        <w:rPr/>
      </w:pPr>
      <w:r>
        <w:t xml:space="preserve">10.1.2增值服务质量保障与持续改进机制</w:t>
      </w:r>
      <w:r/>
    </w:p>
    <w:p>
      <w:pPr>
        <w:pBdr/>
        <w:spacing/>
        <w:ind/>
        <w:rPr/>
      </w:pPr>
      <w:r>
        <w:t xml:space="preserve">10.1.2增值服务质量保障与持续改进机制</w:t>
      </w:r>
      <w:r/>
    </w:p>
    <w:p>
      <w:pPr>
        <w:pBdr/>
        <w:spacing/>
        <w:ind/>
        <w:rPr/>
      </w:pPr>
      <w:r>
        <w:rPr>
          <w:sz w:val="21"/>
        </w:rPr>
        <w:t xml:space="preserve">为确保增值服务质量达到承诺标准并持续优化，我方建立覆盖全过程的质量保障与持续改进机制。在质量控制流程方面，制定标准化服务交付规范，将每项增值服务细化为启动、实施、交付、验收等阶段，明确各环节质量检查点和责任人，实行内部审核与复核，确保服务过程可追溯、结果可验证。在服务SLA方面，针对增值服务定义响应时间、处理时效等关键指标，并纳入项目考核；通过服务管理平台实时监控指标达成情况，对偏离风险主动预警并启动纠偏，确保服务按时保质交付。</w:t>
      </w:r>
      <w:r/>
    </w:p>
    <w:p>
      <w:pPr>
        <w:pBdr/>
        <w:spacing/>
        <w:ind/>
        <w:rPr/>
      </w:pPr>
      <w:r>
        <w:rPr>
          <w:sz w:val="21"/>
        </w:rPr>
        <w:t xml:space="preserve">在客户反馈机制方面，通过定期沟通例会、满意度调查、在线反馈平台等渠道主动收集客户意见，每次交付后均邀请客户评价，反馈信息由专人汇总分析并作为改进输入。在问题整改闭环方面，建立问题台账，对发现的问题明确整改责任与时限，跟踪验证直至关闭；对典型问题开展根因分析，制定纠正与预防措施，确保同类问题不再发生。</w:t>
      </w:r>
      <w:r/>
    </w:p>
    <w:p>
      <w:pPr>
        <w:pBdr/>
        <w:spacing/>
        <w:ind/>
        <w:rPr/>
      </w:pPr>
      <w:r>
        <w:rPr>
          <w:sz w:val="21"/>
        </w:rPr>
        <w:t xml:space="preserve">在定期评估优化方面，周期性分析服务数据，识别薄弱环节并制定改进措施。按月统计服务交付及时率、客户满意度等指标并形成质量报告，每季度召开服务质量评审会，评估机制运行效果，优化服务流程与资源配置。通过计划、执行、检查、处理的循环机制，推动服务质量稳步提升，确保增值服务长期保持高水平交付。</w:t>
      </w:r>
      <w:r/>
    </w:p>
    <w:p>
      <w:pPr>
        <w:pBdr/>
        <w:spacing/>
        <w:ind/>
        <w:rPr/>
      </w:pPr>
      <w:r>
        <w:t xml:space="preserve">10.1.3增值服务团队与资源保障</w:t>
      </w:r>
      <w:r/>
    </w:p>
    <w:p>
      <w:pPr>
        <w:pBdr/>
        <w:spacing/>
        <w:ind/>
        <w:rPr/>
      </w:pPr>
      <w:r>
        <w:t xml:space="preserve">10.1.3增值服务团队与资源保障</w:t>
      </w:r>
      <w:r/>
    </w:p>
    <w:p>
      <w:pPr>
        <w:pBdr/>
        <w:spacing/>
        <w:ind/>
        <w:rPr/>
      </w:pPr>
      <w:r>
        <w:rPr>
          <w:sz w:val="21"/>
        </w:rPr>
        <w:t xml:space="preserve">增值服务团队由公司统一调配，依托公司整体安全服务团队的丰富背景与人才储备，结合本项目增值服务范围，组建一支覆盖安全管理、技术实施、培训服务、应急演练、数据分析等专业方向的专项服务小组。团队设置项目经理、安全顾问、培训讲师、演练专家、技术支持人员、质量管理员等角色，按服务计划</w:t>
      </w:r>
      <w:r>
        <w:rPr>
          <w:sz w:val="21"/>
        </w:rPr>
        <w:t xml:space="preserve">合理配置人员数量，确保各环节资源充足。项目经理负责增值服务整体协调、进度管理和用户对接；安全顾问负责安全宣传、防护策略核查、安全数据分析等方案设计与专业咨询；培训讲师负责安全意识宣贯、专项培训和考核评估；演练专家负责勒索病毒演练、钓鱼邮件模拟、应急推演等活动的方案制定与组织实施；技术支持人员负责演练环境搭建、工具部署和现场保障；质量管理员负责服务过程监督、交付物检查和用户满意度跟踪。团队人员均具备CISP、CISSP、CISA等相关安全认证，具有金融行业安全服务实战经验，能够为用户提供稳定、专业的增值服务。</w:t>
      </w:r>
      <w:r/>
    </w:p>
    <w:p>
      <w:pPr>
        <w:pBdr/>
        <w:spacing/>
        <w:ind/>
        <w:rPr/>
      </w:pPr>
      <w:r>
        <w:rPr>
          <w:sz w:val="21"/>
        </w:rPr>
        <w:t xml:space="preserve">资源保障方面，公司为增值服务配置了专用的安全宣传素材库、培训课件库和演练工具包，并持续更新内容，保持与最新安全形势同步。依托公司安全知识库、漏洞库和专家库，为增值服务提供威胁情报、技术方案和疑难问题支持；与多家安全厂商、应急响应机构和行业伙伴建立合作关系，形成覆盖威胁预警、工具支撑、专家支援的协同资源池。同时，公司建立统一的协同工作平台，通过定期例会、专题评审、工作群组和问题升级流程，确保团队成员高效协作、信息同步、问题快速闭环。</w:t>
      </w:r>
      <w:r/>
    </w:p>
    <w:p>
      <w:pPr>
        <w:pBdr/>
        <w:spacing/>
        <w:ind/>
        <w:rPr/>
      </w:pPr>
      <w:r>
        <w:rPr>
          <w:sz w:val="21"/>
        </w:rPr>
        <w:t xml:space="preserve">应急保障措施上，团队实行7×24小时响应机制，制定增值服务专项应急预案，遇到突发网络安全事件或服务异常时可立即启动应急流程，调动公司后备技术力量和专家资源支援。针对安全演练、培训、宣传等专项活动，提前进行风险识别并制定现场风险预案，明确应急处置步骤和责任人，确保活动实施过程安全可控。所有增值服务均严格按照项目服务计划执行，建立服务质量记录和回访机制，主动接受用户监督和评价，及时优化服务方式，确保各项服务高质量交付。</w:t>
      </w:r>
      <w:r/>
    </w:p>
    <w:p>
      <w:pPr>
        <w:pBdr/>
        <w:spacing/>
        <w:ind/>
        <w:rPr/>
      </w:pPr>
      <w:r>
        <w:t xml:space="preserve">10.2安全宣传与意识提升类增值服务</w:t>
      </w:r>
      <w:r/>
    </w:p>
    <w:p>
      <w:pPr>
        <w:pBdr/>
        <w:spacing/>
        <w:ind/>
        <w:rPr/>
      </w:pPr>
      <w:r>
        <w:t xml:space="preserve">10.2安全宣传与意识提升类增值服务</w:t>
      </w:r>
      <w:r/>
    </w:p>
    <w:p>
      <w:pPr>
        <w:pBdr/>
        <w:spacing/>
        <w:ind/>
        <w:rPr/>
      </w:pPr>
      <w:r>
        <w:rPr>
          <w:b/>
          <w:sz w:val="21"/>
        </w:rPr>
        <w:t xml:space="preserve">安全宣传通告方面</w:t>
      </w:r>
      <w:r>
        <w:rPr>
          <w:sz w:val="21"/>
        </w:rPr>
        <w:t xml:space="preserve">：建立常态化安全宣传通告机制，按月度、季度定期编制威胁预警、风险提示及安全操作指南，并针对重大安全事件或紧急漏洞发布临时通告。通告内容涵盖新型钓鱼攻击手法、勒索病毒传播趋势、高危漏洞利用方式等，同时提供通俗易懂的处置建议。通过邮件、OA门户、企业微信等渠道向全员精准推送，确保安全信息及时触达每位员工。每期通告均附简明版“一图读懂”和FAQ，帮助员工快速掌握常见风险防范要点，并将历史通告归档形成知识库，供随时查阅。</w:t>
      </w:r>
      <w:r/>
    </w:p>
    <w:p>
      <w:pPr>
        <w:pBdr/>
        <w:spacing/>
        <w:ind/>
        <w:rPr/>
      </w:pPr>
      <w:r>
        <w:rPr>
          <w:b/>
          <w:sz w:val="21"/>
        </w:rPr>
        <w:t xml:space="preserve">安全意识培训方面</w:t>
      </w:r>
      <w:r>
        <w:rPr>
          <w:sz w:val="21"/>
        </w:rPr>
        <w:t xml:space="preserve">：按岗位分层分类组织培训，针对管理人员、技术人员和普通员工分别设计定制化课程。培训主题覆盖钓鱼邮件识别、弱口令防范、数据泄露防护、社交工程攻击应对等核心内容，并结合行业真实案例和互动问答、情景模拟等形式，加深员工理解。培训采取线上视频课程与线下现场授课相结合的方式，每年至少覆盖全员一次，新员工入职时同步开展安全基础培训。每次培训后进行效果测评，记录参训率和考核成绩，向贵单位提交培训总结报告和人员安全意识水平分析，便于持续优化后续培训计划。</w:t>
      </w:r>
      <w:r/>
    </w:p>
    <w:p>
      <w:pPr>
        <w:pBdr/>
        <w:spacing/>
        <w:ind/>
        <w:rPr/>
      </w:pPr>
      <w:r>
        <w:rPr>
          <w:b/>
          <w:sz w:val="21"/>
        </w:rPr>
        <w:t xml:space="preserve">勒索病毒演练方面</w:t>
      </w:r>
      <w:r>
        <w:rPr>
          <w:sz w:val="21"/>
        </w:rPr>
        <w:t xml:space="preserve">：结合贵单位业务实际设计贴近真实的模拟攻击场景，包括钓鱼邮件投递、恶意附件触发、内网横向扩散等典型勒索病毒入侵路径。我方将组织桌面推演或实战演练，完整模拟事件发现、上报、隔离、清除、恢复等应急处置全流程，重点检验现有应急响应预案的操作性和各团队之间的协同配合能力。演练结束后输出详细演练报告，包含时间线还原、处置决策点评、存在的问题及整改建议清单，并协助贵单位修订应急预案，切实提升应对勒索病毒事件的实战能力与恢复效率。</w:t>
      </w:r>
      <w:r/>
    </w:p>
    <w:p>
      <w:pPr>
        <w:pBdr/>
        <w:spacing/>
        <w:ind/>
        <w:rPr/>
      </w:pPr>
      <w:r>
        <w:rPr>
          <w:sz w:val="21"/>
        </w:rPr>
        <w:t xml:space="preserve">此外，我方还可根据需求提供安全知识在线测试与题库更新、网络安全宣传周策划与执行、安全意识宣传海报及短视频制作等延伸服务。通过趣味化、多样化的活动形式，激发员工主动学习安全的兴趣，协助贵单位营造全员参与、共筑防线的安全文化氛围，整体提升安全宣传与意识提升工作的覆盖面和影响力。</w:t>
      </w:r>
      <w:r/>
    </w:p>
    <w:p>
      <w:pPr>
        <w:pBdr/>
        <w:spacing/>
        <w:ind/>
        <w:rPr/>
      </w:pPr>
      <w:r>
        <w:t xml:space="preserve">10.2.1安全意识宣传通告服务</w:t>
      </w:r>
      <w:r/>
    </w:p>
    <w:p>
      <w:pPr>
        <w:pBdr/>
        <w:spacing/>
        <w:ind/>
        <w:rPr/>
      </w:pPr>
      <w:r>
        <w:t xml:space="preserve">10.2.1安全意识宣传通告服务</w:t>
      </w:r>
      <w:r/>
    </w:p>
    <w:p>
      <w:pPr>
        <w:pBdr/>
        <w:spacing/>
        <w:ind/>
        <w:rPr/>
      </w:pPr>
      <w:r>
        <w:rPr>
          <w:b/>
          <w:sz w:val="21"/>
        </w:rPr>
        <w:t xml:space="preserve">服务对象：</w:t>
      </w:r>
      <w:r>
        <w:rPr>
          <w:sz w:val="21"/>
        </w:rPr>
        <w:t xml:space="preserve"> 本项目安全意识宣传通告服务面向中邮资管全体员工。根据员工岗位和职责的不同，宣传内容有所侧重，使不同群体能够获得与自身工作相关的安全知识，提升全体人员的安全防范意识。</w:t>
      </w:r>
      <w:r/>
    </w:p>
    <w:p>
      <w:pPr>
        <w:pBdr/>
        <w:spacing/>
        <w:ind/>
        <w:rPr/>
      </w:pPr>
      <w:r>
        <w:rPr>
          <w:b/>
          <w:sz w:val="21"/>
        </w:rPr>
        <w:t xml:space="preserve">服务形式：</w:t>
      </w:r>
      <w:r>
        <w:rPr>
          <w:sz w:val="21"/>
        </w:rPr>
        <w:t xml:space="preserve"> 采用线上线下相结合的方式，具体包括：在办公区域张贴网络安全宣传海报；定期向员工邮箱发送网络安全宣传邮件；通过企业公众号推送安全宣传文章；在办公区电子屏轮播安全提示信息；结合年度安全宣传月等专项活动开展线下宣传。多种形式互相补充，扩大宣传覆盖面。</w:t>
      </w:r>
      <w:r/>
    </w:p>
    <w:p>
      <w:pPr>
        <w:pBdr/>
        <w:spacing/>
        <w:ind/>
        <w:rPr/>
      </w:pPr>
      <w:r>
        <w:rPr>
          <w:b/>
          <w:sz w:val="21"/>
        </w:rPr>
        <w:t xml:space="preserve">宣传主题规划：</w:t>
      </w:r>
      <w:r>
        <w:rPr>
          <w:sz w:val="21"/>
        </w:rPr>
        <w:t xml:space="preserve"> 依据行业高发安全威胁、监管政策要求及客户实际安全状况，制定年度宣传主题规划，并细化到季度和月度。常规宣传主题涵盖钓鱼邮件防范、弱口令与账号安全、数据泄露防护、终端安全、移动办公安全、社会工程学攻击识别、密码安全、隐私保护等。同时根据突发安全事件和新型漏洞动态调整宣传主题，保持内容的时效性和针对性。</w:t>
      </w:r>
      <w:r/>
    </w:p>
    <w:p>
      <w:pPr>
        <w:pBdr/>
        <w:spacing/>
        <w:ind/>
        <w:rPr/>
      </w:pPr>
      <w:r>
        <w:rPr>
          <w:b/>
          <w:sz w:val="21"/>
        </w:rPr>
        <w:t xml:space="preserve">通告发布渠道与频率：</w:t>
      </w:r>
      <w:r>
        <w:rPr>
          <w:sz w:val="21"/>
        </w:rPr>
        <w:t xml:space="preserve"> 通告以企业邮件、办公系统公告、即时通讯工作群为主要发布渠道。常规宣传内容按计划定期发布；重要安全预警和应急通告随时发布，不受固定周期限制。每季度对宣传效果进行总结，并与客户沟通调整后续发布计划。</w:t>
      </w:r>
      <w:r/>
    </w:p>
    <w:p>
      <w:pPr>
        <w:pBdr/>
        <w:spacing/>
        <w:ind/>
        <w:rPr/>
      </w:pPr>
      <w:r>
        <w:rPr>
          <w:b/>
          <w:sz w:val="21"/>
        </w:rPr>
        <w:t xml:space="preserve">材料制作流程：</w:t>
      </w:r>
      <w:r>
        <w:rPr>
          <w:sz w:val="21"/>
        </w:rPr>
        <w:t xml:space="preserve"> 首先根据宣传主题收集相关素材，编制宣传文案并进行视觉设计，形成材料初稿；随后由项目组内部审核材料的准确性和合规性，再提交客户信息安全管理部门确认；确认后通过既定渠道发布。所有宣传材料纳入素材库统一管理，便于后续更新和复用。</w:t>
      </w:r>
      <w:r/>
    </w:p>
    <w:p>
      <w:pPr>
        <w:pBdr/>
        <w:spacing/>
        <w:ind/>
        <w:rPr/>
      </w:pPr>
      <w:r>
        <w:rPr>
          <w:b/>
          <w:sz w:val="21"/>
        </w:rPr>
        <w:t xml:space="preserve">效果评价方式：</w:t>
      </w:r>
      <w:r>
        <w:rPr>
          <w:sz w:val="21"/>
        </w:rPr>
        <w:t xml:space="preserve"> 通过邮件系统的阅读量和链接点击率、公众号文章阅读量，以及组织员工参与网络安全知识测验和模拟钓鱼邮件演练等方式，量化评估宣传效果。每季度形成评估报告，分析员工安全意识变化情况，为后续宣传主题和形式优化提供依据。</w:t>
      </w:r>
      <w:r/>
    </w:p>
    <w:p>
      <w:pPr>
        <w:pBdr/>
        <w:spacing/>
        <w:ind/>
        <w:rPr/>
      </w:pPr>
      <w:r>
        <w:rPr>
          <w:b/>
          <w:sz w:val="21"/>
        </w:rPr>
        <w:t xml:space="preserve">应急响应机制：</w:t>
      </w:r>
      <w:r>
        <w:rPr>
          <w:sz w:val="21"/>
        </w:rPr>
        <w:t xml:space="preserve"> 针对突发网络安全事件或高危漏洞预警，启动安全通告应急响应流程。安全团队收到预警信息后立即研判影响范围和紧急程度，第一时间编制通告内容，并按照应急联络机制快速完成审核，通过全部可用渠道同步推送，确保风险提示及时传达至每一位员工。同时跟踪通告落实情况，配合客户做好后续应对。</w:t>
      </w:r>
      <w:r/>
    </w:p>
    <w:p>
      <w:pPr>
        <w:pBdr/>
        <w:spacing/>
        <w:ind/>
        <w:rPr/>
      </w:pPr>
      <w:r>
        <w:rPr>
          <w:b/>
          <w:sz w:val="21"/>
        </w:rPr>
        <w:t xml:space="preserve">宣传物料示例框架：</w:t>
      </w:r>
      <w:r>
        <w:rPr>
          <w:sz w:val="21"/>
        </w:rPr>
        <w:t xml:space="preserve"> 海报类物料采用风险情景配以简明操作建议的版式，突出核心信息；邮件周刊设置“风险提示”“案例解读”“防护建议”等栏目；公众号文章采用情景漫画或短视频脚本形式，增强可读性与传播性；电子屏提示内容简短醒目，循环播放关键安全要点。</w:t>
      </w:r>
      <w:r/>
    </w:p>
    <w:p>
      <w:pPr>
        <w:pBdr/>
        <w:spacing/>
        <w:ind/>
        <w:rPr/>
      </w:pPr>
      <w:r>
        <w:t xml:space="preserve">10.2.2安全意识培训与考核服务</w:t>
      </w:r>
      <w:r/>
    </w:p>
    <w:p>
      <w:pPr>
        <w:pBdr/>
        <w:spacing/>
        <w:ind/>
        <w:rPr/>
      </w:pPr>
      <w:r>
        <w:t xml:space="preserve">10.2.2安全意识培训与考核服务</w:t>
      </w:r>
      <w:r/>
    </w:p>
    <w:p>
      <w:pPr>
        <w:pBdr/>
        <w:spacing/>
        <w:ind/>
        <w:rPr/>
      </w:pPr>
      <w:r>
        <w:rPr>
          <w:sz w:val="21"/>
        </w:rPr>
        <w:t xml:space="preserve">我公司针对中邮资管员工安全意识现状，建立分层、分岗、常态化的安全意识培训与考核体系，切实提升全员网络安全素养。</w:t>
      </w:r>
      <w:r/>
    </w:p>
    <w:p>
      <w:pPr>
        <w:pBdr/>
        <w:spacing/>
        <w:ind/>
        <w:rPr/>
      </w:pPr>
      <w:r>
        <w:rPr>
          <w:sz w:val="21"/>
        </w:rPr>
        <w:t xml:space="preserve">本体系以提升全员安全意识和防护技能为目标，形成培训、考核、改进的闭环管理机制。</w:t>
      </w:r>
      <w:r/>
    </w:p>
    <w:p>
      <w:pPr>
        <w:pBdr/>
        <w:spacing/>
        <w:ind/>
        <w:rPr/>
      </w:pPr>
      <w:r>
        <w:rPr>
          <w:b/>
          <w:sz w:val="21"/>
        </w:rPr>
        <w:t xml:space="preserve">培训对象：</w:t>
      </w:r>
      <w:r>
        <w:rPr>
          <w:sz w:val="21"/>
        </w:rPr>
        <w:t xml:space="preserve">覆盖全体员工，按管理层、技术人员、普通员工分类施训，并结合新员工入职、关键岗位调整等场景开展针对性培训。</w:t>
      </w:r>
      <w:r/>
    </w:p>
    <w:p>
      <w:pPr>
        <w:pBdr/>
        <w:spacing/>
        <w:ind/>
        <w:rPr/>
      </w:pPr>
      <w:r>
        <w:rPr>
          <w:sz w:val="21"/>
        </w:rPr>
        <w:t xml:space="preserve">管理层侧重安全决策与合规要求，技术人员侧重攻防技术与应急响应，普通员工侧重操作规范与风险识别；新员工入职设置安全必修课，关键岗位调整时进行岗前安全培训。</w:t>
      </w:r>
      <w:r/>
    </w:p>
    <w:p>
      <w:pPr>
        <w:pBdr/>
        <w:spacing/>
        <w:ind/>
        <w:rPr/>
      </w:pPr>
      <w:r>
        <w:rPr>
          <w:b/>
          <w:sz w:val="21"/>
        </w:rPr>
        <w:t xml:space="preserve">培训内容：</w:t>
      </w:r>
      <w:r>
        <w:rPr>
          <w:sz w:val="21"/>
        </w:rPr>
        <w:t xml:space="preserve">主要包括网络安全形势与法律法规、钓鱼邮件识别技巧、密码安全与账号保护、数据分类分级与敏感信息处理、办公终端与移动设备安全、社会工程学防范等内容。</w:t>
      </w:r>
      <w:r/>
    </w:p>
    <w:p>
      <w:pPr>
        <w:pBdr/>
        <w:spacing/>
        <w:ind/>
        <w:rPr/>
      </w:pPr>
      <w:r>
        <w:rPr>
          <w:sz w:val="21"/>
        </w:rPr>
        <w:t xml:space="preserve">同时结合典型泄密案例和行业监管要求，深入剖析常见攻击手法，针对个人隐私保护、办公环境安全等提供具体指引，确保培训内容贴近实际、易于落地。</w:t>
      </w:r>
      <w:r/>
    </w:p>
    <w:p>
      <w:pPr>
        <w:pBdr/>
        <w:spacing/>
        <w:ind/>
        <w:rPr/>
      </w:pPr>
      <w:r>
        <w:rPr>
          <w:b/>
          <w:sz w:val="21"/>
        </w:rPr>
        <w:t xml:space="preserve">培训形式：</w:t>
      </w:r>
      <w:r>
        <w:rPr>
          <w:sz w:val="21"/>
        </w:rPr>
        <w:t xml:space="preserve">采用线上学习平台、线下集中授课与专题研讨相结合的方式，提供可回看的课程资源，适应不同岗位需求和时间安排。</w:t>
      </w:r>
      <w:r/>
    </w:p>
    <w:p>
      <w:pPr>
        <w:pBdr/>
        <w:spacing/>
        <w:ind/>
        <w:rPr/>
      </w:pPr>
      <w:r>
        <w:rPr>
          <w:sz w:val="21"/>
        </w:rPr>
        <w:t xml:space="preserve">线上平台支持学习进度跟踪与自动提醒，员工可灵活安排学习；线下培训注重互动与实操，通过模拟钓鱼邮件、现场演示等方式提升参与度；专题研讨围绕热点安全事件展开，促进经验交流。</w:t>
      </w:r>
      <w:r/>
    </w:p>
    <w:p>
      <w:pPr>
        <w:pBdr/>
        <w:spacing/>
        <w:ind/>
        <w:rPr/>
      </w:pPr>
      <w:r>
        <w:rPr>
          <w:b/>
          <w:sz w:val="21"/>
        </w:rPr>
        <w:t xml:space="preserve">培训频次与课时：</w:t>
      </w:r>
      <w:r>
        <w:rPr>
          <w:sz w:val="21"/>
        </w:rPr>
        <w:t xml:space="preserve">新员工入职必修；全员培训每年至少开展一次；针对财务、运维等高风险岗位每季度进行一次专题强化培训。</w:t>
      </w:r>
      <w:r/>
    </w:p>
    <w:p>
      <w:pPr>
        <w:pBdr/>
        <w:spacing/>
        <w:ind/>
        <w:rPr/>
      </w:pPr>
      <w:r>
        <w:rPr>
          <w:sz w:val="21"/>
        </w:rPr>
        <w:t xml:space="preserve">每次培训时长根据内容深度和岗位特点灵活设置，并安排定期复习与测试，巩固学习成果，确保安全意识持续在线。</w:t>
      </w:r>
      <w:r/>
    </w:p>
    <w:p>
      <w:pPr>
        <w:pBdr/>
        <w:spacing/>
        <w:ind/>
        <w:rPr/>
      </w:pPr>
      <w:r>
        <w:rPr>
          <w:b/>
          <w:sz w:val="21"/>
        </w:rPr>
        <w:t xml:space="preserve">考核方式：</w:t>
      </w:r>
      <w:r>
        <w:rPr>
          <w:sz w:val="21"/>
        </w:rPr>
        <w:t xml:space="preserve">通过在线测验和情景判断等方式检验培训效果，设置明确合格标准，未通过人员安排补训补考。</w:t>
      </w:r>
      <w:r/>
    </w:p>
    <w:p>
      <w:pPr>
        <w:pBdr/>
        <w:spacing/>
        <w:ind/>
        <w:rPr/>
      </w:pPr>
      <w:r>
        <w:rPr>
          <w:sz w:val="21"/>
        </w:rPr>
        <w:t xml:space="preserve">考核题目紧密联系实际工作场景，重点考察风险识别与应对能力；考核结果记入个人安全培训档案，并作为后续培训安排和绩效评价的参考。</w:t>
      </w:r>
      <w:r/>
    </w:p>
    <w:p>
      <w:pPr>
        <w:pBdr/>
        <w:spacing/>
        <w:ind/>
        <w:rPr/>
      </w:pPr>
      <w:r>
        <w:rPr>
          <w:b/>
          <w:sz w:val="21"/>
        </w:rPr>
        <w:t xml:space="preserve">效果评价与改进：</w:t>
      </w:r>
      <w:r>
        <w:rPr>
          <w:sz w:val="21"/>
        </w:rPr>
        <w:t xml:space="preserve">定期汇总考核成绩与培训反馈，分析员工安全认知薄弱点，动态调整培训内容与形式，持续优化培训体系。</w:t>
      </w:r>
      <w:r/>
    </w:p>
    <w:p>
      <w:pPr>
        <w:pBdr/>
        <w:spacing/>
        <w:ind/>
        <w:rPr/>
      </w:pPr>
      <w:r>
        <w:rPr>
          <w:sz w:val="21"/>
        </w:rPr>
        <w:t xml:space="preserve">综合运用问卷调查、行为观察、安全事件分析等方式评估培训效果，定期复盘培训开展情况，优化课程设计与授课方式，推动培训工作持续改进。</w:t>
      </w:r>
      <w:r/>
    </w:p>
    <w:p>
      <w:pPr>
        <w:pBdr/>
        <w:spacing/>
        <w:ind/>
        <w:rPr/>
      </w:pPr>
      <w:r>
        <w:t xml:space="preserve">10.2.3网络安全宣传专题宣贯支持</w:t>
      </w:r>
      <w:r/>
    </w:p>
    <w:p>
      <w:pPr>
        <w:pBdr/>
        <w:spacing/>
        <w:ind/>
        <w:rPr/>
      </w:pPr>
      <w:r>
        <w:t xml:space="preserve">10.2.3网络安全宣传专题宣贯支持</w:t>
      </w:r>
      <w:r/>
    </w:p>
    <w:p>
      <w:pPr>
        <w:pBdr/>
        <w:spacing/>
        <w:ind/>
        <w:rPr/>
      </w:pPr>
      <w:r>
        <w:rPr>
          <w:sz w:val="21"/>
        </w:rPr>
        <w:t xml:space="preserve">网络安全宣传专题宣贯支持服务旨在系统提升采购人全员网络安全素养，强化安全意识和防范能力。我司结合国家网络安全宣传周、法律法规发布、行业监管要求及热点安全事件，制定年度宣贯计划，按季度确定宣传主题，覆盖网络安全法律法规、数据安全与个人信息保护、办公终端安全、邮件安全、密码安全、社会工程学防范等方向。面向管理层、业务人员、技术人员及新入职员工等不同群体，开展分层差异化宣教，确保宣传内容贴近实际、精准触达。</w:t>
      </w:r>
      <w:r/>
    </w:p>
    <w:p>
      <w:pPr>
        <w:pBdr/>
        <w:spacing/>
        <w:ind/>
        <w:rPr/>
      </w:pPr>
      <w:r>
        <w:rPr>
          <w:sz w:val="21"/>
        </w:rPr>
        <w:t xml:space="preserve">在宣贯渠道方面，我司采用线上线下融合的方式，线下通过张贴主题海报、摆放易拉宝、利用电子屏滚动播放安全提示，线上通过推送邮件图文、发布公众号文章、在企业微信和内部网站开设专题专栏，并结合举办线上线下讲座、在线微课、知识竞赛等互动形式，提升员工参与积极性。活动频次上，按季度开展主题宣贯，同时结合重大活动保障、重要时期防护要求及突发安全事件，适时增加专项宣贯活动，形成常态与专项相结合的宣教节奏。</w:t>
      </w:r>
      <w:r/>
    </w:p>
    <w:p>
      <w:pPr>
        <w:pBdr/>
        <w:spacing/>
        <w:ind/>
        <w:rPr/>
      </w:pPr>
      <w:r>
        <w:rPr>
          <w:sz w:val="21"/>
        </w:rPr>
        <w:t xml:space="preserve">在内容策划与执行流程方面，每期活动遵循“调研需求—策划内容—审核发布—实施落地—效果评估”的闭环流程。首先，通过问卷调研、访谈等方式了解员工安全认知短板和关注焦点；其次，针对不同人群定制策划主题内容，采用图文、案例、短视频等通俗易懂的形式；经内部审核确保宣传内容准确合规后，通过多元渠道统一发布；实施过程中安排专人跟进互动答疑，收集员工问题。活动结束后，统计参与人数、测试成绩、问卷反馈等数据，评估各渠道覆盖率和知识掌握度，形成评估报告。</w:t>
      </w:r>
      <w:r/>
    </w:p>
    <w:p>
      <w:pPr>
        <w:pBdr/>
        <w:spacing/>
        <w:ind/>
        <w:rPr/>
      </w:pPr>
      <w:r>
        <w:rPr>
          <w:sz w:val="21"/>
        </w:rPr>
        <w:t xml:space="preserve">我司将根据评估结果持续修订宣贯主题、内容深度和传播形式，不断优化宣传策略，推动网络安全意识内化于心、外化于行，确保采购人全员网络安全素养逐年提升，构建坚实的人防体系。</w:t>
      </w:r>
      <w:r/>
    </w:p>
    <w:p>
      <w:pPr>
        <w:pBdr/>
        <w:spacing/>
        <w:ind/>
        <w:rPr/>
      </w:pPr>
      <w:r>
        <w:t xml:space="preserve">10.3应急与实战对抗类增值服务</w:t>
      </w:r>
      <w:r/>
    </w:p>
    <w:p>
      <w:pPr>
        <w:pBdr/>
        <w:spacing/>
        <w:ind/>
        <w:rPr/>
      </w:pPr>
      <w:r>
        <w:t xml:space="preserve">10.3应急与实战对抗类增值服务</w:t>
      </w:r>
      <w:r/>
    </w:p>
    <w:p>
      <w:pPr>
        <w:pBdr/>
        <w:spacing/>
        <w:ind/>
        <w:rPr/>
      </w:pPr>
      <w:r>
        <w:rPr>
          <w:sz w:val="21"/>
        </w:rPr>
        <w:t xml:space="preserve">应急与实战对抗类增值服务由北京国舜科技股份有限公司提供，旨在进一步增强中邮资管2026-2027年网络安全服务期间的整体应急响应能力。本类服务包括应急响应桌面推演、协同演练与管理制度优化三项核心内容，通过构建贴近实战的演练场景，对现有应急预案、组织协同及资源调度进行全面检验，确保安全事件发生时能够快速、有序、高效地开展处置工作。</w:t>
      </w:r>
      <w:r/>
    </w:p>
    <w:p>
      <w:pPr>
        <w:pBdr/>
        <w:spacing/>
        <w:ind/>
        <w:rPr/>
      </w:pPr>
      <w:r>
        <w:rPr>
          <w:sz w:val="21"/>
        </w:rPr>
        <w:t xml:space="preserve">总体思路以实战化为导向，按照“演练—评估—改进”的闭环模式推进，确保每次演练均能发现短板并转化为优化措</w:t>
      </w:r>
      <w:r>
        <w:rPr>
          <w:sz w:val="21"/>
        </w:rPr>
        <w:t xml:space="preserve">施。桌面推演侧重厘清职责与响应流程，通过模拟典型网络安全攻击场景，组织相关人员围绕事件监测、分析研判、处置决策等环节进行推演，重点检验应急组织架构是否健全、角色分工是否明确、处置流程是否顺畅。协同演练侧重检验跨部门联动与处置效率，通过设定突发事件情景，协调公司内部多部门以及与外部支持单位之间的协同配合，验证信息传递、资源调配和决策指挥等机制的有效性，提升整体协同作战能力。制度优化则巩固演练成果，依据演练中暴露出的问题，对现有应急预案、响应流程和操作规范进行针对性修订与完善，使应急预案更具备可操作性和时效性。</w:t>
      </w:r>
      <w:r/>
    </w:p>
    <w:p>
      <w:pPr>
        <w:pBdr/>
        <w:spacing/>
        <w:ind/>
        <w:rPr/>
      </w:pPr>
      <w:r>
        <w:rPr>
          <w:sz w:val="21"/>
        </w:rPr>
        <w:t xml:space="preserve">预期效果包括显著缩短突发事件的响应时间，提高处置流程的规范化水平，强化全员安全意识，并最终建立一套持续运转的应急管理长效机制。通过上述三项服务的有机结合，形成“演练发现问题—评估分析原因—制度固化改进”的良性循环，持续提升中邮资管的网络安全应急管理成熟度。本节作为总体概述，后续子章节将分别介绍各增值服务的实施细节与质量保障。</w:t>
      </w:r>
      <w:r/>
    </w:p>
    <w:p>
      <w:pPr>
        <w:pBdr/>
        <w:spacing/>
        <w:ind/>
        <w:rPr/>
      </w:pPr>
      <w:r>
        <w:t xml:space="preserve">10.3.1勒索病毒专项演练服务</w:t>
      </w:r>
      <w:r/>
    </w:p>
    <w:p>
      <w:pPr>
        <w:pBdr/>
        <w:spacing/>
        <w:ind/>
        <w:rPr/>
      </w:pPr>
      <w:r>
        <w:t xml:space="preserve">10.3.1勒索病毒专项演练服务</w:t>
      </w:r>
      <w:r/>
    </w:p>
    <w:p>
      <w:pPr>
        <w:pBdr/>
        <w:spacing/>
        <w:ind/>
        <w:rPr/>
      </w:pPr>
      <w:r>
        <w:rPr>
          <w:b/>
          <w:sz w:val="21"/>
        </w:rPr>
        <w:t xml:space="preserve">演练目标：</w:t>
      </w:r>
      <w:r>
        <w:rPr>
          <w:sz w:val="21"/>
        </w:rPr>
        <w:t xml:space="preserve"> 通过模拟勒索病毒攻击的完整过程，检验现有安全防护体系的有效性，验证应急响应流程的可行性，提升相关人员对勒索病毒的实战处置能力，确保在真实攻击发生时能够快速响应、有效遏制和及时恢复。同时以实战化为导向，注重发现防护体系中的薄弱点和应急流程中的短板，通过量化评估安全检测、响应、恢复等关键能力指标，推动安全运营能力的持续提升。</w:t>
      </w:r>
      <w:r/>
    </w:p>
    <w:p>
      <w:pPr>
        <w:pBdr/>
        <w:spacing/>
        <w:ind/>
        <w:rPr/>
      </w:pPr>
      <w:r>
        <w:rPr>
          <w:b/>
          <w:sz w:val="21"/>
        </w:rPr>
        <w:t xml:space="preserve">演练准备：</w:t>
      </w:r>
      <w:r>
        <w:rPr>
          <w:sz w:val="21"/>
        </w:rPr>
        <w:t xml:space="preserve"> 北京国舜科技股份有限公司将成立专项演练小组，结合中邮资管2026-2027年网络安全服务采购项目的实际环境，制定详细的演练方案，明确演练范围、时间、参与人员及职责。演练前进行资产梳理和风险评估，准备隔离的演练环境、测试工具和数据备份，确保演练不影响生产业务。演练前还编制实施手册和应急联络表，并对参与人员进行角色培训，确保各环节衔接顺畅。同时确认演练日期和窗口期，提前通知相关部门，避免与生产变更等计划冲突。</w:t>
      </w:r>
      <w:r/>
    </w:p>
    <w:p>
      <w:pPr>
        <w:pBdr/>
        <w:spacing/>
        <w:ind/>
        <w:rPr/>
      </w:pPr>
      <w:r>
        <w:rPr>
          <w:b/>
          <w:sz w:val="21"/>
        </w:rPr>
        <w:t xml:space="preserve">场景设计：</w:t>
      </w:r>
      <w:r>
        <w:rPr>
          <w:sz w:val="21"/>
        </w:rPr>
        <w:t xml:space="preserve"> 针对勒索病毒的典型攻击路径，设计包括初始入侵（如钓鱼邮件、漏洞利用）、横向移动（如内网探测、凭据窃取）、加密勒索（如批量加密、删除备份）等阶段的演练场景，并模拟病毒在不同主机上的传播和影响范围，重点考察安全检测、阻断和溯源能力。场景参考真实勒索病毒行为特征，设置多分支路径，根据防御响应动态调整，提升演练的真实性和对抗性。同时覆盖内网渗透、供应链攻击等复合手段，综合检验防护体系的纵深防御能力。</w:t>
      </w:r>
      <w:r/>
    </w:p>
    <w:p>
      <w:pPr>
        <w:pBdr/>
        <w:spacing/>
        <w:ind/>
        <w:rPr/>
      </w:pPr>
      <w:r>
        <w:rPr>
          <w:b/>
          <w:sz w:val="21"/>
        </w:rPr>
        <w:t xml:space="preserve">演练流程：</w:t>
      </w:r>
      <w:r>
        <w:rPr>
          <w:sz w:val="21"/>
        </w:rPr>
        <w:t xml:space="preserve"> 演练分为启动、执行、监控、结束四个阶段。启动阶段由演练控制组宣布演练开始并下达指令；执行阶段按场景设计注入模拟攻击流量和操作；监控阶段实时观察安全设备的告警记录、应急响应团队的处置动作和系统状态；结束阶段停止攻击、恢复系统并收集所有日志和证据。每个阶段均设置明确的入口出口条件，由观察员记录关键时间点，演练过程可随时安全中止。演练过程中安排安全控制组实时监测，确保模拟攻击不会造成真实损害。</w:t>
      </w:r>
      <w:r/>
    </w:p>
    <w:p>
      <w:pPr>
        <w:pBdr/>
        <w:spacing/>
        <w:ind/>
        <w:rPr/>
      </w:pPr>
      <w:r>
        <w:rPr>
          <w:b/>
          <w:sz w:val="21"/>
        </w:rPr>
        <w:t xml:space="preserve">应急响应协同机制：</w:t>
      </w:r>
      <w:r>
        <w:rPr>
          <w:sz w:val="21"/>
        </w:rPr>
        <w:t xml:space="preserve"> 明确安全团队、运维团队、管理层的职责分工，建立实时沟通和指挥机制。演练中模拟勒索病毒发现后的报告、联络、处置和上报流程，检验应急预案的可行性，强化跨部门协作能力和决策效率。建立多级响应体系和信息共享渠道，模拟跨部门联动处置，确保指令传达与行动执行同步。同时明确外部专家支援、厂商协助的联系方式，增强应对大规模勒索攻击的资源保障。</w:t>
      </w:r>
      <w:r/>
    </w:p>
    <w:p>
      <w:pPr>
        <w:pBdr/>
        <w:spacing/>
        <w:ind/>
        <w:rPr/>
      </w:pPr>
      <w:r>
        <w:rPr>
          <w:b/>
          <w:sz w:val="21"/>
        </w:rPr>
        <w:t xml:space="preserve">结果分析与报告：</w:t>
      </w:r>
      <w:r>
        <w:rPr>
          <w:sz w:val="21"/>
        </w:rPr>
        <w:t xml:space="preserve"> 演练结束后，对攻击路径、响应时间、处置措施和系统恢复情况进行全面分析，评估当前防护措施的有效性，找出薄弱环节，形成正式的演练报告，内容包括演练概况、测试数据、发现问题及改进建议。分析覆盖检测、防护、响应、恢复四个维度，用时间轴对比攻防动作，精准定位问题根因。同时评估安全意识、工具效能、流程效率等软性因素，形成多维度的能力画像。</w:t>
      </w:r>
      <w:r/>
    </w:p>
    <w:p>
      <w:pPr>
        <w:pBdr/>
        <w:spacing/>
        <w:ind/>
        <w:rPr/>
      </w:pPr>
      <w:r>
        <w:rPr>
          <w:b/>
          <w:sz w:val="21"/>
        </w:rPr>
        <w:t xml:space="preserve">整改与复测：</w:t>
      </w:r>
      <w:r>
        <w:rPr>
          <w:sz w:val="21"/>
        </w:rPr>
        <w:t xml:space="preserve"> 根据演练结果提出针对性整改建议，如安全策略优化、系统补丁更新、备份机制完善等，并跟踪整改落实情况。对重大漏洞安排复测，确保整改措施有效，形成闭环管理。制定整改计划并明确责任与时限，对暂无法整改的问题采取临时风险缓解措施，复测验证后关闭项点。同时将演练中更新的检测规则、处置手册纳入知识库，促进安全运营体系持续演进。</w:t>
      </w:r>
      <w:r/>
    </w:p>
    <w:p>
      <w:pPr>
        <w:pBdr/>
        <w:spacing/>
        <w:ind/>
        <w:rPr/>
      </w:pPr>
      <w:r>
        <w:t xml:space="preserve">10.3.2钓鱼邮件与社会工程学模拟演练</w:t>
      </w:r>
      <w:r/>
    </w:p>
    <w:p>
      <w:pPr>
        <w:pBdr/>
        <w:spacing/>
        <w:ind/>
        <w:rPr/>
      </w:pPr>
      <w:r>
        <w:t xml:space="preserve">10.3.2钓鱼邮件与社会工程学模拟演练</w:t>
      </w:r>
      <w:r/>
    </w:p>
    <w:p>
      <w:pPr>
        <w:pBdr/>
        <w:spacing/>
        <w:ind/>
        <w:rPr/>
      </w:pPr>
      <w:r>
        <w:rPr>
          <w:sz w:val="21"/>
        </w:rPr>
        <w:t xml:space="preserve">钓鱼邮件与社会工程学模拟演练是检验员工安全意识、提升整体防护能力的有效手段。我司将结合客户实际业务场景，定期组织演练，覆盖全员及各层级岗位，重点评估员工对钓鱼邮件、伪装电话、虚假身份等攻击的识别与应对能力。</w:t>
      </w:r>
      <w:r/>
    </w:p>
    <w:p>
      <w:pPr>
        <w:pBdr/>
        <w:spacing/>
        <w:ind/>
        <w:rPr/>
      </w:pPr>
      <w:r>
        <w:rPr>
          <w:sz w:val="21"/>
        </w:rPr>
        <w:t xml:space="preserve">演练目标包括检验员工对社会工程学攻击的辨识与响应能力，验证现有邮件网关与身份认证等技术防护措施的有效性，同时锻炼安全事件响应团队的协作处置能力。同时针对不同岗位设计差异化场景：对财务、人力资源等高风险岗位模拟涉及转账、薪资等敏感信息的攻击场景，对普通员工模拟系统升级、账号锁定等常见诱骗场景。</w:t>
      </w:r>
      <w:r/>
    </w:p>
    <w:p>
      <w:pPr>
        <w:pBdr/>
        <w:spacing/>
        <w:ind/>
        <w:rPr/>
      </w:pPr>
      <w:r>
        <w:rPr>
          <w:sz w:val="21"/>
        </w:rPr>
        <w:t xml:space="preserve">演练方案包括：设计贴近真实业务的高仿真钓鱼邮件模板，设置诱导链接、恶意附件、虚假账号登录等典型攻击场景；通过可控渠道定向发送，确保不影响实际业务运行。演练过程中记录邮件打开率、点击率、信息提交率等数据，并依据预设规则判定风险个体与高风险部门。</w:t>
      </w:r>
      <w:r/>
    </w:p>
    <w:p>
      <w:pPr>
        <w:pBdr/>
        <w:spacing/>
        <w:ind/>
        <w:rPr/>
      </w:pPr>
      <w:r>
        <w:rPr>
          <w:sz w:val="21"/>
        </w:rPr>
        <w:t xml:space="preserve">社会工程学攻击场景还包含伪装客服电话、虚假即时通讯消息、仿冒内部系统登录页以及基于公开信息定制目标话术等，全面模拟常见的社工攻击模式。演练周期采用季度定期组织与重要时期前专项演练相结合的方式，通过独立演练平台发送邮件，并设置白名单、发送频率限制等机制，确保不干扰正常业务。</w:t>
      </w:r>
      <w:r/>
    </w:p>
    <w:p>
      <w:pPr>
        <w:pBdr/>
        <w:spacing/>
        <w:ind/>
        <w:rPr/>
      </w:pPr>
      <w:r>
        <w:rPr>
          <w:sz w:val="21"/>
        </w:rPr>
        <w:t xml:space="preserve">演练结束后输出统计报告与整改建议，针对高危人群开展定向强化培训，同步优化邮件网关策略与身份验证流程。我司将演练结果纳入员工安全意识评价体系，持续跟踪整改效果，形成“演练—评估—改进—再演练”的闭环机制，切实提升客户整体安全防护水平。</w:t>
      </w:r>
      <w:r/>
    </w:p>
    <w:p>
      <w:pPr>
        <w:pBdr/>
        <w:spacing/>
        <w:ind/>
        <w:rPr/>
      </w:pPr>
      <w:r>
        <w:rPr>
          <w:sz w:val="21"/>
        </w:rPr>
        <w:t xml:space="preserve">同时通过推送安全宣传材料、开展微课堂、组织知识问答等配套措施强化员工防范意识，并将演练结果与安全绩效联动，持续巩固演练效果，全面提升客户整体安全防护水平。</w:t>
      </w:r>
      <w:r/>
    </w:p>
    <w:p>
      <w:pPr>
        <w:pBdr/>
        <w:spacing/>
        <w:ind/>
        <w:rPr/>
      </w:pPr>
      <w:r>
        <w:t xml:space="preserve">10.3.3应急响应桌面推演与协同演练</w:t>
      </w:r>
      <w:r/>
    </w:p>
    <w:p>
      <w:pPr>
        <w:pBdr/>
        <w:spacing/>
        <w:ind/>
        <w:rPr/>
      </w:pPr>
      <w:r>
        <w:t xml:space="preserve">10.3.3应急响应桌面推演与协同演练</w:t>
      </w:r>
      <w:r/>
    </w:p>
    <w:p>
      <w:pPr>
        <w:pBdr/>
        <w:spacing/>
        <w:ind/>
        <w:rPr/>
      </w:pPr>
      <w:r>
        <w:rPr>
          <w:b/>
          <w:sz w:val="21"/>
        </w:rPr>
        <w:t xml:space="preserve">演练目标：</w:t>
      </w:r>
      <w:r>
        <w:rPr>
          <w:sz w:val="21"/>
        </w:rPr>
        <w:t xml:space="preserve"> 本次桌面推演与协同演练旨在检验应急响应预案的有效性与可操作性，提升应急响应团队的协同处置能力与决策水平，发现并整改应急响应流程中的薄弱环节，确保在真实网络安全事件发生时能够快速、有序、高效地完成遏制、根除和恢复，降低事件影响。</w:t>
      </w:r>
      <w:r/>
    </w:p>
    <w:p>
      <w:pPr>
        <w:pBdr/>
        <w:spacing/>
        <w:ind/>
        <w:rPr/>
      </w:pPr>
      <w:r>
        <w:rPr>
          <w:b/>
          <w:sz w:val="21"/>
        </w:rPr>
        <w:t xml:space="preserve">场景设计：</w:t>
      </w:r>
      <w:r>
        <w:rPr>
          <w:sz w:val="21"/>
        </w:rPr>
        <w:t xml:space="preserve"> 结合中邮资管业务特点，设计多类典型网络安全事件场景，包括但不限于勒索软件攻击、数据泄露、DDoS攻击、钓鱼邮件等。每类场景设置事件触发条件、影响范围、演变过程及预期响应要求，以真实模拟事件处置全过程。</w:t>
      </w:r>
      <w:r/>
    </w:p>
    <w:p>
      <w:pPr>
        <w:pBdr/>
        <w:spacing/>
        <w:ind/>
        <w:rPr/>
      </w:pPr>
      <w:r>
        <w:rPr>
          <w:b/>
          <w:sz w:val="21"/>
        </w:rPr>
        <w:t xml:space="preserve">参与角色与职责：</w:t>
      </w:r>
      <w:r>
        <w:rPr>
          <w:sz w:val="21"/>
        </w:rPr>
        <w:t xml:space="preserve"> 明确参与人员的角色分工，包括应急总指挥（总体决策）、应急响应小组（事件处置）、安全运营人员（监测预警）、业务部门代表（影响评估）、法务合规人员（合规支持）及外部支持力量（厂商等）。各角色职责在预案中预先明确，并通过演练验证协作流畅度。</w:t>
      </w:r>
      <w:r/>
    </w:p>
    <w:p>
      <w:pPr>
        <w:pBdr/>
        <w:spacing/>
        <w:ind/>
        <w:rPr/>
      </w:pPr>
      <w:r>
        <w:rPr>
          <w:b/>
          <w:sz w:val="21"/>
        </w:rPr>
        <w:t xml:space="preserve">演练准备：</w:t>
      </w:r>
      <w:r>
        <w:rPr>
          <w:sz w:val="21"/>
        </w:rPr>
        <w:t xml:space="preserve"> 制定详细演练计划，包括时间安排、参与人名单、演练脚本、所需资源和保障措施。提前发布演练通知，确保参与人员知悉流程。准备模拟环境或演练平台，在不影响真实业务的前提下开展。同时建立演练微信群和电话会议机制，保障通讯畅通。</w:t>
      </w:r>
      <w:r/>
    </w:p>
    <w:p>
      <w:pPr>
        <w:pBdr/>
        <w:spacing/>
        <w:ind/>
        <w:rPr/>
      </w:pPr>
      <w:r>
        <w:rPr>
          <w:b/>
          <w:sz w:val="21"/>
        </w:rPr>
        <w:t xml:space="preserve">推演流程：</w:t>
      </w:r>
      <w:r>
        <w:rPr>
          <w:sz w:val="21"/>
        </w:rPr>
        <w:t xml:space="preserve"> 按照事件生命周期依次推演：事件发现与报告、初步分析与定级、应急响应启动、事件处置（遏制、根除、恢复）、事后总结。每个阶段设置关键决策点，由应急总指挥和小组负责人做出判断。推演过程中可通过注入突发事件（如系统宕机、数据丢失）考察临场应变能力。</w:t>
      </w:r>
      <w:r/>
    </w:p>
    <w:p>
      <w:pPr>
        <w:pBdr/>
        <w:spacing/>
        <w:ind/>
        <w:rPr/>
      </w:pPr>
      <w:r>
        <w:rPr>
          <w:b/>
          <w:sz w:val="21"/>
        </w:rPr>
        <w:t xml:space="preserve">协同机制：</w:t>
      </w:r>
      <w:r>
        <w:rPr>
          <w:sz w:val="21"/>
        </w:rPr>
        <w:t xml:space="preserve"> 建立统一指挥、分级响应的协同机制，明确信息通报路径与升级条件。各角色通过应急联络群实时同步进展，关键决策由应急总指挥牵头会商。处置过程中，安全运营团队与业务部门保持紧密配合，确保业务影响最小化。对于跨单位协同，明确外部支持资源的调用流程。</w:t>
      </w:r>
      <w:r/>
    </w:p>
    <w:p>
      <w:pPr>
        <w:pBdr/>
        <w:spacing/>
        <w:ind/>
        <w:rPr/>
      </w:pPr>
      <w:r>
        <w:rPr>
          <w:b/>
          <w:sz w:val="21"/>
        </w:rPr>
        <w:t xml:space="preserve">演练执行与记录：</w:t>
      </w:r>
      <w:r>
        <w:rPr>
          <w:sz w:val="21"/>
        </w:rPr>
        <w:t xml:space="preserve"> 演练按照预设脚本逐步推进，由观察员记录各环节时间节点、响应动作和决策质量。演练结束后，收集参与人员反馈和观察报告，形成完整的演练记录，作为后续改进的依据。</w:t>
      </w:r>
      <w:r/>
    </w:p>
    <w:p>
      <w:pPr>
        <w:pBdr/>
        <w:spacing/>
        <w:ind/>
        <w:rPr/>
      </w:pPr>
      <w:r>
        <w:rPr>
          <w:b/>
          <w:sz w:val="21"/>
        </w:rPr>
        <w:t xml:space="preserve">总结复盘与改进建议：</w:t>
      </w:r>
      <w:r>
        <w:rPr>
          <w:sz w:val="21"/>
        </w:rPr>
        <w:t xml:space="preserve"> 演练结束后组织复盘会议，对演练中暴露的预案缺失、响应延迟、沟通不畅等问题进行分析。针对问题修订应急预案和操作手册，优化响应流程和协同机制，并制定整改跟踪表。定期组织复训复演，确保改进措施落地生效，不断提升应急响应能力。</w:t>
      </w:r>
      <w:r/>
    </w:p>
    <w:p>
      <w:pPr>
        <w:pBdr/>
        <w:spacing/>
        <w:ind/>
        <w:rPr/>
      </w:pPr>
      <w:r>
        <w:t xml:space="preserve">10.4专项技术与定制化增值服务</w:t>
      </w:r>
      <w:r/>
    </w:p>
    <w:p>
      <w:pPr>
        <w:pBdr/>
        <w:spacing/>
        <w:ind/>
        <w:rPr/>
      </w:pPr>
      <w:r>
        <w:t xml:space="preserve">10.4专项技术与定制化增值服务</w:t>
      </w:r>
      <w:r/>
    </w:p>
    <w:p>
      <w:pPr>
        <w:pBdr/>
        <w:spacing/>
        <w:ind/>
        <w:rPr/>
      </w:pPr>
      <w:r>
        <w:rPr>
          <w:b/>
          <w:sz w:val="21"/>
        </w:rPr>
        <w:t xml:space="preserve">安全宣传通告</w:t>
      </w:r>
      <w:r>
        <w:rPr>
          <w:sz w:val="21"/>
        </w:rPr>
        <w:t xml:space="preserve">：服务目标为提升全员安全意识，降低因人为疏忽引发安全事件的风险。服务内容为定期编制宣传通告，结合高发漏洞、钓鱼邮件、社会工程等热点，提炼威胁态势与防护要点，并按岗位差异提供防护建议。以邮件推送为主，同步办公平台提醒，确保全员覆盖。每次发布后跟踪阅读情况与反馈，针对疑问在后续通告中解答。交付物为通告文档及阅读情况统计，并可按需定制专题，持续强化全员安全认知。</w:t>
      </w:r>
      <w:r/>
    </w:p>
    <w:p>
      <w:pPr>
        <w:pBdr/>
        <w:spacing/>
        <w:ind/>
        <w:rPr/>
      </w:pPr>
      <w:r>
        <w:rPr>
          <w:b/>
          <w:sz w:val="21"/>
        </w:rPr>
        <w:t xml:space="preserve">安全意识培训</w:t>
      </w:r>
      <w:r>
        <w:rPr>
          <w:sz w:val="21"/>
        </w:rPr>
        <w:t xml:space="preserve">：服务目标为提升员工对钓鱼邮件、密码安全、办公环境等常见风险识别能力。根据业务特点定制课程，区分高层、管理人员、普通员工和新员工层级。采用线上课程与现场互动结合，融入真实案例和问答，增强参与感。培训后组织考核，记录成绩并归档，未通过者安排补训。交付物包括课件、培训考核记录和年度分析报告，通过持续循环形成长效提升机制。</w:t>
      </w:r>
      <w:r/>
    </w:p>
    <w:p>
      <w:pPr>
        <w:pBdr/>
        <w:spacing/>
        <w:ind/>
        <w:rPr/>
      </w:pPr>
      <w:r>
        <w:rPr>
          <w:b/>
          <w:sz w:val="21"/>
        </w:rPr>
        <w:t xml:space="preserve">勒索病毒演练</w:t>
      </w:r>
      <w:r>
        <w:rPr>
          <w:sz w:val="21"/>
        </w:rPr>
        <w:t xml:space="preserve">：服务目标为检验防护和应急响应流程，发现薄弱环节。前期调研资产与业务，设计贴近实际的攻击场景，明确安全边界避免影响业务。演练覆盖检测、隔离、溯源、清除、恢复全流程，检验设备检测、团队响应时效、备份可用性和协作效率。结束后组织复盘，输出总结报告，列出问题清单与整改建议，并跟踪闭环整改，持续优化应急预案，提升实战处置能力。</w:t>
      </w:r>
      <w:r/>
    </w:p>
    <w:p>
      <w:pPr>
        <w:pBdr/>
        <w:spacing/>
        <w:ind/>
        <w:rPr/>
      </w:pPr>
      <w:r>
        <w:rPr>
          <w:sz w:val="21"/>
        </w:rPr>
        <w:t xml:space="preserve">这些定制化服务为基础防护提供有力补充，强化采购人安全治理能力。通过宣传、培训与演练的有机结合，不仅降低人员风险与事件概率，也为安全运营积累经验，形成持续增值效果。</w:t>
      </w:r>
      <w:r/>
    </w:p>
    <w:p>
      <w:pPr>
        <w:pBdr/>
        <w:spacing/>
        <w:ind/>
        <w:rPr/>
      </w:pPr>
      <w:r>
        <w:t xml:space="preserve">10.4.1安全防护策略专项核查与优化</w:t>
      </w:r>
      <w:r/>
    </w:p>
    <w:p>
      <w:pPr>
        <w:pBdr/>
        <w:spacing/>
        <w:ind/>
        <w:rPr/>
      </w:pPr>
      <w:r>
        <w:t xml:space="preserve">10.4.1安全防护策略专项核查与优化</w:t>
      </w:r>
      <w:r/>
    </w:p>
    <w:p>
      <w:pPr>
        <w:pBdr/>
        <w:spacing/>
        <w:ind/>
        <w:rPr/>
      </w:pPr>
      <w:r>
        <w:rPr>
          <w:sz w:val="21"/>
        </w:rPr>
        <w:t xml:space="preserve">安全防护策略专项核查与优化服务以我司生产网、办公网及数据中心的网络安全防护体系为对象，覆盖防火墙、Web应用防火墙、入侵检测与防御系统、数据安全策略、访问控制列表、安全组规则及远程接入策略等核心组件。核查工作依托标准化核查清单与自动化检查工具，采用安全基线对比、漏洞关联分析、配置合规检查、策略冗余分析及日志关联审计等方法，逐项检查设备配置、策略分发、规则命中及异常流量响应情况，全面识别策略配置缺陷、规则冗余、权限过度开放及防护盲区等风险。</w:t>
      </w:r>
      <w:r/>
    </w:p>
    <w:p>
      <w:pPr>
        <w:pBdr/>
        <w:spacing/>
        <w:ind/>
        <w:rPr/>
      </w:pPr>
      <w:r>
        <w:rPr>
          <w:sz w:val="21"/>
        </w:rPr>
        <w:t xml:space="preserve">实施过程按照“核查、分析、优化、验证、复评”的闭环路径开展。首</w:t>
      </w:r>
      <w:r>
        <w:rPr>
          <w:sz w:val="21"/>
        </w:rPr>
        <w:t xml:space="preserve">先，结合行业安全基线、等级保护要求及企业安全管理制度制定核查基线，对各类防护策略进行逐条梳理，并联动最新漏洞威胁情报与资产暴露面，评估策略的有效性与覆盖度；其次，对发现的问题进行风险分级，形成分优先级的优化建议，明确整改顺序与责任分工，并对每项建议详细说明风险成因、影响范围和预期收益；再次，在变更窗口内稳妥执行策略优化，通过灰度调整、业务连通性测试等措施降低影响，同步更新策略配置库与运维操作文档。优化完成后，利用模拟攻击验证、规则命中测试及基线再核查等手段，对比优化前后的防护效果，确认策略调整达到预期目标。</w:t>
      </w:r>
      <w:r/>
    </w:p>
    <w:p>
      <w:pPr>
        <w:pBdr/>
        <w:spacing/>
        <w:ind/>
        <w:rPr/>
      </w:pPr>
      <w:r>
        <w:rPr>
          <w:sz w:val="21"/>
        </w:rPr>
        <w:t xml:space="preserve">最终输出《安全防护策略核查与优化报告》，完整呈现核查范围、核查方法、问题清单、风险评级、优化前状态与优化后结果对比、残余风险说明及后续维护建议。同时，建立周期性复评机制，结合定期的策略审计、基线核查和专项检查，持续跟踪策略运行效果，动态适应业务变化与新型威胁演进，确保安全防护策略始终保持有效、合规、精简的状态，为整体防护能力的持续提升提供可靠保障。</w:t>
      </w:r>
      <w:r/>
    </w:p>
    <w:p>
      <w:pPr>
        <w:pBdr/>
        <w:spacing/>
        <w:ind/>
        <w:rPr/>
      </w:pPr>
      <w:r>
        <w:t xml:space="preserve">10.4.2定制化安全数据分析与专项报告</w:t>
      </w:r>
      <w:r/>
    </w:p>
    <w:p>
      <w:pPr>
        <w:pBdr/>
        <w:spacing/>
        <w:ind/>
        <w:rPr/>
      </w:pPr>
      <w:r>
        <w:t xml:space="preserve">10.4.2定制化安全数据分析与专项报告</w:t>
      </w:r>
      <w:r/>
    </w:p>
    <w:p>
      <w:pPr>
        <w:pBdr/>
        <w:spacing/>
        <w:ind/>
        <w:rPr/>
      </w:pPr>
      <w:r>
        <w:rPr>
          <w:b/>
          <w:sz w:val="21"/>
        </w:rPr>
        <w:t xml:space="preserve">数据采集范围：</w:t>
      </w:r>
      <w:r>
        <w:rPr>
          <w:sz w:val="21"/>
        </w:rPr>
        <w:t xml:space="preserve"> 覆盖采购人网络流量日志、安全设备告警、主机审计日志、漏洞扫描结果、资产台账等多源数据，并涵盖防火墙、入侵检测与防御系统、终端安全管理平台等组件的运行日志。通过统一清洗、标准化和关联归并，剔除冗余信息，确保分析基础全面、准确、可靠。</w:t>
      </w:r>
      <w:r/>
    </w:p>
    <w:p>
      <w:pPr>
        <w:pBdr/>
        <w:spacing/>
        <w:ind/>
        <w:rPr/>
      </w:pPr>
      <w:r>
        <w:rPr>
          <w:b/>
          <w:sz w:val="21"/>
        </w:rPr>
        <w:t xml:space="preserve">分析维度：</w:t>
      </w:r>
      <w:r>
        <w:rPr>
          <w:sz w:val="21"/>
        </w:rPr>
        <w:t xml:space="preserve"> 包括威胁告警趋势、漏洞分布与修复进展、攻击行为画像、资产风险暴露面等，并融合时间、空间、用户行为、数据流向等维度进行交叉分析。结合业务场景和资产重要性，识别潜在攻击链与高危风险点，输出高价值安全情报。</w:t>
      </w:r>
      <w:r/>
    </w:p>
    <w:p>
      <w:pPr>
        <w:pBdr/>
        <w:spacing/>
        <w:ind/>
        <w:rPr/>
      </w:pPr>
      <w:r>
        <w:rPr>
          <w:b/>
          <w:sz w:val="21"/>
        </w:rPr>
        <w:t xml:space="preserve">报告类型与周期：</w:t>
      </w:r>
      <w:r>
        <w:rPr>
          <w:sz w:val="21"/>
        </w:rPr>
        <w:t xml:space="preserve"> 提供日报、周报、月报及不定期专项报告。日报聚焦当日关键告警与处置进展，支撑快速响应；周报总结安全态势变化，辅助运维决策；月报开展全面评估与趋势预测，供管理层参考；专项报告针对重大活动保障、应急事件溯源、合规性评估等需求进行深度专题分析。</w:t>
      </w:r>
      <w:r/>
    </w:p>
    <w:p>
      <w:pPr>
        <w:pBdr/>
        <w:spacing/>
        <w:ind/>
        <w:rPr/>
      </w:pPr>
      <w:r>
        <w:rPr>
          <w:b/>
          <w:sz w:val="21"/>
        </w:rPr>
        <w:t xml:space="preserve">交付格式与内容结构：</w:t>
      </w:r>
      <w:r>
        <w:rPr>
          <w:sz w:val="21"/>
        </w:rPr>
        <w:t xml:space="preserve"> 以 PDF/Word 形式交付，并可提供可编辑数据表格。内容包含摘要、数据分析、风险预警、处置建议等章节，采用趋势图、占比图等多种可视化图表直观呈现。每份报告标注数据来源、统计口径和分析方法，附必要术语解释，确保专业规范。</w:t>
      </w:r>
      <w:r/>
    </w:p>
    <w:p>
      <w:pPr>
        <w:pBdr/>
        <w:spacing/>
        <w:ind/>
        <w:rPr/>
      </w:pPr>
      <w:r>
        <w:rPr>
          <w:b/>
          <w:sz w:val="21"/>
        </w:rPr>
        <w:t xml:space="preserve">数据脱敏与保密：</w:t>
      </w:r>
      <w:r>
        <w:rPr>
          <w:sz w:val="21"/>
        </w:rPr>
        <w:t xml:space="preserve"> 所有报告涉及敏感数据均做脱敏处理，包括IP地址匿名化、账户信息遮盖等。严格遵守保密协议，通过访问控制、水印标识和分发审计落实保密要求，仅限授权范围内使用和分发。</w:t>
      </w:r>
      <w:r/>
    </w:p>
    <w:p>
      <w:pPr>
        <w:pBdr/>
        <w:spacing/>
        <w:ind/>
        <w:rPr/>
      </w:pPr>
      <w:r>
        <w:rPr>
          <w:b/>
          <w:sz w:val="21"/>
        </w:rPr>
        <w:t xml:space="preserve">与安全运营衔接：</w:t>
      </w:r>
      <w:r>
        <w:rPr>
          <w:sz w:val="21"/>
        </w:rPr>
        <w:t xml:space="preserve"> 报告结果直接反馈至日常安全运营流程，与安全运维平台、告警工单系统衔接，形成“监测—分析—响应—优化”闭环。定期组织报告解读和安全形势会商，协助调整防护策略与处置优先级，为采购人安全管理决策提供数据支撑。</w:t>
      </w:r>
      <w:r/>
    </w:p>
    <w:p>
      <w:pPr>
        <w:pBdr/>
        <w:spacing/>
        <w:ind/>
        <w:rPr/>
      </w:pPr>
      <w:r>
        <w:t xml:space="preserve">10.4.3安全管理制度与流程优化建议</w:t>
      </w:r>
      <w:r/>
    </w:p>
    <w:p>
      <w:pPr>
        <w:pBdr/>
        <w:spacing/>
        <w:ind/>
        <w:rPr/>
      </w:pPr>
      <w:r>
        <w:t xml:space="preserve">10.4.3安全管理制度与流程优化建议</w:t>
      </w:r>
      <w:r/>
    </w:p>
    <w:p>
      <w:pPr>
        <w:pBdr/>
        <w:spacing/>
        <w:ind/>
        <w:rPr/>
      </w:pPr>
      <w:r>
        <w:rPr>
          <w:sz w:val="21"/>
        </w:rPr>
        <w:t xml:space="preserve">针对采购人现有安全管理体系，建议从以下方面实施优化：</w:t>
      </w:r>
      <w:r/>
    </w:p>
    <w:p>
      <w:pPr>
        <w:pBdr/>
        <w:spacing/>
        <w:ind/>
        <w:rPr/>
      </w:pPr>
      <w:r>
        <w:rPr>
          <w:b/>
          <w:sz w:val="21"/>
        </w:rPr>
        <w:t xml:space="preserve">现状评估：</w:t>
      </w:r>
      <w:r>
        <w:rPr>
          <w:sz w:val="21"/>
        </w:rPr>
        <w:t xml:space="preserve">开展安全管理现状调研与差距分析，采用访谈、问卷、文档审阅和现场核查相结合的方式，全面了解采购人现有安全管理体系的实际运行情况。对照监管要求（如网络安全法、数据安全法、等级保护制度等）和行业最佳实践（如ISO27001、NIST CSF等），从安全策略、组织架构、管理制度、业务流程、技术控制五个维度开展系统性差距分析，识别制度缺失、职责交叉、流程堵点和资源错配等问题。输出现状调研报告与差距清单，对每项问题明确优先级、风险等级和优化建议，作为后续制度架构优化和流程改进的输入依据。</w:t>
      </w:r>
      <w:r/>
    </w:p>
    <w:p>
      <w:pPr>
        <w:pBdr/>
        <w:spacing/>
        <w:ind/>
        <w:rPr/>
      </w:pPr>
      <w:r>
        <w:rPr>
          <w:b/>
          <w:sz w:val="21"/>
        </w:rPr>
        <w:t xml:space="preserve">制度架构优化：</w:t>
      </w:r>
      <w:r>
        <w:rPr>
          <w:sz w:val="21"/>
        </w:rPr>
        <w:t xml:space="preserve">构建以安全策略为统领、以安全管理制度为主体、以操作规程和记录表单为支撑的分层级制度体系。明确决策层（安全领导小组）、管理层（安全管理部门）、执行层（各业务与技术岗位）三级职责分工，形成“决策—管理—执行—反馈”的闭环治理机制。结合采购人业务特点和监管要求，补充完善安全操作细则、岗位安全责任书、安全考核办法及违规问责机制，同时建立制度版本管理与定期评审机制，确保制度的完整性、协调性与时效性。</w:t>
      </w:r>
      <w:r/>
    </w:p>
    <w:p>
      <w:pPr>
        <w:pBdr/>
        <w:spacing/>
        <w:ind/>
        <w:rPr/>
      </w:pPr>
      <w:r>
        <w:rPr>
          <w:b/>
          <w:sz w:val="21"/>
        </w:rPr>
        <w:t xml:space="preserve">流程梳理改进：</w:t>
      </w:r>
      <w:r>
        <w:rPr>
          <w:sz w:val="21"/>
        </w:rPr>
        <w:t xml:space="preserve">聚焦安全运维、事件响应、数据保护、供应商安全、应急响应等核心业务流程，采用流程建模与关键节点分析的方法，逐项梳理现状流程中的冗余环节、审批瓶颈和信息孤岛。结合采购人组织现状，优化流程责任矩阵（RACI），简化非必要审批节点，明确各环节输入、输出、时限和责任人，建立从发现、评估、处置、验证到反馈的闭环管理机制。同时推动流程线上化和关键控制点固化，借助安全运营平台实现流程自动化与可视化，提升跨部门协同效率和风险响应速度。</w:t>
      </w:r>
      <w:r/>
    </w:p>
    <w:p>
      <w:pPr>
        <w:pBdr/>
        <w:spacing/>
        <w:ind/>
        <w:rPr/>
      </w:pPr>
      <w:r>
        <w:rPr>
          <w:b/>
          <w:sz w:val="21"/>
        </w:rPr>
        <w:t xml:space="preserve">落地实施路径：</w:t>
      </w:r>
      <w:r>
        <w:rPr>
          <w:sz w:val="21"/>
        </w:rPr>
        <w:t xml:space="preserve">按照“规划—试点—推广—固化”四阶段推进，先选择安全管理基础较好的部门或系统开展试点，验证制度与流程的适用性和可操作性，根据反馈及时调整优化方案。在试点成功基础上，逐步向全公司推广，并同步开展分层分类的制度宣贯与流程培训，确保各级人员理解并有效执行。配套建立制度与流程的定期评审机制，结合内外部审计、安全演练和安全事件复盘，每年度至少开展一次全面评估，持续识别改进机会，推动安全管理体系与时俱进，确保各项优化措施切实落地并产生实效。</w:t>
      </w:r>
      <w:r/>
    </w:p>
    <w:p>
      <w:pPr>
        <w:pBdr/>
        <w:spacing/>
        <w:ind/>
        <w:rPr/>
      </w:pPr>
      <w:r>
        <w:t xml:space="preserve">十一、价格评分</w:t>
      </w:r>
      <w:r/>
    </w:p>
    <w:p>
      <w:pPr>
        <w:pBdr/>
        <w:spacing/>
        <w:ind/>
        <w:rPr/>
      </w:pPr>
      <w:r>
        <w:t xml:space="preserve">十一、价格评分</w:t>
      </w:r>
      <w:r/>
    </w:p>
    <w:p>
      <w:pPr>
        <w:pBdr/>
        <w:spacing/>
        <w:ind/>
        <w:rPr/>
      </w:pPr>
      <w:r>
        <w:rPr>
          <w:sz w:val="21"/>
        </w:rPr>
        <w:t xml:space="preserve">本章提供投标报价汇总，作为价格评分依据。我方已按招标文件要求及本项目服务范围，编制投标总报价，涵盖完成全部网络安全服务所需的所有费用，包括人工、工具、差旅及管理成本等，并确保报价的合理性、完整性。投标总报价及分项报价以《投标一览表》和《分项报价明细表》为准，作为价格评分的直接依据。</w:t>
      </w:r>
      <w:r/>
    </w:p>
    <w:p>
      <w:pPr>
        <w:pBdr/>
        <w:spacing/>
        <w:ind/>
        <w:rPr/>
      </w:pPr>
      <w:r>
        <w:rPr>
          <w:b/>
          <w:sz w:val="21"/>
        </w:rPr>
        <w:t xml:space="preserve">报价构成：</w:t>
      </w:r>
      <w:r>
        <w:rPr>
          <w:sz w:val="21"/>
        </w:rPr>
        <w:t xml:space="preserve">本项目报价主要由网络安全运营服务费、安全评估服务费、安全加固服务费、应急响应服务费及增值服务费等构成。分项价格根据服务内容、人员投入、技术难度及市场行情科学测算，各分项之间无交叉重复，且未包含任何不符合招标文件要求的附加费用。每项分项报价均与招标文件的服务范围、服务标准及考核要求逐项对应，确保报价口径与投标方案一致。</w:t>
      </w:r>
      <w:r/>
    </w:p>
    <w:p>
      <w:pPr>
        <w:pBdr/>
        <w:spacing/>
        <w:ind/>
        <w:rPr/>
      </w:pPr>
      <w:r>
        <w:rPr>
          <w:b/>
          <w:sz w:val="21"/>
        </w:rPr>
        <w:t xml:space="preserve">价格评分响应：</w:t>
      </w:r>
      <w:r>
        <w:rPr>
          <w:sz w:val="21"/>
        </w:rPr>
        <w:t xml:space="preserve">我方已认真研究招标文件的评审办法，完全理解评审基准价的确定方式及报价得分计算公式，即报价得分按照评审基准价除以投标报价再乘以相应权重的方式计算。我方投标报价真实有效，无恶意低价或虚假报价，能够确保服务质量和响应时效。我方承诺接受评审基准价与报价得分的核算结果，并保证价格评分计算所需的各项数据完整、可获得，配合评标委员会顺利完成价格评审。同时，我方将全力配合评标委员会对报价数据及计算过程的逐项复核，确保价格评分工作高效、准确完成。</w:t>
      </w:r>
      <w:r/>
    </w:p>
    <w:p>
      <w:pPr>
        <w:pBdr/>
        <w:spacing/>
        <w:ind/>
        <w:rPr/>
      </w:pPr>
      <w:r>
        <w:rPr>
          <w:b/>
          <w:sz w:val="21"/>
        </w:rPr>
        <w:t xml:space="preserve">评审配合与数据可追溯性：</w:t>
      </w:r>
      <w:r>
        <w:rPr>
          <w:sz w:val="21"/>
        </w:rPr>
        <w:t xml:space="preserve">我方将随投标文件提供完整的分项报价说明及价格构成依据，包括人员投入数量、工作时长、工具使用和差旅测算等基础数据，确保每一项报价内容可追溯、可核查。若评标委员会需要进一步说明，我方将在规定时限内提供书面澄清。</w:t>
      </w:r>
      <w:r/>
    </w:p>
    <w:p>
      <w:pPr>
        <w:pBdr/>
        <w:spacing/>
        <w:ind/>
        <w:rPr/>
      </w:pPr>
      <w:r>
        <w:t xml:space="preserve">11.1投标报价方案</w:t>
      </w:r>
      <w:r/>
    </w:p>
    <w:p>
      <w:pPr>
        <w:pBdr/>
        <w:spacing/>
        <w:ind/>
        <w:rPr/>
      </w:pPr>
      <w:r>
        <w:t xml:space="preserve">11.1投标报价方案</w:t>
      </w:r>
      <w:r/>
    </w:p>
    <w:p>
      <w:pPr>
        <w:pBdr/>
        <w:spacing/>
        <w:ind/>
        <w:rPr/>
      </w:pPr>
      <w:r>
        <w:rPr>
          <w:sz w:val="21"/>
        </w:rPr>
        <w:t xml:space="preserve">本投标报价方案针对中邮资管2026-2027年网络安全服务采购项目，基于招标文件要求和项目需求编制，涵盖技术服务、人员、设备及管理等全部费用。</w:t>
      </w:r>
      <w:r/>
    </w:p>
    <w:p>
      <w:pPr>
        <w:pBdr/>
        <w:spacing/>
        <w:ind/>
        <w:rPr/>
      </w:pPr>
      <w:r>
        <w:rPr>
          <w:sz w:val="21"/>
        </w:rPr>
        <w:t xml:space="preserve">本报价方案严格依据招标文件、项目需求书及国家相关法律法规编制，综合考虑服务内容、服务周期、人员投入、技术难度与市场行情，确保报价既体现服务价值，又具备竞争力。报价编制中对各模块工作量进行了科学估算，结合资源配置和管理成本，形成系统完整的报价体系。</w:t>
      </w:r>
      <w:r/>
    </w:p>
    <w:p>
      <w:pPr>
        <w:pBdr/>
        <w:spacing/>
        <w:ind/>
        <w:rPr/>
      </w:pPr>
      <w:r>
        <w:rPr>
          <w:b/>
          <w:sz w:val="21"/>
        </w:rPr>
        <w:t xml:space="preserve">报价原则：</w:t>
      </w:r>
      <w:r>
        <w:rPr>
          <w:sz w:val="21"/>
        </w:rPr>
        <w:t xml:space="preserve">合规、合理、透明、科学。严格遵循招标文件及相关法规，实事求是，不虚报不漏项。在保证服务质量前提下，优化资源配置，合理控制成本，提供高性价比服务。所有报价均基于明确范围和工作内容，避免模糊计价，确保公开透明。</w:t>
      </w:r>
      <w:r/>
    </w:p>
    <w:p>
      <w:pPr>
        <w:pBdr/>
        <w:spacing/>
        <w:ind/>
        <w:rPr/>
      </w:pPr>
      <w:r>
        <w:rPr>
          <w:b/>
          <w:sz w:val="21"/>
        </w:rPr>
        <w:t xml:space="preserve">服务范围：</w:t>
      </w:r>
      <w:r>
        <w:rPr>
          <w:sz w:val="21"/>
        </w:rPr>
        <w:t xml:space="preserve">覆盖全部网络安全技术服务内容，包括安全评估、安全运维、应急响应、安全咨询等涉及的人员、工具、交通及管理成本。</w:t>
      </w:r>
      <w:r/>
    </w:p>
    <w:p>
      <w:pPr>
        <w:pBdr/>
        <w:spacing/>
        <w:ind/>
        <w:rPr/>
      </w:pPr>
      <w:r>
        <w:rPr>
          <w:sz w:val="21"/>
        </w:rPr>
        <w:t xml:space="preserve">除人员、工具、交通及管理成本外，报价还包含专用检测设备租赁、漏洞验证环境搭建、应急响应备用资源、报告编制审核、专家咨询及后续保障等全部费用。服务范围覆盖招标文件所列全部技术需求，无漏项或另收费项目。</w:t>
      </w:r>
      <w:r/>
    </w:p>
    <w:p>
      <w:pPr>
        <w:pBdr/>
        <w:spacing/>
        <w:ind/>
        <w:rPr/>
      </w:pPr>
      <w:r>
        <w:rPr>
          <w:b/>
          <w:sz w:val="21"/>
        </w:rPr>
        <w:t xml:space="preserve">商务条款：</w:t>
      </w:r>
      <w:r>
        <w:rPr>
          <w:sz w:val="21"/>
        </w:rPr>
        <w:t xml:space="preserve">本报价为含税全包价，包含各项税费及一切可能费用，合同期内固定不变。付款、履约保证金、违约责任等严格遵循招标文件及合同约定，我方承诺无条件响应采购人合理需求。</w:t>
      </w:r>
      <w:r/>
    </w:p>
    <w:p>
      <w:pPr>
        <w:pBdr/>
        <w:spacing/>
        <w:ind/>
        <w:rPr/>
      </w:pPr>
      <w:r>
        <w:rPr>
          <w:sz w:val="21"/>
        </w:rPr>
        <w:t xml:space="preserve">后续章节将详细说明报价依据、计算方法、费用构成及有效性确认方式，并附汇总表及证明材料，确保有据可查。</w:t>
      </w:r>
      <w:r/>
    </w:p>
    <w:p>
      <w:pPr>
        <w:pBdr/>
        <w:spacing/>
        <w:ind/>
        <w:rPr/>
      </w:pPr>
      <w:r>
        <w:t xml:space="preserve">11.1.1报价依据与原则</w:t>
      </w:r>
      <w:r/>
    </w:p>
    <w:p>
      <w:pPr>
        <w:pBdr/>
        <w:spacing/>
        <w:ind/>
        <w:rPr/>
      </w:pPr>
      <w:r>
        <w:t xml:space="preserve">11.1.1报价依据与原则</w:t>
      </w:r>
      <w:r/>
    </w:p>
    <w:p>
      <w:pPr>
        <w:pBdr/>
        <w:spacing/>
        <w:ind/>
        <w:rPr/>
      </w:pPr>
      <w:r>
        <w:rPr>
          <w:b/>
          <w:sz w:val="21"/>
        </w:rPr>
        <w:t xml:space="preserve">报价依据：</w:t>
      </w:r>
      <w:r>
        <w:rPr>
          <w:sz w:val="21"/>
        </w:rPr>
        <w:t xml:space="preserve"> 本项目报价严格依据《中邮资管2026-2027年网络</w:t>
      </w:r>
      <w:r>
        <w:rPr>
          <w:sz w:val="21"/>
        </w:rPr>
        <w:t xml:space="preserve">安全服务采购项目》招标文件及澄清答疑文件、国家及行业网络安全服务相关收费政策、北京市市场行情，并结合我公司实际运营成本、技术实力及同类项目历史服务经验综合测算确定。具体而言，报价测算过程充分遵循国家有关法律法规和行业标准，参考了北京市网络安全服务市场近期公开招标成交价格及行业研究报告，综合评估了本项目服务周期、服务范围、技术难度、服务质量要求等多重因素。同时，我公司依据自身财务管理制度，对人工成本、设备投入、管理分摊及预期利润进行了精细化测算，确保报价既具备市场竞争力，又能保障服务资源的充足投入和履约质量。</w:t>
      </w:r>
      <w:r/>
    </w:p>
    <w:p>
      <w:pPr>
        <w:pBdr/>
        <w:spacing/>
        <w:ind/>
        <w:rPr/>
      </w:pPr>
      <w:r>
        <w:rPr>
          <w:b/>
          <w:sz w:val="21"/>
        </w:rPr>
        <w:t xml:space="preserve">报价原则：</w:t>
      </w:r>
      <w:r>
        <w:rPr>
          <w:sz w:val="21"/>
        </w:rPr>
        <w:t xml:space="preserve"> 我公司遵循合理性、完整性、透明性和竞争性四项原则。合理性指报价与市场水平及服务价值相符，各分项价格均经过充分市场调研和成本核算，杜绝虚高或恶意低价；完整性指报价覆盖招标文件要求的全部服务内容，已逐项对照需求清单进行核查，确保无遗漏、无歧义；透明性指报价构成公开明确，无隐含费用，各项费用分类清晰、计算依据充分，便于招标方审查；竞争性指在确保服务质量和履约能力的前提下，通过优化服务流程、合理配置资源，提供具有竞争力的价格，为招标方实现最优性价比。</w:t>
      </w:r>
      <w:r/>
    </w:p>
    <w:p>
      <w:pPr>
        <w:pBdr/>
        <w:spacing/>
        <w:ind/>
        <w:rPr/>
      </w:pPr>
      <w:r>
        <w:rPr>
          <w:b/>
          <w:sz w:val="21"/>
        </w:rPr>
        <w:t xml:space="preserve">报价构成：</w:t>
      </w:r>
      <w:r>
        <w:rPr>
          <w:sz w:val="21"/>
        </w:rPr>
        <w:t xml:space="preserve"> 本项目报价包含基础安全服务费、增值服务费、税金及其他相关费用，涵盖完成本项目所需的人工、设备、管理、利润等全部成本。其中，基础</w:t>
      </w:r>
      <w:r>
        <w:rPr>
          <w:sz w:val="21"/>
        </w:rPr>
        <w:t xml:space="preserve">安全服务费包括但不限于安全运营、漏洞扫描、渗透测试、风险评估、应急响应等常规服务相关的人员费用与工具费用；增值服务费包括安全意识宣传、勒索病毒演练、专项核查、钓鱼邮件模拟等定制化服务所需的额外投入；税金按照国家现行增值税税率及地方税收政策计取；其他相关费用包括项目实施过程中产生的合理差旅费、资料费等。除招标文件明确约定外，不收取其他任何费用。同时，下列情形产生的费用不包含在本报价内：招标范围外新增服务内容、因招标方原因导致的重大需求变更、不可抗力事件引发的额外支出，此类费用将按照双方另行协商的补充协议执行。</w:t>
      </w:r>
      <w:r/>
    </w:p>
    <w:p>
      <w:pPr>
        <w:pBdr/>
        <w:spacing/>
        <w:ind/>
        <w:rPr/>
      </w:pPr>
      <w:r>
        <w:t xml:space="preserve">11.1.2报价构成与汇总</w:t>
      </w:r>
      <w:r/>
    </w:p>
    <w:p>
      <w:pPr>
        <w:pBdr/>
        <w:spacing/>
        <w:ind/>
        <w:rPr/>
      </w:pPr>
      <w:r>
        <w:t xml:space="preserve">11.1.2报价构成与汇总</w:t>
      </w:r>
      <w:r/>
    </w:p>
    <w:p>
      <w:pPr>
        <w:pBdr/>
        <w:spacing/>
        <w:ind/>
        <w:rPr/>
      </w:pPr>
      <w:r>
        <w:rPr>
          <w:sz w:val="21"/>
        </w:rPr>
        <w:t xml:space="preserve">本项目报价由总报价与分项服务费用构成，整体遵循完整、清晰、可核对的原则，确保各服务环节费用如实反映工作量与服务价值。总报价涵盖中邮资管2026-2027年网络安全服务采购项目的全部工作内容，包括但不限于需求清单所列的各类网络安全服务及未单列但与实施相关的辅助工作，以及相关人工、工具、差旅、报告编制等所有相关费用，为含税价格，适用税率按国家相关税收政策执行。报价汇总表与分项报价表内容一致，确保费用清晰、无遗漏、无重复。</w:t>
      </w:r>
      <w:r/>
    </w:p>
    <w:p>
      <w:pPr>
        <w:pBdr/>
        <w:spacing/>
        <w:ind/>
        <w:rPr/>
      </w:pPr>
      <w:r>
        <w:rPr>
          <w:sz w:val="21"/>
        </w:rPr>
        <w:t xml:space="preserve">报价汇总表以总表形式列示项目总报价、服务周期及含税总价，便于采购方整体掌握费用规模。分项报价表按服务项目逐一分别列示，每项均载明服务项目名称、服务周期、单价、合价、适用税率及备注说明。各分项报价汇总后与总报价严格一致，确保费用清晰、无遗漏、无重复。分项报价表的设计充分考虑不同服务类型的计价特点，对按周期计费的服务以月为单位核算，对按次计费的服务以每次服务为核算单位，并明确各分项的服务起止时间与频次要求。</w:t>
      </w:r>
      <w:r/>
    </w:p>
    <w:p>
      <w:pPr>
        <w:pBdr/>
        <w:spacing/>
        <w:ind/>
        <w:rPr/>
      </w:pPr>
      <w:r>
        <w:rPr>
          <w:sz w:val="21"/>
        </w:rPr>
        <w:t xml:space="preserve">在报价汇总与分项报价的对应关系上，采用逐级汇总方式：先计算各分项报价合计，再与总报价进行交叉核对，确保两表数据完全一致。同时，报价中已包含履行本项目所需的一切税费、保险费、管理费及利润，采购方无需另行支付任何额外费用。报价货币为人民币。在服务实施过程中若出现合同范围外的工作，双方另行协商确定费用，但不影响本报价的完整性。本报价的构成已全面反映项目需求，不存在隐性和附加费用。</w:t>
      </w:r>
      <w:r/>
    </w:p>
    <w:p>
      <w:pPr>
        <w:pBdr/>
        <w:spacing/>
        <w:ind/>
        <w:rPr/>
      </w:pPr>
      <w:r>
        <w:t xml:space="preserve">11.2价格评分响应</w:t>
      </w:r>
      <w:r/>
    </w:p>
    <w:p>
      <w:pPr>
        <w:pBdr/>
        <w:spacing/>
        <w:ind/>
        <w:rPr/>
      </w:pPr>
      <w:r>
        <w:t xml:space="preserve">11.2价格评分响应</w:t>
      </w:r>
      <w:r/>
    </w:p>
    <w:p>
      <w:pPr>
        <w:pBdr/>
        <w:spacing/>
        <w:ind/>
        <w:rPr/>
      </w:pPr>
      <w:r>
        <w:rPr>
          <w:sz w:val="21"/>
        </w:rPr>
        <w:t xml:space="preserve">本投标人已认真阅读并充分理解招标文件关于价格评分办法的全部要求，现对价格评分响应作总体说明。</w:t>
      </w:r>
      <w:r/>
    </w:p>
    <w:p>
      <w:pPr>
        <w:pBdr/>
        <w:spacing/>
        <w:ind/>
        <w:rPr/>
      </w:pPr>
      <w:r>
        <w:rPr>
          <w:sz w:val="21"/>
        </w:rPr>
        <w:t xml:space="preserve">北京国舜科技股份有限公司针对中邮资管2026-2027年网络安全服务采购项目的投标报价，已严格依据招标文件规定的价格评分规则进行编制与响应。投标总报价为完成本项目全部服务内容所需的一切费用，包括但不限于人工、设备、差旅、税费等，报价范围完整，不存在遗漏或缺项。</w:t>
      </w:r>
      <w:r/>
    </w:p>
    <w:p>
      <w:pPr>
        <w:pBdr/>
        <w:spacing/>
        <w:ind/>
        <w:rPr/>
      </w:pPr>
      <w:r>
        <w:rPr>
          <w:sz w:val="21"/>
        </w:rPr>
        <w:t xml:space="preserve">在报价编制过程中，本公司组织商务和技术团队对招标文件中的服务范围、交付标准、人员投入计划及风险因素进行了逐条梳理，将人工、设备、差旅、管理及税费等全部成本构成纳入统一测算。报价采用定额测算与市场询价法相结合的方式，各分项费用均依据国家相关计价规范和市场行情合理确定，并在汇总层面统筹优化，确保总报价既完整覆盖服务内容，又具备市场竞争力。</w:t>
      </w:r>
      <w:r/>
    </w:p>
    <w:p>
      <w:pPr>
        <w:pBdr/>
        <w:spacing/>
        <w:ind/>
        <w:rPr/>
      </w:pPr>
      <w:r>
        <w:rPr>
          <w:sz w:val="21"/>
        </w:rPr>
        <w:t xml:space="preserve">本节作为价格评分响应的总述，重点说明报价与价格评分计算的对应结构关系：报价构成汇总及分项报价明细详见11.1.2节，价格评分计算的具体过程与得分依据详见11.2.2节。本公司在报价策略上，结合自身技术优势和行业市场行情，制定了具有竞争力的合理价格；在合理性方面，各项费用测算依据充分，成本构成清晰；在透明度方面，报价分项明确，便于评标委员会逐项核对。</w:t>
      </w:r>
      <w:r/>
    </w:p>
    <w:p>
      <w:pPr>
        <w:pBdr/>
        <w:spacing/>
        <w:ind/>
        <w:rPr/>
      </w:pPr>
      <w:r>
        <w:rPr>
          <w:sz w:val="21"/>
        </w:rPr>
        <w:t xml:space="preserve">本节按照“报价构成汇总—分项报价明细—价格评分计算—得分依据说明”的逻辑依次展开，形成与价格评分办法逐项对应的完整应答链。同时，本公司已对报价文件与服务方案中的服务内容、实施周期、考核指标等进行了交叉复核，确保报价范围与项目需求完全一致，不存在漏项、错项或表述歧义，为评标委员会准确开展价格评审提供清晰依据。</w:t>
      </w:r>
      <w:r/>
    </w:p>
    <w:p>
      <w:pPr>
        <w:pBdr/>
        <w:spacing/>
        <w:ind/>
        <w:rPr/>
      </w:pPr>
      <w:r>
        <w:rPr>
          <w:sz w:val="21"/>
        </w:rPr>
        <w:t xml:space="preserve">本公司承诺，一旦中标，将严格按投标报价执行，不擅自调整价格，并在服务期内保质保量完成全部合同义务。</w:t>
      </w:r>
      <w:r/>
    </w:p>
    <w:p>
      <w:pPr>
        <w:pBdr/>
        <w:spacing/>
        <w:ind/>
        <w:rPr/>
      </w:pPr>
      <w:r>
        <w:t xml:space="preserve">11.2.1报价有效性确认</w:t>
      </w:r>
      <w:r/>
    </w:p>
    <w:p>
      <w:pPr>
        <w:pBdr/>
        <w:spacing/>
        <w:ind/>
        <w:rPr/>
      </w:pPr>
      <w:r>
        <w:t xml:space="preserve">11.2.1报价有效性确认</w:t>
      </w:r>
      <w:r/>
    </w:p>
    <w:p>
      <w:pPr>
        <w:pBdr/>
        <w:spacing/>
        <w:ind/>
        <w:rPr/>
      </w:pPr>
      <w:r>
        <w:rPr>
          <w:sz w:val="21"/>
        </w:rPr>
        <w:t xml:space="preserve">致：中邮资管</w:t>
      </w:r>
      <w:r/>
    </w:p>
    <w:p>
      <w:pPr>
        <w:pBdr/>
        <w:spacing/>
        <w:ind/>
        <w:rPr/>
      </w:pPr>
      <w:r>
        <w:rPr>
          <w:sz w:val="21"/>
        </w:rPr>
        <w:t xml:space="preserve">我公司北京国舜科技股份有限公司，就中邮资管2026-2027年网络安全服务采购项目（标段1）的投标报价，特此确认如下：</w:t>
      </w:r>
      <w:r/>
    </w:p>
    <w:p>
      <w:pPr>
        <w:pBdr/>
        <w:spacing/>
        <w:ind/>
        <w:rPr/>
      </w:pPr>
      <w:r>
        <w:rPr>
          <w:sz w:val="21"/>
        </w:rPr>
        <w:t xml:space="preserve">一、报价有效期</w:t>
      </w:r>
      <w:r/>
    </w:p>
    <w:p>
      <w:pPr>
        <w:pBdr/>
        <w:spacing/>
        <w:ind/>
        <w:rPr/>
      </w:pPr>
      <w:r>
        <w:rPr>
          <w:sz w:val="21"/>
        </w:rPr>
        <w:t xml:space="preserve">本次投标报价有效期自投标截止时间起，至招标文件规定的投标有效期届满之日止（具体以招标文件载明的有效期为限）。在报价有效期内，我公司严格接受本报价承诺的约束，不擅自撤销、修改或变更报价。投标报价已涵盖招标文件要求的全部服务内容、责任和义务，且为完成本项目可能发生的一切费用均包含在报价中。</w:t>
      </w:r>
      <w:r/>
    </w:p>
    <w:p>
      <w:pPr>
        <w:pBdr/>
        <w:spacing/>
        <w:ind/>
        <w:rPr/>
      </w:pPr>
      <w:r>
        <w:rPr>
          <w:sz w:val="21"/>
        </w:rPr>
        <w:t xml:space="preserve">二、有效期内的承诺</w:t>
      </w:r>
      <w:r/>
    </w:p>
    <w:p>
      <w:pPr>
        <w:pBdr/>
        <w:spacing/>
        <w:ind/>
        <w:rPr/>
      </w:pPr>
      <w:r>
        <w:rPr>
          <w:sz w:val="21"/>
        </w:rPr>
        <w:t xml:space="preserve">在报价有效期内，我公司承诺：</w:t>
      </w:r>
      <w:r/>
    </w:p>
    <w:p>
      <w:pPr>
        <w:pStyle w:val="907"/>
        <w:pBdr/>
        <w:spacing/>
        <w:ind/>
        <w:rPr/>
      </w:pPr>
      <w:r>
        <w:t xml:space="preserve">所报价格保持固定不变，不因市场波动、政策调整等因素而改变。</w:t>
      </w:r>
      <w:r/>
    </w:p>
    <w:p>
      <w:pPr>
        <w:pStyle w:val="907"/>
        <w:pBdr/>
        <w:spacing/>
        <w:ind/>
        <w:rPr/>
      </w:pPr>
      <w:r>
        <w:t xml:space="preserve">若我公司中标，将严格按照投标报价签订合同，并全面履行投标文件中所作各项承诺，包括服务范围、技术方案、人员配置、增值服务内容等均与报价依据一致。</w:t>
      </w:r>
      <w:r/>
    </w:p>
    <w:p>
      <w:pPr>
        <w:pStyle w:val="907"/>
        <w:pBdr/>
        <w:spacing/>
        <w:ind/>
        <w:rPr/>
      </w:pPr>
      <w:r>
        <w:t xml:space="preserve">投标报价真实、合理、有效，不存在低于成本恶意竞争行为，也不存在任何虚假或误导性内容。</w:t>
      </w:r>
      <w:r/>
    </w:p>
    <w:p>
      <w:pPr>
        <w:pBdr/>
        <w:spacing/>
        <w:ind/>
        <w:rPr/>
      </w:pPr>
      <w:r>
        <w:rPr>
          <w:sz w:val="21"/>
        </w:rPr>
        <w:t xml:space="preserve">三、超出有效期的处理办法</w:t>
      </w:r>
      <w:r/>
    </w:p>
    <w:p>
      <w:pPr>
        <w:pBdr/>
        <w:spacing/>
        <w:ind/>
        <w:rPr/>
      </w:pPr>
      <w:r>
        <w:rPr>
          <w:sz w:val="21"/>
        </w:rPr>
        <w:t xml:space="preserve">若超出投标有效期，我公司将依据招标文件规定及招标人实际需求，与招标人协商确认报价是否延续或重新报价。若招标人同意延续原报价，我公司保证按原报价及同等条件继续提供服务，不追加任何额外费用；若需重新报价，我公司将积极配合，根据届时市场行情和服务内容提供公平、合理的价格。无论采取何种方式，均保证以双方书面协商结果为准。同时，超出有效期后，原报价承诺自动失效，除非双方另行达成书面协议并盖章确认。</w:t>
      </w:r>
      <w:r/>
    </w:p>
    <w:p>
      <w:pPr>
        <w:pBdr/>
        <w:spacing/>
        <w:ind/>
        <w:rPr/>
      </w:pPr>
      <w:r>
        <w:rPr>
          <w:sz w:val="21"/>
        </w:rPr>
        <w:t xml:space="preserve">四、承诺效力</w:t>
      </w:r>
      <w:r/>
    </w:p>
    <w:p>
      <w:pPr>
        <w:pBdr/>
        <w:spacing/>
        <w:ind/>
        <w:rPr/>
      </w:pPr>
      <w:r>
        <w:rPr>
          <w:sz w:val="21"/>
        </w:rPr>
        <w:t xml:space="preserve">本确认函作为投标文件的组成部分，与投标文件具有同等法律效力。我公司对报价内容的真实性、合法性负完全责任，并接受招标人及监管部门的监督。如有违反承诺的行为，我公司愿意承担由此产生的相应法律责任。</w:t>
      </w:r>
      <w:r/>
    </w:p>
    <w:p>
      <w:pPr>
        <w:pBdr/>
        <w:spacing/>
        <w:ind/>
        <w:rPr/>
      </w:pPr>
      <w:r>
        <w:rPr>
          <w:sz w:val="21"/>
        </w:rPr>
        <w:t xml:space="preserve">特此承诺。</w:t>
      </w:r>
      <w:r/>
    </w:p>
    <w:p>
      <w:pPr>
        <w:pBdr/>
        <w:spacing/>
        <w:ind/>
        <w:rPr/>
      </w:pPr>
      <w:r>
        <w:rPr>
          <w:sz w:val="21"/>
        </w:rPr>
        <w:t xml:space="preserve">投标人：北京国舜科技股份有限公司（盖章）</w:t>
      </w:r>
      <w:r/>
    </w:p>
    <w:p>
      <w:pPr>
        <w:pBdr/>
        <w:spacing/>
        <w:ind/>
        <w:rPr/>
      </w:pPr>
      <w:r>
        <w:rPr>
          <w:sz w:val="21"/>
        </w:rPr>
        <w:t xml:space="preserve">法定代表人或授权代表（签字）：</w:t>
      </w:r>
      <w:r/>
    </w:p>
    <w:p>
      <w:pPr>
        <w:pBdr/>
        <w:spacing/>
        <w:ind/>
        <w:rPr/>
      </w:pPr>
      <w:r>
        <w:rPr>
          <w:sz w:val="21"/>
        </w:rPr>
        <w:t xml:space="preserve">日期：____年____月____日</w:t>
      </w:r>
      <w:r/>
    </w:p>
    <w:p>
      <w:pPr>
        <w:pBdr/>
        <w:spacing/>
        <w:ind/>
        <w:rPr/>
      </w:pPr>
      <w:r>
        <w:t xml:space="preserve">11.2.2价格评分计算响应</w:t>
      </w:r>
      <w:r/>
    </w:p>
    <w:p>
      <w:pPr>
        <w:pBdr/>
        <w:spacing/>
        <w:ind/>
        <w:rPr/>
      </w:pPr>
      <w:r>
        <w:t xml:space="preserve">11.2.2价格评分计算响应</w:t>
      </w:r>
      <w:r/>
    </w:p>
    <w:p>
      <w:pPr>
        <w:pBdr/>
        <w:spacing/>
        <w:ind/>
        <w:rPr/>
      </w:pPr>
      <w:r>
        <w:rPr>
          <w:sz w:val="21"/>
        </w:rPr>
        <w:t xml:space="preserve">我司完全响应招标文件价格评分办法，承诺严格按照评标委员会依据招标文件确定的价格评分计算口径执行，具体响应如下。</w:t>
      </w:r>
      <w:r/>
    </w:p>
    <w:p>
      <w:pPr>
        <w:pBdr/>
        <w:spacing/>
        <w:ind/>
        <w:rPr/>
      </w:pPr>
      <w:r>
        <w:rPr>
          <w:sz w:val="21"/>
        </w:rPr>
        <w:t xml:space="preserve">关于评审基准价计算：评审基准价严格遵循招标文件规定的评审基准价计算公式确定，该公式以所有有效投标报价为基础进行综合计算，充分反映各投标人的报价水平，我司对此无任何异议，并认可其作为价格评分的基础基准。</w:t>
      </w:r>
      <w:r/>
    </w:p>
    <w:p>
      <w:pPr>
        <w:pBdr/>
        <w:spacing/>
        <w:ind/>
        <w:rPr/>
      </w:pPr>
      <w:r>
        <w:rPr>
          <w:sz w:val="21"/>
        </w:rPr>
        <w:t xml:space="preserve">关于投标报价与基准价的关系：我司投标报价与评审基准价的关系严格按照招标文件规定的偏差率计算方式予以计量，偏差率准确反映报价与基准价的偏离程度，并将作为价格得分核算的直接输入值，我司报价完整、真实、有效。</w:t>
      </w:r>
      <w:r/>
    </w:p>
    <w:p>
      <w:pPr>
        <w:pBdr/>
        <w:spacing/>
        <w:ind/>
        <w:rPr/>
      </w:pPr>
      <w:r>
        <w:rPr>
          <w:sz w:val="21"/>
        </w:rPr>
        <w:t xml:space="preserve">关于价格得分计算方法：价格得分严格按招标文件价格评分公式核算，根据偏差率落入的不同区间，对照相应的评分区间和减分标准逐项计算，确保价格得分计算过程客观、透明、可复核，我司完全接受该计算方法及其结果。</w:t>
      </w:r>
      <w:r/>
    </w:p>
    <w:p>
      <w:pPr>
        <w:pBdr/>
        <w:spacing/>
        <w:ind/>
        <w:rPr/>
      </w:pPr>
      <w:r>
        <w:rPr>
          <w:sz w:val="21"/>
        </w:rPr>
        <w:t xml:space="preserve">关于算术修正后的报价认定：若评标委员会依据招标文件规定对我司投标报价进行算术修正，我司将完全认可并接受经算术修正后的报价作为价格评分、排序比较及合同签订的依据，并在投标有效期内保持修正后报价对投标文件的约束力，不提出任何异议。</w:t>
      </w:r>
      <w:r/>
    </w:p>
    <w:p>
      <w:pPr>
        <w:pBdr/>
        <w:spacing/>
        <w:ind/>
        <w:rPr/>
      </w:pPr>
      <w:r>
        <w:rPr>
          <w:sz w:val="21"/>
        </w:rPr>
        <w:t xml:space="preserve">关于计算示例与说明：为便于理解，以评审基准价为A、投标报价为B为例，偏差率按招标文件规定的计算公式计算，价格得分根据评分公式在该偏差率下的对应分值确定。该示例仅用于说明计算逻辑，具体数值、公式、区间及系数均以招标文件及评标委员会最终核算为准，不影响我司对价格评分条款的实质性响应。</w:t>
      </w:r>
      <w:r/>
    </w:p>
    <w:p>
      <w:pPr>
        <w:pBdr/>
        <w:spacing/>
        <w:ind/>
        <w:rPr/>
      </w:pPr>
      <w:r>
        <w:rPr>
          <w:sz w:val="21"/>
        </w:rPr>
        <w:t xml:space="preserve">关于价格评分响应表：我司已编制价格评分响应表，逐项列明评审基准价计算公式响应、报价与基准价关系响应、价格得分计算响应、算术修正报价认定响应等内容，并给出明确的符合性说明，详细内容见报价文件。</w:t>
      </w:r>
      <w:r/>
    </w:p>
    <w:p>
      <w:pPr>
        <w:pBdr/>
        <w:spacing/>
        <w:ind/>
        <w:rPr/>
      </w:pPr>
      <w:r>
        <w:rPr>
          <w:sz w:val="21"/>
        </w:rPr>
        <w:t xml:space="preserve">综上，我司对价格评分计算全部口径已完整响应，无任何偏离，接受评标委员会依据招标文件作出的价格评分结果，并承诺配合评标委员会开展价格评分相关核查工作。</w:t>
      </w:r>
      <w:r/>
    </w:p>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753f3a7db65847e99af59519bed3fc2f"/>
        <w:category>
          <w:name w:val="Common"/>
          <w:gallery w:val="placeholder"/>
        </w:category>
        <w:types>
          <w:type w:val="bbPlcHdr"/>
        </w:types>
        <w:behaviors>
          <w:behavior w:val="content"/>
        </w:behaviors>
      </w:docPartPr>
      <w:docPartBody>
        <w:p w14:paraId="58CA0134">
          <w:pPr>
            <w:pBdr/>
            <w:spacing/>
            <w:ind/>
            <w:rPr>
              <w:rStyle w:val="867"/>
            </w:rPr>
          </w:pPr>
          <w:r>
            <w:rPr>
              <w:rStyle w:val="867"/>
            </w:rPr>
          </w:r>
          <w:r>
            <w:rPr>
              <w:rStyle w:val="867"/>
            </w:rPr>
            <w:t xml:space="preserve">项目名称</w:t>
          </w:r>
          <w:r>
            <w:rPr>
              <w:rStyle w:val="867"/>
            </w:rPr>
          </w:r>
          <w:r>
            <w:rPr>
              <w:rStyle w:val="867"/>
            </w:rPr>
          </w:r>
        </w:p>
      </w:docPartBody>
    </w:docPart>
    <w:docPart>
      <w:docPartPr>
        <w:name w:val="2d00d2a00dc448cfb6eef1544158bebb"/>
        <w:category>
          <w:name w:val="Common"/>
          <w:gallery w:val="placeholder"/>
        </w:category>
        <w:types>
          <w:type w:val="bbPlcHdr"/>
        </w:types>
        <w:behaviors>
          <w:behavior w:val="content"/>
        </w:behaviors>
      </w:docPartPr>
      <w:docPartBody>
        <w:p w14:paraId="7BCFDB56">
          <w:pPr>
            <w:pBdr/>
            <w:spacing/>
            <w:ind/>
            <w:rPr>
              <w:rStyle w:val="867"/>
              <w:highlight w:val="none"/>
            </w:rPr>
          </w:pPr>
          <w:r>
            <w:rPr>
              <w:rStyle w:val="867"/>
              <w:highlight w:val="none"/>
            </w:rPr>
          </w:r>
          <w:r>
            <w:rPr>
              <w:rStyle w:val="867"/>
              <w:highlight w:val="none"/>
            </w:rPr>
            <w:t xml:space="preserve">企业名称</w:t>
          </w:r>
          <w:r>
            <w:rPr>
              <w:rStyle w:val="867"/>
              <w:highlight w:val="none"/>
            </w:rPr>
          </w:r>
          <w:r>
            <w:rPr>
              <w:rStyle w:val="867"/>
              <w:highlight w:val="none"/>
            </w:rPr>
          </w:r>
        </w:p>
      </w:docPartBody>
    </w:docPart>
    <w:docPart>
      <w:docPartPr>
        <w:name w:val="74ef8e6e23804f3ea880fa0435584a20"/>
        <w:category>
          <w:name w:val="Common"/>
          <w:gallery w:val="placeholder"/>
        </w:category>
        <w:types>
          <w:type w:val="bbPlcHdr"/>
        </w:types>
        <w:behaviors>
          <w:behavior w:val="content"/>
        </w:behaviors>
      </w:docPartPr>
      <w:docPartBody>
        <w:p w14:paraId="35DED176">
          <w:pPr>
            <w:pBdr/>
            <w:spacing/>
            <w:ind/>
            <w:rPr>
              <w:rStyle w:val="867"/>
              <w:highlight w:val="none"/>
            </w:rPr>
          </w:pPr>
          <w:r>
            <w:rPr>
              <w:rStyle w:val="867"/>
              <w:highlight w:val="none"/>
            </w:rPr>
          </w:r>
          <w:r>
            <w:rPr>
              <w:rStyle w:val="867"/>
              <w:highlight w:val="none"/>
            </w:rPr>
            <w:t xml:space="preserve">统一社会信用代码</w:t>
          </w:r>
          <w:r>
            <w:rPr>
              <w:rStyle w:val="867"/>
              <w:highlight w:val="none"/>
            </w:rPr>
          </w:r>
          <w:r>
            <w:rPr>
              <w:rStyle w:val="867"/>
              <w:highlight w:val="none"/>
            </w:rP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3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Table Grid"/>
    <w:basedOn w:val="153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Table Grid Light"/>
    <w:basedOn w:val="15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Plain Table 1"/>
    <w:basedOn w:val="15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Plain Table 2"/>
    <w:basedOn w:val="15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Plain Table 3"/>
    <w:basedOn w:val="15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Plain Table 4"/>
    <w:basedOn w:val="15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Plain Table 5"/>
    <w:basedOn w:val="15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Grid Table 1 Light"/>
    <w:basedOn w:val="15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Grid Table 1 Light - Accent 1"/>
    <w:basedOn w:val="15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Grid Table 1 Light - Accent 2"/>
    <w:basedOn w:val="15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Grid Table 1 Light - Accent 3"/>
    <w:basedOn w:val="15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1 Light - Accent 4"/>
    <w:basedOn w:val="15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1 Light - Accent 5"/>
    <w:basedOn w:val="15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1 Light - Accent 6"/>
    <w:basedOn w:val="15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2"/>
    <w:basedOn w:val="15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2 - Accent 1"/>
    <w:basedOn w:val="15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Grid Table 2 - Accent 2"/>
    <w:basedOn w:val="15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Grid Table 2 - Accent 3"/>
    <w:basedOn w:val="15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Grid Table 2 - Accent 4"/>
    <w:basedOn w:val="15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Grid Table 2 - Accent 5"/>
    <w:basedOn w:val="15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Grid Table 2 - Accent 6"/>
    <w:basedOn w:val="15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Grid Table 3"/>
    <w:basedOn w:val="15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Grid Table 3 - Accent 1"/>
    <w:basedOn w:val="15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Grid Table 3 - Accent 2"/>
    <w:basedOn w:val="15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Grid Table 3 - Accent 3"/>
    <w:basedOn w:val="15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Grid Table 3 - Accent 4"/>
    <w:basedOn w:val="15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Grid Table 3 - Accent 5"/>
    <w:basedOn w:val="15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Grid Table 3 - Accent 6"/>
    <w:basedOn w:val="15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4"/>
    <w:basedOn w:val="15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Grid Table 4 - Accent 1"/>
    <w:basedOn w:val="15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4 - Accent 2"/>
    <w:basedOn w:val="15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Grid Table 4 - Accent 3"/>
    <w:basedOn w:val="15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Grid Table 4 - Accent 4"/>
    <w:basedOn w:val="15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4 - Accent 5"/>
    <w:basedOn w:val="15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4 - Accent 6"/>
    <w:basedOn w:val="15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5 Dark"/>
    <w:basedOn w:val="15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5 Dark- Accent 1"/>
    <w:basedOn w:val="15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5 Dark - Accent 2"/>
    <w:basedOn w:val="15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5 Dark - Accent 3"/>
    <w:basedOn w:val="15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5 Dark- Accent 4"/>
    <w:basedOn w:val="15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5 Dark - Accent 5"/>
    <w:basedOn w:val="15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5 Dark - Accent 6"/>
    <w:basedOn w:val="15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6 Colorful"/>
    <w:basedOn w:val="15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80">
    <w:name w:val="Grid Table 6 Colorful - Accent 1"/>
    <w:basedOn w:val="15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81">
    <w:name w:val="Grid Table 6 Colorful - Accent 2"/>
    <w:basedOn w:val="15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82">
    <w:name w:val="Grid Table 6 Colorful - Accent 3"/>
    <w:basedOn w:val="15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83">
    <w:name w:val="Grid Table 6 Colorful - Accent 4"/>
    <w:basedOn w:val="15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84">
    <w:name w:val="Grid Table 6 Colorful - Accent 5"/>
    <w:basedOn w:val="15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85">
    <w:name w:val="Grid Table 6 Colorful - Accent 6"/>
    <w:basedOn w:val="15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86">
    <w:name w:val="Grid Table 7 Colorful"/>
    <w:basedOn w:val="15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7 Colorful - Accent 1"/>
    <w:basedOn w:val="15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7 Colorful - Accent 2"/>
    <w:basedOn w:val="15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7 Colorful - Accent 3"/>
    <w:basedOn w:val="15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7 Colorful - Accent 4"/>
    <w:basedOn w:val="15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7 Colorful - Accent 5"/>
    <w:basedOn w:val="15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7 Colorful - Accent 6"/>
    <w:basedOn w:val="15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st Table 1 Light"/>
    <w:basedOn w:val="15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st Table 1 Light - Accent 1"/>
    <w:basedOn w:val="15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st Table 1 Light - Accent 2"/>
    <w:basedOn w:val="15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List Table 1 Light - Accent 3"/>
    <w:basedOn w:val="15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st Table 1 Light - Accent 4"/>
    <w:basedOn w:val="15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List Table 1 Light - Accent 5"/>
    <w:basedOn w:val="15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List Table 1 Light - Accent 6"/>
    <w:basedOn w:val="15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List Table 2"/>
    <w:basedOn w:val="15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List Table 2 - Accent 1"/>
    <w:basedOn w:val="15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List Table 2 - Accent 2"/>
    <w:basedOn w:val="15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List Table 2 - Accent 3"/>
    <w:basedOn w:val="15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List Table 2 - Accent 4"/>
    <w:basedOn w:val="15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List Table 2 - Accent 5"/>
    <w:basedOn w:val="15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List Table 2 - Accent 6"/>
    <w:basedOn w:val="15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List Table 3"/>
    <w:basedOn w:val="15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st Table 3 - Accent 1"/>
    <w:basedOn w:val="15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List Table 3 - Accent 2"/>
    <w:basedOn w:val="15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List Table 3 - Accent 3"/>
    <w:basedOn w:val="15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List Table 3 - Accent 4"/>
    <w:basedOn w:val="15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List Table 3 - Accent 5"/>
    <w:basedOn w:val="15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List Table 3 - Accent 6"/>
    <w:basedOn w:val="15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List Table 4"/>
    <w:basedOn w:val="15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List Table 4 - Accent 1"/>
    <w:basedOn w:val="15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List Table 4 - Accent 2"/>
    <w:basedOn w:val="15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List Table 4 - Accent 3"/>
    <w:basedOn w:val="15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List Table 4 - Accent 4"/>
    <w:basedOn w:val="15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4 - Accent 5"/>
    <w:basedOn w:val="15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4 - Accent 6"/>
    <w:basedOn w:val="15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5 Dark"/>
    <w:basedOn w:val="15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2">
    <w:name w:val="List Table 5 Dark - Accent 1"/>
    <w:basedOn w:val="15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3">
    <w:name w:val="List Table 5 Dark - Accent 2"/>
    <w:basedOn w:val="15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4">
    <w:name w:val="List Table 5 Dark - Accent 3"/>
    <w:basedOn w:val="15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5">
    <w:name w:val="List Table 5 Dark - Accent 4"/>
    <w:basedOn w:val="15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6">
    <w:name w:val="List Table 5 Dark - Accent 5"/>
    <w:basedOn w:val="15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7">
    <w:name w:val="List Table 5 Dark - Accent 6"/>
    <w:basedOn w:val="15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8">
    <w:name w:val="List Table 6 Colorful"/>
    <w:basedOn w:val="15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6 Colorful - Accent 1"/>
    <w:basedOn w:val="15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6 Colorful - Accent 2"/>
    <w:basedOn w:val="15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6 Colorful - Accent 3"/>
    <w:basedOn w:val="15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6 Colorful - Accent 4"/>
    <w:basedOn w:val="15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6 Colorful - Accent 5"/>
    <w:basedOn w:val="15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6 Colorful - Accent 6"/>
    <w:basedOn w:val="15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7 Colorful"/>
    <w:basedOn w:val="15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36">
    <w:name w:val="List Table 7 Colorful - Accent 1"/>
    <w:basedOn w:val="15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37">
    <w:name w:val="List Table 7 Colorful - Accent 2"/>
    <w:basedOn w:val="15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38">
    <w:name w:val="List Table 7 Colorful - Accent 3"/>
    <w:basedOn w:val="15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39">
    <w:name w:val="List Table 7 Colorful - Accent 4"/>
    <w:basedOn w:val="15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40">
    <w:name w:val="List Table 7 Colorful - Accent 5"/>
    <w:basedOn w:val="15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41">
    <w:name w:val="List Table 7 Colorful - Accent 6"/>
    <w:basedOn w:val="15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42">
    <w:name w:val="Lined - Accent"/>
    <w:basedOn w:val="15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ned - Accent 1"/>
    <w:basedOn w:val="15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ned - Accent 2"/>
    <w:basedOn w:val="15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ned - Accent 3"/>
    <w:basedOn w:val="15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ned - Accent 4"/>
    <w:basedOn w:val="15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ned - Accent 5"/>
    <w:basedOn w:val="15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Lined - Accent 6"/>
    <w:basedOn w:val="15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Bordered &amp; Lined - Accent"/>
    <w:basedOn w:val="15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Bordered &amp; Lined - Accent 1"/>
    <w:basedOn w:val="15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Bordered &amp; Lined - Accent 2"/>
    <w:basedOn w:val="15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Bordered &amp; Lined - Accent 3"/>
    <w:basedOn w:val="15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Bordered &amp; Lined - Accent 4"/>
    <w:basedOn w:val="15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Bordered &amp; Lined - Accent 5"/>
    <w:basedOn w:val="15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Bordered &amp; Lined - Accent 6"/>
    <w:basedOn w:val="15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Bordered"/>
    <w:basedOn w:val="15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Bordered - Accent 1"/>
    <w:basedOn w:val="15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Bordered - Accent 2"/>
    <w:basedOn w:val="15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Bordered - Accent 3"/>
    <w:basedOn w:val="15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Bordered - Accent 4"/>
    <w:basedOn w:val="15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Bordered - Accent 5"/>
    <w:basedOn w:val="15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Bordered - Accent 6"/>
    <w:basedOn w:val="15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63" w:default="1">
    <w:name w:val="Normal"/>
    <w:qFormat/>
    <w:pPr>
      <w:pBdr/>
      <w:spacing/>
      <w:ind/>
    </w:pPr>
  </w:style>
  <w:style w:type="paragraph" w:styleId="1664">
    <w:name w:val="Heading 1"/>
    <w:basedOn w:val="1663"/>
    <w:next w:val="1663"/>
    <w:link w:val="167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65">
    <w:name w:val="Heading 2"/>
    <w:basedOn w:val="1663"/>
    <w:next w:val="1663"/>
    <w:link w:val="167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66">
    <w:name w:val="Heading 3"/>
    <w:basedOn w:val="1663"/>
    <w:next w:val="1663"/>
    <w:link w:val="167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67">
    <w:name w:val="Heading 4"/>
    <w:basedOn w:val="1663"/>
    <w:next w:val="1663"/>
    <w:link w:val="167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68">
    <w:name w:val="Heading 5"/>
    <w:basedOn w:val="1663"/>
    <w:next w:val="1663"/>
    <w:link w:val="167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69">
    <w:name w:val="Heading 6"/>
    <w:basedOn w:val="1663"/>
    <w:next w:val="1663"/>
    <w:link w:val="168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70">
    <w:name w:val="Heading 7"/>
    <w:basedOn w:val="1663"/>
    <w:next w:val="1663"/>
    <w:link w:val="16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71">
    <w:name w:val="Heading 8"/>
    <w:basedOn w:val="1663"/>
    <w:next w:val="1663"/>
    <w:link w:val="16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72">
    <w:name w:val="Heading 9"/>
    <w:basedOn w:val="1663"/>
    <w:next w:val="1663"/>
    <w:link w:val="16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73" w:default="1">
    <w:name w:val="Default Paragraph Font"/>
    <w:uiPriority w:val="1"/>
    <w:semiHidden/>
    <w:unhideWhenUsed/>
    <w:pPr>
      <w:pBdr/>
      <w:spacing/>
      <w:ind/>
    </w:pPr>
  </w:style>
  <w:style w:type="numbering" w:styleId="1674" w:default="1">
    <w:name w:val="No List"/>
    <w:uiPriority w:val="99"/>
    <w:semiHidden/>
    <w:unhideWhenUsed/>
    <w:pPr>
      <w:pBdr/>
      <w:spacing/>
      <w:ind/>
    </w:pPr>
  </w:style>
  <w:style w:type="character" w:styleId="1675">
    <w:name w:val="Heading 1 Char"/>
    <w:basedOn w:val="1673"/>
    <w:link w:val="1664"/>
    <w:uiPriority w:val="9"/>
    <w:pPr>
      <w:pBdr/>
      <w:spacing/>
      <w:ind/>
    </w:pPr>
    <w:rPr>
      <w:rFonts w:ascii="Arial" w:hAnsi="Arial" w:eastAsia="Arial" w:cs="Arial"/>
      <w:color w:val="0f4761" w:themeColor="accent1" w:themeShade="BF"/>
      <w:sz w:val="40"/>
      <w:szCs w:val="40"/>
    </w:rPr>
  </w:style>
  <w:style w:type="character" w:styleId="1676">
    <w:name w:val="Heading 2 Char"/>
    <w:basedOn w:val="1673"/>
    <w:link w:val="1665"/>
    <w:uiPriority w:val="9"/>
    <w:pPr>
      <w:pBdr/>
      <w:spacing/>
      <w:ind/>
    </w:pPr>
    <w:rPr>
      <w:rFonts w:ascii="Arial" w:hAnsi="Arial" w:eastAsia="Arial" w:cs="Arial"/>
      <w:color w:val="0f4761" w:themeColor="accent1" w:themeShade="BF"/>
      <w:sz w:val="32"/>
      <w:szCs w:val="32"/>
    </w:rPr>
  </w:style>
  <w:style w:type="character" w:styleId="1677">
    <w:name w:val="Heading 3 Char"/>
    <w:basedOn w:val="1673"/>
    <w:link w:val="1666"/>
    <w:uiPriority w:val="9"/>
    <w:pPr>
      <w:pBdr/>
      <w:spacing/>
      <w:ind/>
    </w:pPr>
    <w:rPr>
      <w:rFonts w:ascii="Arial" w:hAnsi="Arial" w:eastAsia="Arial" w:cs="Arial"/>
      <w:color w:val="0f4761" w:themeColor="accent1" w:themeShade="BF"/>
      <w:sz w:val="28"/>
      <w:szCs w:val="28"/>
    </w:rPr>
  </w:style>
  <w:style w:type="character" w:styleId="1678">
    <w:name w:val="Heading 4 Char"/>
    <w:basedOn w:val="1673"/>
    <w:link w:val="1667"/>
    <w:uiPriority w:val="9"/>
    <w:pPr>
      <w:pBdr/>
      <w:spacing/>
      <w:ind/>
    </w:pPr>
    <w:rPr>
      <w:rFonts w:ascii="Arial" w:hAnsi="Arial" w:eastAsia="Arial" w:cs="Arial"/>
      <w:i/>
      <w:iCs/>
      <w:color w:val="0f4761" w:themeColor="accent1" w:themeShade="BF"/>
    </w:rPr>
  </w:style>
  <w:style w:type="character" w:styleId="1679">
    <w:name w:val="Heading 5 Char"/>
    <w:basedOn w:val="1673"/>
    <w:link w:val="1668"/>
    <w:uiPriority w:val="9"/>
    <w:pPr>
      <w:pBdr/>
      <w:spacing/>
      <w:ind/>
    </w:pPr>
    <w:rPr>
      <w:rFonts w:ascii="Arial" w:hAnsi="Arial" w:eastAsia="Arial" w:cs="Arial"/>
      <w:color w:val="0f4761" w:themeColor="accent1" w:themeShade="BF"/>
    </w:rPr>
  </w:style>
  <w:style w:type="character" w:styleId="1680">
    <w:name w:val="Heading 6 Char"/>
    <w:basedOn w:val="1673"/>
    <w:link w:val="1669"/>
    <w:uiPriority w:val="9"/>
    <w:pPr>
      <w:pBdr/>
      <w:spacing/>
      <w:ind/>
    </w:pPr>
    <w:rPr>
      <w:rFonts w:ascii="Arial" w:hAnsi="Arial" w:eastAsia="Arial" w:cs="Arial"/>
      <w:i/>
      <w:iCs/>
      <w:color w:val="595959" w:themeColor="text1" w:themeTint="A6"/>
    </w:rPr>
  </w:style>
  <w:style w:type="character" w:styleId="1681">
    <w:name w:val="Heading 7 Char"/>
    <w:basedOn w:val="1673"/>
    <w:link w:val="1670"/>
    <w:uiPriority w:val="9"/>
    <w:pPr>
      <w:pBdr/>
      <w:spacing/>
      <w:ind/>
    </w:pPr>
    <w:rPr>
      <w:rFonts w:ascii="Arial" w:hAnsi="Arial" w:eastAsia="Arial" w:cs="Arial"/>
      <w:color w:val="595959" w:themeColor="text1" w:themeTint="A6"/>
    </w:rPr>
  </w:style>
  <w:style w:type="character" w:styleId="1682">
    <w:name w:val="Heading 8 Char"/>
    <w:basedOn w:val="1673"/>
    <w:link w:val="1671"/>
    <w:uiPriority w:val="9"/>
    <w:pPr>
      <w:pBdr/>
      <w:spacing/>
      <w:ind/>
    </w:pPr>
    <w:rPr>
      <w:rFonts w:ascii="Arial" w:hAnsi="Arial" w:eastAsia="Arial" w:cs="Arial"/>
      <w:i/>
      <w:iCs/>
      <w:color w:val="272727" w:themeColor="text1" w:themeTint="D8"/>
    </w:rPr>
  </w:style>
  <w:style w:type="character" w:styleId="1683">
    <w:name w:val="Heading 9 Char"/>
    <w:basedOn w:val="1673"/>
    <w:link w:val="1672"/>
    <w:uiPriority w:val="9"/>
    <w:pPr>
      <w:pBdr/>
      <w:spacing/>
      <w:ind/>
    </w:pPr>
    <w:rPr>
      <w:rFonts w:ascii="Arial" w:hAnsi="Arial" w:eastAsia="Arial" w:cs="Arial"/>
      <w:i/>
      <w:iCs/>
      <w:color w:val="272727" w:themeColor="text1" w:themeTint="D8"/>
    </w:rPr>
  </w:style>
  <w:style w:type="paragraph" w:styleId="1684">
    <w:name w:val="Title"/>
    <w:basedOn w:val="1663"/>
    <w:next w:val="1663"/>
    <w:link w:val="1685"/>
    <w:uiPriority w:val="10"/>
    <w:qFormat/>
    <w:pPr>
      <w:pBdr/>
      <w:spacing w:after="80" w:line="240" w:lineRule="auto"/>
      <w:ind/>
      <w:contextualSpacing w:val="true"/>
    </w:pPr>
    <w:rPr>
      <w:rFonts w:ascii="Arial" w:hAnsi="Arial" w:eastAsia="Arial" w:cs="Arial"/>
      <w:spacing w:val="-10"/>
      <w:sz w:val="56"/>
      <w:szCs w:val="56"/>
    </w:rPr>
  </w:style>
  <w:style w:type="character" w:styleId="1685">
    <w:name w:val="Title Char"/>
    <w:basedOn w:val="1673"/>
    <w:link w:val="1684"/>
    <w:uiPriority w:val="10"/>
    <w:pPr>
      <w:pBdr/>
      <w:spacing/>
      <w:ind/>
    </w:pPr>
    <w:rPr>
      <w:rFonts w:ascii="Arial" w:hAnsi="Arial" w:eastAsia="Arial" w:cs="Arial"/>
      <w:spacing w:val="-10"/>
      <w:sz w:val="56"/>
      <w:szCs w:val="56"/>
    </w:rPr>
  </w:style>
  <w:style w:type="paragraph" w:styleId="1686">
    <w:name w:val="Subtitle"/>
    <w:basedOn w:val="1663"/>
    <w:next w:val="1663"/>
    <w:link w:val="1687"/>
    <w:uiPriority w:val="11"/>
    <w:qFormat/>
    <w:pPr>
      <w:numPr>
        <w:ilvl w:val="1"/>
      </w:numPr>
      <w:pBdr/>
      <w:spacing/>
      <w:ind/>
    </w:pPr>
    <w:rPr>
      <w:color w:val="595959" w:themeColor="text1" w:themeTint="A6"/>
      <w:spacing w:val="15"/>
      <w:sz w:val="28"/>
      <w:szCs w:val="28"/>
    </w:rPr>
  </w:style>
  <w:style w:type="character" w:styleId="1687">
    <w:name w:val="Subtitle Char"/>
    <w:basedOn w:val="1673"/>
    <w:link w:val="1686"/>
    <w:uiPriority w:val="11"/>
    <w:pPr>
      <w:pBdr/>
      <w:spacing/>
      <w:ind/>
    </w:pPr>
    <w:rPr>
      <w:color w:val="595959" w:themeColor="text1" w:themeTint="A6"/>
      <w:spacing w:val="15"/>
      <w:sz w:val="28"/>
      <w:szCs w:val="28"/>
    </w:rPr>
  </w:style>
  <w:style w:type="paragraph" w:styleId="1688">
    <w:name w:val="Quote"/>
    <w:basedOn w:val="1663"/>
    <w:next w:val="1663"/>
    <w:link w:val="1689"/>
    <w:uiPriority w:val="29"/>
    <w:qFormat/>
    <w:pPr>
      <w:pBdr/>
      <w:spacing w:before="160"/>
      <w:ind/>
      <w:jc w:val="center"/>
    </w:pPr>
    <w:rPr>
      <w:i/>
      <w:iCs/>
      <w:color w:val="404040" w:themeColor="text1" w:themeTint="BF"/>
    </w:rPr>
  </w:style>
  <w:style w:type="character" w:styleId="1689">
    <w:name w:val="Quote Char"/>
    <w:basedOn w:val="1673"/>
    <w:link w:val="1688"/>
    <w:uiPriority w:val="29"/>
    <w:pPr>
      <w:pBdr/>
      <w:spacing/>
      <w:ind/>
    </w:pPr>
    <w:rPr>
      <w:i/>
      <w:iCs/>
      <w:color w:val="404040" w:themeColor="text1" w:themeTint="BF"/>
    </w:rPr>
  </w:style>
  <w:style w:type="paragraph" w:styleId="1690">
    <w:name w:val="List Paragraph"/>
    <w:basedOn w:val="1663"/>
    <w:uiPriority w:val="34"/>
    <w:qFormat/>
    <w:pPr>
      <w:pBdr/>
      <w:spacing/>
      <w:ind w:left="720"/>
      <w:contextualSpacing w:val="true"/>
    </w:pPr>
  </w:style>
  <w:style w:type="character" w:styleId="1691">
    <w:name w:val="Intense Emphasis"/>
    <w:basedOn w:val="1673"/>
    <w:uiPriority w:val="21"/>
    <w:qFormat/>
    <w:pPr>
      <w:pBdr/>
      <w:spacing/>
      <w:ind/>
    </w:pPr>
    <w:rPr>
      <w:i/>
      <w:iCs/>
      <w:color w:val="0f4761" w:themeColor="accent1" w:themeShade="BF"/>
    </w:rPr>
  </w:style>
  <w:style w:type="paragraph" w:styleId="1692">
    <w:name w:val="Intense Quote"/>
    <w:basedOn w:val="1663"/>
    <w:next w:val="1663"/>
    <w:link w:val="16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93">
    <w:name w:val="Intense Quote Char"/>
    <w:basedOn w:val="1673"/>
    <w:link w:val="1692"/>
    <w:uiPriority w:val="30"/>
    <w:pPr>
      <w:pBdr/>
      <w:spacing/>
      <w:ind/>
    </w:pPr>
    <w:rPr>
      <w:i/>
      <w:iCs/>
      <w:color w:val="0f4761" w:themeColor="accent1" w:themeShade="BF"/>
    </w:rPr>
  </w:style>
  <w:style w:type="character" w:styleId="1694">
    <w:name w:val="Intense Reference"/>
    <w:basedOn w:val="1673"/>
    <w:uiPriority w:val="32"/>
    <w:qFormat/>
    <w:pPr>
      <w:pBdr/>
      <w:spacing/>
      <w:ind/>
    </w:pPr>
    <w:rPr>
      <w:b/>
      <w:bCs/>
      <w:smallCaps/>
      <w:color w:val="0f4761" w:themeColor="accent1" w:themeShade="BF"/>
      <w:spacing w:val="5"/>
    </w:rPr>
  </w:style>
  <w:style w:type="paragraph" w:styleId="1695">
    <w:name w:val="No Spacing"/>
    <w:basedOn w:val="1663"/>
    <w:uiPriority w:val="1"/>
    <w:qFormat/>
    <w:pPr>
      <w:pBdr/>
      <w:spacing w:after="0" w:line="240" w:lineRule="auto"/>
      <w:ind/>
    </w:pPr>
  </w:style>
  <w:style w:type="character" w:styleId="1696">
    <w:name w:val="Subtle Emphasis"/>
    <w:basedOn w:val="1673"/>
    <w:uiPriority w:val="19"/>
    <w:qFormat/>
    <w:pPr>
      <w:pBdr/>
      <w:spacing/>
      <w:ind/>
    </w:pPr>
    <w:rPr>
      <w:i/>
      <w:iCs/>
      <w:color w:val="404040" w:themeColor="text1" w:themeTint="BF"/>
    </w:rPr>
  </w:style>
  <w:style w:type="character" w:styleId="1697">
    <w:name w:val="Emphasis"/>
    <w:basedOn w:val="1673"/>
    <w:uiPriority w:val="20"/>
    <w:qFormat/>
    <w:pPr>
      <w:pBdr/>
      <w:spacing/>
      <w:ind/>
    </w:pPr>
    <w:rPr>
      <w:i/>
      <w:iCs/>
    </w:rPr>
  </w:style>
  <w:style w:type="character" w:styleId="1698">
    <w:name w:val="Strong"/>
    <w:basedOn w:val="1673"/>
    <w:uiPriority w:val="22"/>
    <w:qFormat/>
    <w:pPr>
      <w:pBdr/>
      <w:spacing/>
      <w:ind/>
    </w:pPr>
    <w:rPr>
      <w:b/>
      <w:bCs/>
    </w:rPr>
  </w:style>
  <w:style w:type="character" w:styleId="1699">
    <w:name w:val="Subtle Reference"/>
    <w:basedOn w:val="1673"/>
    <w:uiPriority w:val="31"/>
    <w:qFormat/>
    <w:pPr>
      <w:pBdr/>
      <w:spacing/>
      <w:ind/>
    </w:pPr>
    <w:rPr>
      <w:smallCaps/>
      <w:color w:val="5a5a5a" w:themeColor="text1" w:themeTint="A5"/>
    </w:rPr>
  </w:style>
  <w:style w:type="character" w:styleId="1700">
    <w:name w:val="Book Title"/>
    <w:basedOn w:val="1673"/>
    <w:uiPriority w:val="33"/>
    <w:qFormat/>
    <w:pPr>
      <w:pBdr/>
      <w:spacing/>
      <w:ind/>
    </w:pPr>
    <w:rPr>
      <w:b/>
      <w:bCs/>
      <w:i/>
      <w:iCs/>
      <w:spacing w:val="5"/>
    </w:rPr>
  </w:style>
  <w:style w:type="paragraph" w:styleId="1701">
    <w:name w:val="Header"/>
    <w:basedOn w:val="1663"/>
    <w:link w:val="1702"/>
    <w:uiPriority w:val="99"/>
    <w:unhideWhenUsed/>
    <w:pPr>
      <w:pBdr/>
      <w:tabs>
        <w:tab w:val="center" w:leader="none" w:pos="4844"/>
        <w:tab w:val="right" w:leader="none" w:pos="9689"/>
      </w:tabs>
      <w:spacing w:after="0" w:line="240" w:lineRule="auto"/>
      <w:ind/>
    </w:pPr>
  </w:style>
  <w:style w:type="character" w:styleId="1702">
    <w:name w:val="Header Char"/>
    <w:basedOn w:val="1673"/>
    <w:link w:val="1701"/>
    <w:uiPriority w:val="99"/>
    <w:pPr>
      <w:pBdr/>
      <w:spacing/>
      <w:ind/>
    </w:pPr>
  </w:style>
  <w:style w:type="paragraph" w:styleId="1703">
    <w:name w:val="Footer"/>
    <w:basedOn w:val="1663"/>
    <w:link w:val="1704"/>
    <w:uiPriority w:val="99"/>
    <w:unhideWhenUsed/>
    <w:pPr>
      <w:pBdr/>
      <w:tabs>
        <w:tab w:val="center" w:leader="none" w:pos="4844"/>
        <w:tab w:val="right" w:leader="none" w:pos="9689"/>
      </w:tabs>
      <w:spacing w:after="0" w:line="240" w:lineRule="auto"/>
      <w:ind/>
    </w:pPr>
  </w:style>
  <w:style w:type="character" w:styleId="1704">
    <w:name w:val="Footer Char"/>
    <w:basedOn w:val="1673"/>
    <w:link w:val="1703"/>
    <w:uiPriority w:val="99"/>
    <w:pPr>
      <w:pBdr/>
      <w:spacing/>
      <w:ind/>
    </w:pPr>
  </w:style>
  <w:style w:type="paragraph" w:styleId="1705">
    <w:name w:val="Caption"/>
    <w:basedOn w:val="1663"/>
    <w:next w:val="1663"/>
    <w:uiPriority w:val="35"/>
    <w:unhideWhenUsed/>
    <w:qFormat/>
    <w:pPr>
      <w:pBdr/>
      <w:spacing w:after="200" w:line="240" w:lineRule="auto"/>
      <w:ind/>
    </w:pPr>
    <w:rPr>
      <w:i/>
      <w:iCs/>
      <w:color w:val="0e2841" w:themeColor="text2"/>
      <w:sz w:val="18"/>
      <w:szCs w:val="18"/>
    </w:rPr>
  </w:style>
  <w:style w:type="paragraph" w:styleId="1706">
    <w:name w:val="footnote text"/>
    <w:basedOn w:val="1663"/>
    <w:link w:val="1707"/>
    <w:uiPriority w:val="99"/>
    <w:semiHidden/>
    <w:unhideWhenUsed/>
    <w:pPr>
      <w:pBdr/>
      <w:spacing w:after="0" w:line="240" w:lineRule="auto"/>
      <w:ind/>
    </w:pPr>
    <w:rPr>
      <w:sz w:val="20"/>
      <w:szCs w:val="20"/>
    </w:rPr>
  </w:style>
  <w:style w:type="character" w:styleId="1707">
    <w:name w:val="Footnote Text Char"/>
    <w:basedOn w:val="1673"/>
    <w:link w:val="1706"/>
    <w:uiPriority w:val="99"/>
    <w:semiHidden/>
    <w:pPr>
      <w:pBdr/>
      <w:spacing/>
      <w:ind/>
    </w:pPr>
    <w:rPr>
      <w:sz w:val="20"/>
      <w:szCs w:val="20"/>
    </w:rPr>
  </w:style>
  <w:style w:type="character" w:styleId="1708">
    <w:name w:val="footnote reference"/>
    <w:basedOn w:val="1673"/>
    <w:uiPriority w:val="99"/>
    <w:semiHidden/>
    <w:unhideWhenUsed/>
    <w:pPr>
      <w:pBdr/>
      <w:spacing/>
      <w:ind/>
    </w:pPr>
    <w:rPr>
      <w:vertAlign w:val="superscript"/>
    </w:rPr>
  </w:style>
  <w:style w:type="paragraph" w:styleId="1709">
    <w:name w:val="endnote text"/>
    <w:basedOn w:val="1663"/>
    <w:link w:val="1710"/>
    <w:uiPriority w:val="99"/>
    <w:semiHidden/>
    <w:unhideWhenUsed/>
    <w:pPr>
      <w:pBdr/>
      <w:spacing w:after="0" w:line="240" w:lineRule="auto"/>
      <w:ind/>
    </w:pPr>
    <w:rPr>
      <w:sz w:val="20"/>
      <w:szCs w:val="20"/>
    </w:rPr>
  </w:style>
  <w:style w:type="character" w:styleId="1710">
    <w:name w:val="Endnote Text Char"/>
    <w:basedOn w:val="1673"/>
    <w:link w:val="1709"/>
    <w:uiPriority w:val="99"/>
    <w:semiHidden/>
    <w:pPr>
      <w:pBdr/>
      <w:spacing/>
      <w:ind/>
    </w:pPr>
    <w:rPr>
      <w:sz w:val="20"/>
      <w:szCs w:val="20"/>
    </w:rPr>
  </w:style>
  <w:style w:type="character" w:styleId="1711">
    <w:name w:val="endnote reference"/>
    <w:basedOn w:val="1673"/>
    <w:uiPriority w:val="99"/>
    <w:semiHidden/>
    <w:unhideWhenUsed/>
    <w:pPr>
      <w:pBdr/>
      <w:spacing/>
      <w:ind/>
    </w:pPr>
    <w:rPr>
      <w:vertAlign w:val="superscript"/>
    </w:rPr>
  </w:style>
  <w:style w:type="character" w:styleId="1712">
    <w:name w:val="Hyperlink"/>
    <w:basedOn w:val="1673"/>
    <w:uiPriority w:val="99"/>
    <w:unhideWhenUsed/>
    <w:pPr>
      <w:pBdr/>
      <w:spacing/>
      <w:ind/>
    </w:pPr>
    <w:rPr>
      <w:color w:val="0563c1" w:themeColor="hyperlink"/>
      <w:u w:val="single"/>
    </w:rPr>
  </w:style>
  <w:style w:type="character" w:styleId="1713">
    <w:name w:val="FollowedHyperlink"/>
    <w:basedOn w:val="1673"/>
    <w:uiPriority w:val="99"/>
    <w:semiHidden/>
    <w:unhideWhenUsed/>
    <w:pPr>
      <w:pBdr/>
      <w:spacing/>
      <w:ind/>
    </w:pPr>
    <w:rPr>
      <w:color w:val="954f72" w:themeColor="followedHyperlink"/>
      <w:u w:val="single"/>
    </w:rPr>
  </w:style>
  <w:style w:type="paragraph" w:styleId="1714">
    <w:name w:val="toc 1"/>
    <w:basedOn w:val="1663"/>
    <w:next w:val="1663"/>
    <w:uiPriority w:val="39"/>
    <w:unhideWhenUsed/>
    <w:pPr>
      <w:pBdr/>
      <w:spacing w:after="100"/>
      <w:ind/>
    </w:pPr>
  </w:style>
  <w:style w:type="paragraph" w:styleId="1715">
    <w:name w:val="toc 2"/>
    <w:basedOn w:val="1663"/>
    <w:next w:val="1663"/>
    <w:uiPriority w:val="39"/>
    <w:unhideWhenUsed/>
    <w:pPr>
      <w:pBdr/>
      <w:spacing w:after="100"/>
      <w:ind w:left="220"/>
    </w:pPr>
  </w:style>
  <w:style w:type="paragraph" w:styleId="1716">
    <w:name w:val="toc 3"/>
    <w:basedOn w:val="1663"/>
    <w:next w:val="1663"/>
    <w:uiPriority w:val="39"/>
    <w:unhideWhenUsed/>
    <w:pPr>
      <w:pBdr/>
      <w:spacing w:after="100"/>
      <w:ind w:left="440"/>
    </w:pPr>
  </w:style>
  <w:style w:type="paragraph" w:styleId="1717">
    <w:name w:val="toc 4"/>
    <w:basedOn w:val="1663"/>
    <w:next w:val="1663"/>
    <w:uiPriority w:val="39"/>
    <w:unhideWhenUsed/>
    <w:pPr>
      <w:pBdr/>
      <w:spacing w:after="100"/>
      <w:ind w:left="660"/>
    </w:pPr>
  </w:style>
  <w:style w:type="paragraph" w:styleId="1718">
    <w:name w:val="toc 5"/>
    <w:basedOn w:val="1663"/>
    <w:next w:val="1663"/>
    <w:uiPriority w:val="39"/>
    <w:unhideWhenUsed/>
    <w:pPr>
      <w:pBdr/>
      <w:spacing w:after="100"/>
      <w:ind w:left="880"/>
    </w:pPr>
  </w:style>
  <w:style w:type="paragraph" w:styleId="1719">
    <w:name w:val="toc 6"/>
    <w:basedOn w:val="1663"/>
    <w:next w:val="1663"/>
    <w:uiPriority w:val="39"/>
    <w:unhideWhenUsed/>
    <w:pPr>
      <w:pBdr/>
      <w:spacing w:after="100"/>
      <w:ind w:left="1100"/>
    </w:pPr>
  </w:style>
  <w:style w:type="paragraph" w:styleId="1720">
    <w:name w:val="toc 7"/>
    <w:basedOn w:val="1663"/>
    <w:next w:val="1663"/>
    <w:uiPriority w:val="39"/>
    <w:unhideWhenUsed/>
    <w:pPr>
      <w:pBdr/>
      <w:spacing w:after="100"/>
      <w:ind w:left="1320"/>
    </w:pPr>
  </w:style>
  <w:style w:type="paragraph" w:styleId="1721">
    <w:name w:val="toc 8"/>
    <w:basedOn w:val="1663"/>
    <w:next w:val="1663"/>
    <w:uiPriority w:val="39"/>
    <w:unhideWhenUsed/>
    <w:pPr>
      <w:pBdr/>
      <w:spacing w:after="100"/>
      <w:ind w:left="1540"/>
    </w:pPr>
  </w:style>
  <w:style w:type="paragraph" w:styleId="1722">
    <w:name w:val="toc 9"/>
    <w:basedOn w:val="1663"/>
    <w:next w:val="1663"/>
    <w:uiPriority w:val="39"/>
    <w:unhideWhenUsed/>
    <w:pPr>
      <w:pBdr/>
      <w:spacing w:after="100"/>
      <w:ind w:left="1760"/>
    </w:pPr>
  </w:style>
  <w:style w:type="character" w:styleId="1723">
    <w:name w:val="Placeholder Text"/>
    <w:basedOn w:val="1673"/>
    <w:uiPriority w:val="99"/>
    <w:semiHidden/>
    <w:pPr>
      <w:pBdr/>
      <w:spacing/>
      <w:ind/>
    </w:pPr>
    <w:rPr>
      <w:color w:val="666666"/>
    </w:rPr>
  </w:style>
  <w:style w:type="paragraph" w:styleId="1724">
    <w:name w:val="TOC Heading"/>
    <w:uiPriority w:val="39"/>
    <w:unhideWhenUsed/>
    <w:pPr>
      <w:pBdr/>
      <w:spacing/>
      <w:ind/>
    </w:pPr>
  </w:style>
  <w:style w:type="paragraph" w:styleId="1725">
    <w:name w:val="table of figures"/>
    <w:basedOn w:val="1663"/>
    <w:next w:val="1663"/>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dc:identifier/>
  <dc:language/>
  <cp:lastModifiedBy>admin123</cp:lastModifiedBy>
  <cp:revision>5</cp:revision>
  <dcterms:created xsi:type="dcterms:W3CDTF">2013-12-23T23:15:00Z</dcterms:created>
  <dcterms:modified xsi:type="dcterms:W3CDTF">2026-08-11T07:42:39Z</dcterms:modified>
  <cp:category/>
</cp:coreProperties>
</file>