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ind/>
        <w:rPr/>
      </w:pPr>
      <w:r/>
      <w:r/>
    </w:p>
    <w:p>
      <w:pPr>
        <w:pBdr/>
        <w:spacing/>
        <w:ind/>
        <w:jc w:val="center"/>
        <w:rPr/>
      </w:pPr>
      <w:r>
        <w:rPr>
          <w:rFonts w:ascii="宋体" w:hAnsi="宋体" w:eastAsia="宋体"/>
          <w:b/>
          <w:color w:val="000000"/>
          <w:sz w:val="52"/>
        </w:rPr>
        <w:t xml:space="preserve">投 标 文 件</w:t>
      </w:r>
      <w:r/>
    </w:p>
    <w:p>
      <w:pPr>
        <w:pBdr/>
        <w:spacing/>
        <w:ind/>
        <w:rPr/>
      </w:pPr>
      <w:r/>
      <w:r/>
    </w:p>
    <w:p>
      <w:pPr>
        <w:pBdr/>
        <w:spacing/>
        <w:ind/>
        <w:rPr/>
      </w:pPr>
      <w:r/>
      <w:r/>
    </w:p>
    <w:p>
      <w:pPr>
        <w:pBdr/>
        <w:spacing/>
        <w:ind/>
        <w:rPr/>
      </w:pPr>
      <w:r/>
      <w:r/>
    </w:p>
    <w:p>
      <w:pPr>
        <w:pBdr/>
        <w:spacing w:after="360"/>
        <w:ind/>
        <w:jc w:val="center"/>
        <w:rPr/>
      </w:pPr>
      <w:r>
        <w:rPr>
          <w:sz w:val="28"/>
        </w:rPr>
        <w:t xml:space="preserve">中邮资管2026-2027年网络安全服务采购项目</w:t>
      </w:r>
      <w:r/>
    </w:p>
    <w:p>
      <w:pPr>
        <w:pBdr/>
        <w:spacing w:after="360"/>
        <w:ind/>
        <w:jc w:val="center"/>
        <w:rPr/>
      </w:pPr>
      <w:r>
        <w:rPr>
          <w:sz w:val="28"/>
        </w:rPr>
      </w:r>
      <w:r/>
    </w:p>
    <w:p>
      <w:pPr>
        <w:pBdr/>
        <w:spacing w:after="360"/>
        <w:ind/>
        <w:jc w:val="center"/>
        <w:rPr/>
      </w:pPr>
      <w:r>
        <w:rPr>
          <w:sz w:val="28"/>
        </w:rPr>
        <w:t xml:space="preserve">1</w:t>
      </w:r>
      <w:r/>
    </w:p>
    <w:p>
      <w:pPr>
        <w:pBdr/>
        <w:spacing w:after="360"/>
        <w:ind/>
        <w:jc w:val="center"/>
        <w:rPr/>
      </w:pPr>
      <w:r>
        <w:rPr>
          <w:sz w:val="28"/>
        </w:rPr>
        <w:t xml:space="preserve">北京国舜科技股份有限公司</w:t>
      </w:r>
      <w:r/>
    </w:p>
    <w:p>
      <w:pPr>
        <w:pBdr/>
        <w:spacing w:after="360"/>
        <w:ind/>
        <w:jc w:val="center"/>
        <w:rPr/>
      </w:pPr>
      <w:r>
        <w:rPr>
          <w:sz w:val="28"/>
        </w:rPr>
        <w:t xml:space="preserve">2026-08-11</w:t>
      </w:r>
      <w:r/>
    </w:p>
    <w:p>
      <w:pPr>
        <w:pBdr/>
        <w:spacing/>
        <w:ind/>
        <w:rPr/>
      </w:pPr>
      <w:r>
        <w:br w:type="page" w:clear="all"/>
      </w:r>
      <w:r/>
    </w:p>
    <w:p>
      <w:pPr>
        <w:pBdr/>
        <w:spacing/>
        <w:ind/>
        <w:jc w:val="center"/>
        <w:rPr/>
      </w:pPr>
      <w:r>
        <w:rPr>
          <w:rFonts w:ascii="宋体" w:hAnsi="宋体" w:eastAsia="宋体"/>
          <w:b/>
          <w:color w:val="000000"/>
          <w:sz w:val="32"/>
        </w:rPr>
        <w:t xml:space="preserve">投标人信息</w:t>
      </w:r>
      <w:r/>
    </w:p>
    <w:tbl>
      <w:tblPr>
        <w:tblStyle w:val="776"/>
        <w:jc w:val="center"/>
        <w:tblW w:w="0" w:type="auto"/>
        <w:tblBorders/>
        <w:tblLook w:val="04A0" w:firstRow="1" w:lastRow="0" w:firstColumn="1" w:lastColumn="0" w:noHBand="0" w:noVBand="1"/>
      </w:tblPr>
      <w:tblGrid>
        <w:gridCol w:w="4536"/>
        <w:gridCol w:w="4536"/>
      </w:tblGrid>
      <w:tr>
        <w:trPr/>
        <w:tc>
          <w:tcPr>
            <w:tcBorders/>
            <w:tcW w:w="4536" w:type="dxa"/>
          </w:tcPr>
          <w:p>
            <w:pPr>
              <w:pBdr/>
              <w:spacing/>
              <w:ind/>
              <w:rPr/>
            </w:pPr>
            <w:r>
              <w:rPr>
                <w:rFonts w:ascii="宋体" w:hAnsi="宋体" w:eastAsia="宋体"/>
                <w:b/>
                <w:color w:val="000000"/>
                <w:sz w:val="21"/>
              </w:rPr>
              <w:t xml:space="preserve">企业名称</w:t>
            </w:r>
            <w:r/>
          </w:p>
        </w:tc>
        <w:tc>
          <w:tcPr>
            <w:tcBorders/>
            <w:tcW w:w="4536" w:type="dxa"/>
          </w:tcPr>
          <w:p>
            <w:pPr>
              <w:pBdr/>
              <w:spacing/>
              <w:ind/>
              <w:rPr/>
            </w:pPr>
            <w:r>
              <w:t xml:space="preserve">北京国舜科技股份有限公司</w:t>
            </w:r>
            <w:r/>
          </w:p>
        </w:tc>
      </w:tr>
      <w:tr>
        <w:trPr/>
        <w:tc>
          <w:tcPr>
            <w:tcBorders/>
            <w:tcW w:w="4536" w:type="dxa"/>
          </w:tcPr>
          <w:p>
            <w:pPr>
              <w:pBdr/>
              <w:spacing/>
              <w:ind/>
              <w:rPr/>
            </w:pPr>
            <w:r>
              <w:rPr>
                <w:rFonts w:ascii="宋体" w:hAnsi="宋体" w:eastAsia="宋体"/>
                <w:b/>
                <w:color w:val="000000"/>
                <w:sz w:val="21"/>
              </w:rPr>
              <w:t xml:space="preserve">统一社会信用代码</w:t>
            </w:r>
            <w:r/>
          </w:p>
        </w:tc>
        <w:tc>
          <w:tcPr>
            <w:tcBorders/>
            <w:tcW w:w="4536" w:type="dxa"/>
          </w:tcPr>
          <w:p>
            <w:pPr>
              <w:pBdr/>
              <w:spacing/>
              <w:ind/>
              <w:rPr/>
            </w:pPr>
            <w:r>
              <w:t xml:space="preserve">91110108753333117L</w:t>
            </w:r>
            <w:r/>
          </w:p>
        </w:tc>
      </w:tr>
      <w:tr>
        <w:trPr/>
        <w:tc>
          <w:tcPr>
            <w:tcBorders/>
            <w:tcW w:w="4536" w:type="dxa"/>
          </w:tcPr>
          <w:p>
            <w:pPr>
              <w:pBdr/>
              <w:spacing/>
              <w:ind/>
              <w:rPr/>
            </w:pPr>
            <w:r>
              <w:rPr>
                <w:rFonts w:ascii="宋体" w:hAnsi="宋体" w:eastAsia="宋体"/>
                <w:b/>
                <w:color w:val="000000"/>
                <w:sz w:val="21"/>
              </w:rPr>
              <w:t xml:space="preserve">法定代表人</w:t>
            </w:r>
            <w:r/>
          </w:p>
        </w:tc>
        <w:tc>
          <w:tcPr>
            <w:tcBorders/>
            <w:tcW w:w="4536" w:type="dxa"/>
          </w:tcPr>
          <w:p>
            <w:pPr>
              <w:pBdr/>
              <w:spacing/>
              <w:ind/>
              <w:rPr/>
            </w:pPr>
            <w:r>
              <w:t xml:space="preserve">姜强</w:t>
            </w:r>
            <w:r/>
          </w:p>
        </w:tc>
      </w:tr>
      <w:tr>
        <w:trPr/>
        <w:tc>
          <w:tcPr>
            <w:tcBorders/>
            <w:tcW w:w="4536" w:type="dxa"/>
          </w:tcPr>
          <w:p>
            <w:pPr>
              <w:pBdr/>
              <w:spacing/>
              <w:ind/>
              <w:rPr/>
            </w:pPr>
            <w:r>
              <w:rPr>
                <w:rFonts w:ascii="宋体" w:hAnsi="宋体" w:eastAsia="宋体"/>
                <w:b/>
                <w:color w:val="000000"/>
                <w:sz w:val="21"/>
              </w:rPr>
              <w:t xml:space="preserve">注册资本</w:t>
            </w:r>
            <w:r/>
          </w:p>
        </w:tc>
        <w:tc>
          <w:tcPr>
            <w:tcBorders/>
            <w:tcW w:w="4536" w:type="dxa"/>
          </w:tcPr>
          <w:p>
            <w:pPr>
              <w:pBdr/>
              <w:spacing/>
              <w:ind/>
              <w:rPr/>
            </w:pPr>
            <w:r>
              <w:t xml:space="preserve">5671.7324万元</w:t>
            </w:r>
            <w:r/>
          </w:p>
        </w:tc>
      </w:tr>
      <w:tr>
        <w:trPr/>
        <w:tc>
          <w:tcPr>
            <w:tcBorders/>
            <w:tcW w:w="4536" w:type="dxa"/>
          </w:tcPr>
          <w:p>
            <w:pPr>
              <w:pBdr/>
              <w:spacing/>
              <w:ind/>
              <w:rPr/>
            </w:pPr>
            <w:r>
              <w:rPr>
                <w:rFonts w:ascii="宋体" w:hAnsi="宋体" w:eastAsia="宋体"/>
                <w:b/>
                <w:color w:val="000000"/>
                <w:sz w:val="21"/>
              </w:rPr>
              <w:t xml:space="preserve">成立日期</w:t>
            </w:r>
            <w:r/>
          </w:p>
        </w:tc>
        <w:tc>
          <w:tcPr>
            <w:tcBorders/>
            <w:tcW w:w="4536" w:type="dxa"/>
          </w:tcPr>
          <w:p>
            <w:pPr>
              <w:pBdr/>
              <w:spacing/>
              <w:ind/>
              <w:rPr/>
            </w:pPr>
            <w:r>
              <w:t xml:space="preserve">2003-08-07</w:t>
            </w:r>
            <w:r/>
          </w:p>
        </w:tc>
      </w:tr>
      <w:tr>
        <w:trPr/>
        <w:tc>
          <w:tcPr>
            <w:tcBorders/>
            <w:tcW w:w="4536" w:type="dxa"/>
          </w:tcPr>
          <w:p>
            <w:pPr>
              <w:pBdr/>
              <w:spacing/>
              <w:ind/>
              <w:rPr/>
            </w:pPr>
            <w:r>
              <w:rPr>
                <w:rFonts w:ascii="宋体" w:hAnsi="宋体" w:eastAsia="宋体"/>
                <w:b/>
                <w:color w:val="000000"/>
                <w:sz w:val="21"/>
              </w:rPr>
              <w:t xml:space="preserve">注册地址</w:t>
            </w:r>
            <w:r/>
          </w:p>
        </w:tc>
        <w:tc>
          <w:tcPr>
            <w:tcBorders/>
            <w:tcW w:w="4536" w:type="dxa"/>
          </w:tcPr>
          <w:p>
            <w:pPr>
              <w:pBdr/>
              <w:spacing/>
              <w:ind/>
              <w:rPr/>
            </w:pPr>
            <w:r>
              <w:t xml:space="preserve">北京市海淀区天秀路10号中国农大国际创业园2号楼五层5348</w:t>
            </w:r>
            <w:r/>
          </w:p>
        </w:tc>
      </w:tr>
      <w:tr>
        <w:trPr/>
        <w:tc>
          <w:tcPr>
            <w:tcBorders/>
            <w:tcW w:w="4536" w:type="dxa"/>
          </w:tcPr>
          <w:p>
            <w:pPr>
              <w:pBdr/>
              <w:spacing/>
              <w:ind/>
              <w:rPr/>
            </w:pPr>
            <w:r>
              <w:rPr>
                <w:rFonts w:ascii="宋体" w:hAnsi="宋体" w:eastAsia="宋体"/>
                <w:b/>
                <w:color w:val="000000"/>
                <w:sz w:val="21"/>
              </w:rPr>
              <w:t xml:space="preserve">联系电话</w:t>
            </w:r>
            <w:r/>
          </w:p>
        </w:tc>
        <w:tc>
          <w:tcPr>
            <w:tcBorders/>
            <w:tcW w:w="4536" w:type="dxa"/>
          </w:tcPr>
          <w:p>
            <w:pPr>
              <w:pBdr/>
              <w:spacing/>
              <w:ind/>
              <w:rPr/>
            </w:pPr>
            <w:r>
              <w:t xml:space="preserve">010-82838085</w:t>
            </w:r>
            <w:r/>
          </w:p>
        </w:tc>
      </w:tr>
      <w:tr>
        <w:trPr/>
        <w:tc>
          <w:tcPr>
            <w:tcBorders/>
            <w:tcW w:w="4536" w:type="dxa"/>
          </w:tcPr>
          <w:p>
            <w:pPr>
              <w:pBdr/>
              <w:spacing/>
              <w:ind/>
              <w:rPr/>
            </w:pPr>
            <w:r>
              <w:rPr>
                <w:rFonts w:ascii="宋体" w:hAnsi="宋体" w:eastAsia="宋体"/>
                <w:b/>
                <w:color w:val="000000"/>
                <w:sz w:val="21"/>
              </w:rPr>
              <w:t xml:space="preserve">电子邮箱</w:t>
            </w:r>
            <w:r/>
          </w:p>
        </w:tc>
        <w:tc>
          <w:tcPr>
            <w:tcBorders/>
            <w:tcW w:w="4536" w:type="dxa"/>
          </w:tcPr>
          <w:p>
            <w:pPr>
              <w:pBdr/>
              <w:spacing/>
              <w:ind/>
              <w:rPr/>
            </w:pPr>
            <w:r/>
            <w:r/>
          </w:p>
        </w:tc>
      </w:tr>
      <w:tr>
        <w:trPr/>
        <w:tc>
          <w:tcPr>
            <w:tcBorders/>
            <w:tcW w:w="4536" w:type="dxa"/>
          </w:tcPr>
          <w:p>
            <w:pPr>
              <w:pBdr/>
              <w:spacing/>
              <w:ind/>
              <w:rPr/>
            </w:pPr>
            <w:r>
              <w:rPr>
                <w:rFonts w:ascii="宋体" w:hAnsi="宋体" w:eastAsia="宋体"/>
                <w:b/>
                <w:color w:val="000000"/>
                <w:sz w:val="21"/>
              </w:rPr>
              <w:t xml:space="preserve">开户银行</w:t>
            </w:r>
            <w:r/>
          </w:p>
        </w:tc>
        <w:tc>
          <w:tcPr>
            <w:tcBorders/>
            <w:tcW w:w="4536" w:type="dxa"/>
          </w:tcPr>
          <w:p>
            <w:pPr>
              <w:pBdr/>
              <w:spacing/>
              <w:ind/>
              <w:rPr/>
            </w:pPr>
            <w:r>
              <w:t xml:space="preserve">中国工商银行股份有限公司北京玉海园支行</w:t>
            </w:r>
            <w:r/>
          </w:p>
        </w:tc>
      </w:tr>
      <w:tr>
        <w:trPr/>
        <w:tc>
          <w:tcPr>
            <w:tcBorders/>
            <w:tcW w:w="4536" w:type="dxa"/>
          </w:tcPr>
          <w:p>
            <w:pPr>
              <w:pBdr/>
              <w:spacing/>
              <w:ind/>
              <w:rPr/>
            </w:pPr>
            <w:r>
              <w:rPr>
                <w:rFonts w:ascii="宋体" w:hAnsi="宋体" w:eastAsia="宋体"/>
                <w:b/>
                <w:color w:val="000000"/>
                <w:sz w:val="21"/>
              </w:rPr>
              <w:t xml:space="preserve">银行账号</w:t>
            </w:r>
            <w:r/>
          </w:p>
        </w:tc>
        <w:tc>
          <w:tcPr>
            <w:tcBorders/>
            <w:tcW w:w="4536" w:type="dxa"/>
          </w:tcPr>
          <w:p>
            <w:pPr>
              <w:pBdr/>
              <w:spacing/>
              <w:ind/>
              <w:rPr/>
            </w:pPr>
            <w:r>
              <w:t xml:space="preserve">0200280619200058760</w:t>
            </w:r>
            <w:r/>
          </w:p>
        </w:tc>
      </w:tr>
    </w:tbl>
    <w:p>
      <w:pPr>
        <w:pBdr/>
        <w:spacing/>
        <w:ind/>
        <w:rPr/>
      </w:pPr>
      <w:r>
        <w:br w:type="page" w:clear="all"/>
      </w:r>
      <w:r/>
    </w:p>
    <w:p>
      <w:pPr>
        <w:pBdr/>
        <w:spacing/>
        <w:ind/>
        <w:jc w:val="center"/>
        <w:rPr/>
      </w:pPr>
      <w:r>
        <w:rPr>
          <w:rFonts w:ascii="宋体" w:hAnsi="宋体" w:eastAsia="宋体"/>
          <w:b/>
          <w:color w:val="000000"/>
          <w:sz w:val="32"/>
        </w:rPr>
        <w:t xml:space="preserve">目  录</w:t>
      </w:r>
      <w:r/>
    </w:p>
    <w:p w14:paraId="609A9929">
      <w:pPr>
        <w:pStyle w:val="875"/>
        <w:pBdr/>
        <w:tabs>
          <w:tab w:val="right" w:leader="dot" w:pos="9072"/>
        </w:tabs>
        <w:spacing/>
        <w:ind/>
        <w:rPr/>
      </w:pPr>
      <w:r>
        <w:fldChar w:fldCharType="begin"/>
      </w:r>
      <w:r>
        <w:instrText xml:space="preserve"> TOC \o "1-3" \h \z \u </w:instrText>
      </w:r>
      <w:r>
        <w:fldChar w:fldCharType="separate"/>
      </w:r>
      <w:r/>
      <w:hyperlink w:tooltip="#_Toc1" w:anchor="_Toc1" w:history="1">
        <w:r>
          <w:rPr>
            <w:rStyle w:val="187"/>
          </w:rPr>
        </w:r>
        <w:r>
          <w:rPr>
            <w:rStyle w:val="187"/>
          </w:rPr>
          <w:t xml:space="preserve">一、企业业绩</w:t>
        </w:r>
        <w:r>
          <w:rPr>
            <w:rStyle w:val="187"/>
          </w:rPr>
        </w:r>
        <w:r>
          <w:tab/>
        </w:r>
        <w:r>
          <w:fldChar w:fldCharType="begin"/>
          <w:instrText xml:space="preserve">PAGEREF _Toc1 \h</w:instrText>
          <w:fldChar w:fldCharType="separate"/>
          <w:t xml:space="preserve">4</w:t>
          <w:fldChar w:fldCharType="end"/>
        </w:r>
      </w:hyperlink>
      <w:r/>
    </w:p>
    <w:p w14:paraId="7286D285">
      <w:pPr>
        <w:pStyle w:val="876"/>
        <w:pBdr/>
        <w:tabs>
          <w:tab w:val="right" w:leader="dot" w:pos="9072"/>
        </w:tabs>
        <w:spacing/>
        <w:ind/>
        <w:rPr/>
      </w:pPr>
      <w:hyperlink w:tooltip="#_Toc2" w:anchor="_Toc2" w:history="1">
        <w:r>
          <w:rPr>
            <w:rStyle w:val="187"/>
          </w:rPr>
        </w:r>
        <w:r>
          <w:rPr>
            <w:rStyle w:val="187"/>
          </w:rPr>
          <w:t xml:space="preserve">1.1企业业绩综述</w:t>
        </w:r>
        <w:r>
          <w:rPr>
            <w:rStyle w:val="187"/>
          </w:rPr>
        </w:r>
        <w:r>
          <w:tab/>
        </w:r>
        <w:r>
          <w:fldChar w:fldCharType="begin"/>
          <w:instrText xml:space="preserve">PAGEREF _Toc2 \h</w:instrText>
          <w:fldChar w:fldCharType="separate"/>
          <w:t xml:space="preserve">5</w:t>
          <w:fldChar w:fldCharType="end"/>
        </w:r>
      </w:hyperlink>
      <w:r/>
    </w:p>
    <w:p w14:paraId="7242676E">
      <w:pPr>
        <w:pStyle w:val="877"/>
        <w:pBdr/>
        <w:tabs>
          <w:tab w:val="right" w:leader="dot" w:pos="9072"/>
        </w:tabs>
        <w:spacing/>
        <w:ind/>
        <w:rPr/>
      </w:pPr>
      <w:hyperlink w:tooltip="#_Toc3" w:anchor="_Toc3" w:history="1">
        <w:r>
          <w:rPr>
            <w:rStyle w:val="187"/>
          </w:rPr>
        </w:r>
        <w:r>
          <w:rPr>
            <w:rStyle w:val="187"/>
          </w:rPr>
          <w:t xml:space="preserve">1.1.1公司概况与安全服务经验</w:t>
        </w:r>
        <w:r>
          <w:rPr>
            <w:rStyle w:val="187"/>
          </w:rPr>
        </w:r>
        <w:r>
          <w:tab/>
        </w:r>
        <w:r>
          <w:fldChar w:fldCharType="begin"/>
          <w:instrText xml:space="preserve">PAGEREF _Toc3 \h</w:instrText>
          <w:fldChar w:fldCharType="separate"/>
          <w:t xml:space="preserve">6</w:t>
          <w:fldChar w:fldCharType="end"/>
        </w:r>
      </w:hyperlink>
      <w:r/>
    </w:p>
    <w:p w14:paraId="3A6FF40C">
      <w:pPr>
        <w:pStyle w:val="877"/>
        <w:pBdr/>
        <w:tabs>
          <w:tab w:val="right" w:leader="dot" w:pos="9072"/>
        </w:tabs>
        <w:spacing/>
        <w:ind/>
        <w:rPr/>
      </w:pPr>
      <w:hyperlink w:tooltip="#_Toc4" w:anchor="_Toc4" w:history="1">
        <w:r>
          <w:rPr>
            <w:rStyle w:val="187"/>
          </w:rPr>
        </w:r>
        <w:r>
          <w:rPr>
            <w:rStyle w:val="187"/>
          </w:rPr>
          <w:t xml:space="preserve">1.1.2业绩与评分要求对应说明</w:t>
        </w:r>
        <w:r>
          <w:rPr>
            <w:rStyle w:val="187"/>
          </w:rPr>
        </w:r>
        <w:r>
          <w:tab/>
        </w:r>
        <w:r>
          <w:fldChar w:fldCharType="begin"/>
          <w:instrText xml:space="preserve">PAGEREF _Toc4 \h</w:instrText>
          <w:fldChar w:fldCharType="separate"/>
          <w:t xml:space="preserve">7</w:t>
          <w:fldChar w:fldCharType="end"/>
        </w:r>
      </w:hyperlink>
      <w:r/>
    </w:p>
    <w:p w14:paraId="11D45FB3">
      <w:pPr>
        <w:pStyle w:val="876"/>
        <w:pBdr/>
        <w:tabs>
          <w:tab w:val="right" w:leader="dot" w:pos="9072"/>
        </w:tabs>
        <w:spacing/>
        <w:ind/>
        <w:rPr/>
      </w:pPr>
      <w:hyperlink w:tooltip="#_Toc5" w:anchor="_Toc5" w:history="1">
        <w:r>
          <w:rPr>
            <w:rStyle w:val="187"/>
          </w:rPr>
        </w:r>
        <w:r>
          <w:rPr>
            <w:rStyle w:val="187"/>
          </w:rPr>
          <w:t xml:space="preserve">1.2有效案例汇总与明细</w:t>
        </w:r>
        <w:r>
          <w:rPr>
            <w:rStyle w:val="187"/>
          </w:rPr>
        </w:r>
        <w:r>
          <w:tab/>
        </w:r>
        <w:r>
          <w:fldChar w:fldCharType="begin"/>
          <w:instrText xml:space="preserve">PAGEREF _Toc5 \h</w:instrText>
          <w:fldChar w:fldCharType="separate"/>
          <w:t xml:space="preserve">8</w:t>
          <w:fldChar w:fldCharType="end"/>
        </w:r>
      </w:hyperlink>
      <w:r/>
    </w:p>
    <w:p w14:paraId="1EF28E6A">
      <w:pPr>
        <w:pStyle w:val="877"/>
        <w:pBdr/>
        <w:tabs>
          <w:tab w:val="right" w:leader="dot" w:pos="9072"/>
        </w:tabs>
        <w:spacing/>
        <w:ind/>
        <w:rPr/>
      </w:pPr>
      <w:hyperlink w:tooltip="#_Toc6" w:anchor="_Toc6" w:history="1">
        <w:r>
          <w:rPr>
            <w:rStyle w:val="187"/>
          </w:rPr>
        </w:r>
        <w:r>
          <w:rPr>
            <w:rStyle w:val="187"/>
          </w:rPr>
          <w:t xml:space="preserve">1.2.1有效案例清单（前10个）</w:t>
        </w:r>
        <w:r>
          <w:rPr>
            <w:rStyle w:val="187"/>
          </w:rPr>
        </w:r>
        <w:r>
          <w:tab/>
        </w:r>
        <w:r>
          <w:fldChar w:fldCharType="begin"/>
          <w:instrText xml:space="preserve">PAGEREF _Toc6 \h</w:instrText>
          <w:fldChar w:fldCharType="separate"/>
          <w:t xml:space="preserve">9</w:t>
          <w:fldChar w:fldCharType="end"/>
        </w:r>
      </w:hyperlink>
      <w:r/>
    </w:p>
    <w:p w14:paraId="1F7A8C20">
      <w:pPr>
        <w:pStyle w:val="877"/>
        <w:pBdr/>
        <w:tabs>
          <w:tab w:val="right" w:leader="dot" w:pos="9072"/>
        </w:tabs>
        <w:spacing/>
        <w:ind/>
        <w:rPr/>
      </w:pPr>
      <w:hyperlink w:tooltip="#_Toc7" w:anchor="_Toc7" w:history="1">
        <w:r>
          <w:rPr>
            <w:rStyle w:val="187"/>
          </w:rPr>
        </w:r>
        <w:r>
          <w:rPr>
            <w:rStyle w:val="187"/>
          </w:rPr>
          <w:t xml:space="preserve">1.2.2案例服务内容覆盖情况</w:t>
        </w:r>
        <w:r>
          <w:rPr>
            <w:rStyle w:val="187"/>
          </w:rPr>
        </w:r>
        <w:r>
          <w:tab/>
        </w:r>
        <w:r>
          <w:fldChar w:fldCharType="begin"/>
          <w:instrText xml:space="preserve">PAGEREF _Toc7 \h</w:instrText>
          <w:fldChar w:fldCharType="separate"/>
          <w:t xml:space="preserve">11</w:t>
          <w:fldChar w:fldCharType="end"/>
        </w:r>
      </w:hyperlink>
      <w:r/>
    </w:p>
    <w:p w14:paraId="0D5C9319">
      <w:pPr>
        <w:pStyle w:val="876"/>
        <w:pBdr/>
        <w:tabs>
          <w:tab w:val="right" w:leader="dot" w:pos="9072"/>
        </w:tabs>
        <w:spacing/>
        <w:ind/>
        <w:rPr/>
      </w:pPr>
      <w:hyperlink w:tooltip="#_Toc8" w:anchor="_Toc8" w:history="1">
        <w:r>
          <w:rPr>
            <w:rStyle w:val="187"/>
          </w:rPr>
        </w:r>
        <w:r>
          <w:rPr>
            <w:rStyle w:val="187"/>
          </w:rPr>
          <w:t xml:space="preserve">1.3证明材料与索引</w:t>
        </w:r>
        <w:r>
          <w:rPr>
            <w:rStyle w:val="187"/>
          </w:rPr>
        </w:r>
        <w:r>
          <w:tab/>
        </w:r>
        <w:r>
          <w:fldChar w:fldCharType="begin"/>
          <w:instrText xml:space="preserve">PAGEREF _Toc8 \h</w:instrText>
          <w:fldChar w:fldCharType="separate"/>
          <w:t xml:space="preserve">12</w:t>
          <w:fldChar w:fldCharType="end"/>
        </w:r>
      </w:hyperlink>
      <w:r/>
    </w:p>
    <w:p w14:paraId="7417C5CC">
      <w:pPr>
        <w:pStyle w:val="877"/>
        <w:pBdr/>
        <w:tabs>
          <w:tab w:val="right" w:leader="dot" w:pos="9072"/>
        </w:tabs>
        <w:spacing/>
        <w:ind/>
        <w:rPr/>
      </w:pPr>
      <w:hyperlink w:tooltip="#_Toc9" w:anchor="_Toc9" w:history="1">
        <w:r>
          <w:rPr>
            <w:rStyle w:val="187"/>
          </w:rPr>
        </w:r>
        <w:r>
          <w:rPr>
            <w:rStyle w:val="187"/>
          </w:rPr>
          <w:t xml:space="preserve">1.3.1合同关键页复印件</w:t>
        </w:r>
        <w:r>
          <w:rPr>
            <w:rStyle w:val="187"/>
          </w:rPr>
        </w:r>
        <w:r>
          <w:tab/>
        </w:r>
        <w:r>
          <w:fldChar w:fldCharType="begin"/>
          <w:instrText xml:space="preserve">PAGEREF _Toc9 \h</w:instrText>
          <w:fldChar w:fldCharType="separate"/>
          <w:t xml:space="preserve">14</w:t>
          <w:fldChar w:fldCharType="end"/>
        </w:r>
      </w:hyperlink>
      <w:r/>
    </w:p>
    <w:p w14:paraId="16C14BDF">
      <w:pPr>
        <w:pStyle w:val="877"/>
        <w:pBdr/>
        <w:tabs>
          <w:tab w:val="right" w:leader="dot" w:pos="9072"/>
        </w:tabs>
        <w:spacing/>
        <w:ind/>
        <w:rPr/>
      </w:pPr>
      <w:hyperlink w:tooltip="#_Toc10" w:anchor="_Toc10" w:history="1">
        <w:r>
          <w:rPr>
            <w:rStyle w:val="187"/>
          </w:rPr>
        </w:r>
        <w:r>
          <w:rPr>
            <w:rStyle w:val="187"/>
          </w:rPr>
          <w:t xml:space="preserve">1.3.2辅助证明文件</w:t>
        </w:r>
        <w:r>
          <w:rPr>
            <w:rStyle w:val="187"/>
          </w:rPr>
        </w:r>
        <w:r>
          <w:tab/>
        </w:r>
        <w:r>
          <w:fldChar w:fldCharType="begin"/>
          <w:instrText xml:space="preserve">PAGEREF _Toc10 \h</w:instrText>
          <w:fldChar w:fldCharType="separate"/>
          <w:t xml:space="preserve">14</w:t>
          <w:fldChar w:fldCharType="end"/>
        </w:r>
      </w:hyperlink>
      <w:r/>
    </w:p>
    <w:p w14:paraId="6D58B31F">
      <w:pPr>
        <w:pStyle w:val="875"/>
        <w:pBdr/>
        <w:tabs>
          <w:tab w:val="right" w:leader="dot" w:pos="9072"/>
        </w:tabs>
        <w:spacing/>
        <w:ind/>
        <w:rPr/>
      </w:pPr>
      <w:hyperlink w:tooltip="#_Toc11" w:anchor="_Toc11" w:history="1">
        <w:r>
          <w:rPr>
            <w:rStyle w:val="187"/>
          </w:rPr>
        </w:r>
        <w:r>
          <w:rPr>
            <w:rStyle w:val="187"/>
          </w:rPr>
          <w:t xml:space="preserve">二、企业资质</w:t>
        </w:r>
        <w:r>
          <w:rPr>
            <w:rStyle w:val="187"/>
          </w:rPr>
        </w:r>
        <w:r>
          <w:tab/>
        </w:r>
        <w:r>
          <w:fldChar w:fldCharType="begin"/>
          <w:instrText xml:space="preserve">PAGEREF _Toc11 \h</w:instrText>
          <w:fldChar w:fldCharType="separate"/>
          <w:t xml:space="preserve">16</w:t>
          <w:fldChar w:fldCharType="end"/>
        </w:r>
      </w:hyperlink>
      <w:r/>
    </w:p>
    <w:p w14:paraId="4A4CFB63">
      <w:pPr>
        <w:pStyle w:val="876"/>
        <w:pBdr/>
        <w:tabs>
          <w:tab w:val="right" w:leader="dot" w:pos="9072"/>
        </w:tabs>
        <w:spacing/>
        <w:ind/>
        <w:rPr/>
      </w:pPr>
      <w:hyperlink w:tooltip="#_Toc12" w:anchor="_Toc12" w:history="1">
        <w:r>
          <w:rPr>
            <w:rStyle w:val="187"/>
          </w:rPr>
        </w:r>
        <w:r>
          <w:rPr>
            <w:rStyle w:val="187"/>
          </w:rPr>
          <w:t xml:space="preserve">2.1数据安全管理认证能力</w:t>
        </w:r>
        <w:r>
          <w:rPr>
            <w:rStyle w:val="187"/>
          </w:rPr>
        </w:r>
        <w:r>
          <w:tab/>
        </w:r>
        <w:r>
          <w:fldChar w:fldCharType="begin"/>
          <w:instrText xml:space="preserve">PAGEREF _Toc12 \h</w:instrText>
          <w:fldChar w:fldCharType="separate"/>
          <w:t xml:space="preserve">17</w:t>
          <w:fldChar w:fldCharType="end"/>
        </w:r>
      </w:hyperlink>
      <w:r/>
    </w:p>
    <w:p w14:paraId="7976CFBC">
      <w:pPr>
        <w:pStyle w:val="877"/>
        <w:pBdr/>
        <w:tabs>
          <w:tab w:val="right" w:leader="dot" w:pos="9072"/>
        </w:tabs>
        <w:spacing/>
        <w:ind/>
        <w:rPr/>
      </w:pPr>
      <w:hyperlink w:tooltip="#_Toc13" w:anchor="_Toc13" w:history="1">
        <w:r>
          <w:rPr>
            <w:rStyle w:val="187"/>
          </w:rPr>
        </w:r>
        <w:r>
          <w:rPr>
            <w:rStyle w:val="187"/>
          </w:rPr>
          <w:t xml:space="preserve">2.1.1数据安全服务能力评定资质证书（数据安全评估二级）</w:t>
        </w:r>
        <w:r>
          <w:rPr>
            <w:rStyle w:val="187"/>
          </w:rPr>
        </w:r>
        <w:r>
          <w:tab/>
        </w:r>
        <w:r>
          <w:fldChar w:fldCharType="begin"/>
          <w:instrText xml:space="preserve">PAGEREF _Toc13 \h</w:instrText>
          <w:fldChar w:fldCharType="separate"/>
          <w:t xml:space="preserve">18</w:t>
          <w:fldChar w:fldCharType="end"/>
        </w:r>
      </w:hyperlink>
      <w:r/>
    </w:p>
    <w:p w14:paraId="6012C1A6">
      <w:pPr>
        <w:pStyle w:val="877"/>
        <w:pBdr/>
        <w:tabs>
          <w:tab w:val="right" w:leader="dot" w:pos="9072"/>
        </w:tabs>
        <w:spacing/>
        <w:ind/>
        <w:rPr/>
      </w:pPr>
      <w:hyperlink w:tooltip="#_Toc14" w:anchor="_Toc14" w:history="1">
        <w:r>
          <w:rPr>
            <w:rStyle w:val="187"/>
          </w:rPr>
        </w:r>
        <w:r>
          <w:rPr>
            <w:rStyle w:val="187"/>
          </w:rPr>
          <w:t xml:space="preserve">2.1.2数据安全管理认证证书</w:t>
        </w:r>
        <w:r>
          <w:rPr>
            <w:rStyle w:val="187"/>
          </w:rPr>
        </w:r>
        <w:r>
          <w:tab/>
        </w:r>
        <w:r>
          <w:fldChar w:fldCharType="begin"/>
          <w:instrText xml:space="preserve">PAGEREF _Toc14 \h</w:instrText>
          <w:fldChar w:fldCharType="separate"/>
          <w:t xml:space="preserve">18</w:t>
          <w:fldChar w:fldCharType="end"/>
        </w:r>
      </w:hyperlink>
      <w:r/>
    </w:p>
    <w:p w14:paraId="0C268E2A">
      <w:pPr>
        <w:pStyle w:val="877"/>
        <w:pBdr/>
        <w:tabs>
          <w:tab w:val="right" w:leader="dot" w:pos="9072"/>
        </w:tabs>
        <w:spacing/>
        <w:ind/>
        <w:rPr/>
      </w:pPr>
      <w:hyperlink w:tooltip="#_Toc15" w:anchor="_Toc15" w:history="1">
        <w:r>
          <w:rPr>
            <w:rStyle w:val="187"/>
          </w:rPr>
        </w:r>
        <w:r>
          <w:rPr>
            <w:rStyle w:val="187"/>
          </w:rPr>
          <w:t xml:space="preserve">2.1.3数据安全认证能力专项说明</w:t>
        </w:r>
        <w:r>
          <w:rPr>
            <w:rStyle w:val="187"/>
          </w:rPr>
        </w:r>
        <w:r>
          <w:tab/>
        </w:r>
        <w:r>
          <w:fldChar w:fldCharType="begin"/>
          <w:instrText xml:space="preserve">PAGEREF _Toc15 \h</w:instrText>
          <w:fldChar w:fldCharType="separate"/>
          <w:t xml:space="preserve">19</w:t>
          <w:fldChar w:fldCharType="end"/>
        </w:r>
      </w:hyperlink>
      <w:r/>
    </w:p>
    <w:p w14:paraId="4C7B6540">
      <w:pPr>
        <w:pStyle w:val="876"/>
        <w:pBdr/>
        <w:tabs>
          <w:tab w:val="right" w:leader="dot" w:pos="9072"/>
        </w:tabs>
        <w:spacing/>
        <w:ind/>
        <w:rPr/>
      </w:pPr>
      <w:hyperlink w:tooltip="#_Toc16" w:anchor="_Toc16" w:history="1">
        <w:r>
          <w:rPr>
            <w:rStyle w:val="187"/>
          </w:rPr>
        </w:r>
        <w:r>
          <w:rPr>
            <w:rStyle w:val="187"/>
          </w:rPr>
          <w:t xml:space="preserve">2.2漏洞应急响应支撑能力</w:t>
        </w:r>
        <w:r>
          <w:rPr>
            <w:rStyle w:val="187"/>
          </w:rPr>
        </w:r>
        <w:r>
          <w:tab/>
        </w:r>
        <w:r>
          <w:fldChar w:fldCharType="begin"/>
          <w:instrText xml:space="preserve">PAGEREF _Toc16 \h</w:instrText>
          <w:fldChar w:fldCharType="separate"/>
          <w:t xml:space="preserve">20</w:t>
          <w:fldChar w:fldCharType="end"/>
        </w:r>
      </w:hyperlink>
      <w:r/>
    </w:p>
    <w:p w14:paraId="700BA260">
      <w:pPr>
        <w:pStyle w:val="877"/>
        <w:pBdr/>
        <w:tabs>
          <w:tab w:val="right" w:leader="dot" w:pos="9072"/>
        </w:tabs>
        <w:spacing/>
        <w:ind/>
        <w:rPr/>
      </w:pPr>
      <w:hyperlink w:tooltip="#_Toc17" w:anchor="_Toc17" w:history="1">
        <w:r>
          <w:rPr>
            <w:rStyle w:val="187"/>
          </w:rPr>
        </w:r>
        <w:r>
          <w:rPr>
            <w:rStyle w:val="187"/>
          </w:rPr>
          <w:t xml:space="preserve">2.2.1CNCERT国家级网络安全应急服务支撑单位资质</w:t>
        </w:r>
        <w:r>
          <w:rPr>
            <w:rStyle w:val="187"/>
          </w:rPr>
        </w:r>
        <w:r>
          <w:tab/>
        </w:r>
        <w:r>
          <w:fldChar w:fldCharType="begin"/>
          <w:instrText xml:space="preserve">PAGEREF _Toc17 \h</w:instrText>
          <w:fldChar w:fldCharType="separate"/>
          <w:t xml:space="preserve">21</w:t>
          <w:fldChar w:fldCharType="end"/>
        </w:r>
      </w:hyperlink>
      <w:r/>
    </w:p>
    <w:p w14:paraId="66CF91B5">
      <w:pPr>
        <w:pStyle w:val="877"/>
        <w:pBdr/>
        <w:tabs>
          <w:tab w:val="right" w:leader="dot" w:pos="9072"/>
        </w:tabs>
        <w:spacing/>
        <w:ind/>
        <w:rPr/>
      </w:pPr>
      <w:hyperlink w:tooltip="#_Toc18" w:anchor="_Toc18" w:history="1">
        <w:r>
          <w:rPr>
            <w:rStyle w:val="187"/>
          </w:rPr>
        </w:r>
        <w:r>
          <w:rPr>
            <w:rStyle w:val="187"/>
          </w:rPr>
          <w:t xml:space="preserve">2.2.2CNCERT省级网络安全应急服务支撑单位资质</w:t>
        </w:r>
        <w:r>
          <w:rPr>
            <w:rStyle w:val="187"/>
          </w:rPr>
        </w:r>
        <w:r>
          <w:tab/>
        </w:r>
        <w:r>
          <w:fldChar w:fldCharType="begin"/>
          <w:instrText xml:space="preserve">PAGEREF _Toc18 \h</w:instrText>
          <w:fldChar w:fldCharType="separate"/>
          <w:t xml:space="preserve">22</w:t>
          <w:fldChar w:fldCharType="end"/>
        </w:r>
      </w:hyperlink>
      <w:r/>
    </w:p>
    <w:p w14:paraId="423400A9">
      <w:pPr>
        <w:pStyle w:val="877"/>
        <w:pBdr/>
        <w:tabs>
          <w:tab w:val="right" w:leader="dot" w:pos="9072"/>
        </w:tabs>
        <w:spacing/>
        <w:ind/>
        <w:rPr/>
      </w:pPr>
      <w:hyperlink w:tooltip="#_Toc19" w:anchor="_Toc19" w:history="1">
        <w:r>
          <w:rPr>
            <w:rStyle w:val="187"/>
          </w:rPr>
        </w:r>
        <w:r>
          <w:rPr>
            <w:rStyle w:val="187"/>
          </w:rPr>
          <w:t xml:space="preserve">2.2.3漏洞应急响应机制与支撑能力说明</w:t>
        </w:r>
        <w:r>
          <w:rPr>
            <w:rStyle w:val="187"/>
          </w:rPr>
        </w:r>
        <w:r>
          <w:tab/>
        </w:r>
        <w:r>
          <w:fldChar w:fldCharType="begin"/>
          <w:instrText xml:space="preserve">PAGEREF _Toc19 \h</w:instrText>
          <w:fldChar w:fldCharType="separate"/>
          <w:t xml:space="preserve">23</w:t>
          <w:fldChar w:fldCharType="end"/>
        </w:r>
      </w:hyperlink>
      <w:r/>
    </w:p>
    <w:p w14:paraId="738A27AE">
      <w:pPr>
        <w:pStyle w:val="876"/>
        <w:pBdr/>
        <w:tabs>
          <w:tab w:val="right" w:leader="dot" w:pos="9072"/>
        </w:tabs>
        <w:spacing/>
        <w:ind/>
        <w:rPr/>
      </w:pPr>
      <w:hyperlink w:tooltip="#_Toc20" w:anchor="_Toc20" w:history="1">
        <w:r>
          <w:rPr>
            <w:rStyle w:val="187"/>
          </w:rPr>
        </w:r>
        <w:r>
          <w:rPr>
            <w:rStyle w:val="187"/>
          </w:rPr>
          <w:t xml:space="preserve">2.3企业管理体系认证</w:t>
        </w:r>
        <w:r>
          <w:rPr>
            <w:rStyle w:val="187"/>
          </w:rPr>
        </w:r>
        <w:r>
          <w:tab/>
        </w:r>
        <w:r>
          <w:fldChar w:fldCharType="begin"/>
          <w:instrText xml:space="preserve">PAGEREF _Toc20 \h</w:instrText>
          <w:fldChar w:fldCharType="separate"/>
          <w:t xml:space="preserve">24</w:t>
          <w:fldChar w:fldCharType="end"/>
        </w:r>
      </w:hyperlink>
      <w:r/>
    </w:p>
    <w:p w14:paraId="4EA356FE">
      <w:pPr>
        <w:pStyle w:val="877"/>
        <w:pBdr/>
        <w:tabs>
          <w:tab w:val="right" w:leader="dot" w:pos="9072"/>
        </w:tabs>
        <w:spacing/>
        <w:ind/>
        <w:rPr/>
      </w:pPr>
      <w:hyperlink w:tooltip="#_Toc21" w:anchor="_Toc21" w:history="1">
        <w:r>
          <w:rPr>
            <w:rStyle w:val="187"/>
          </w:rPr>
        </w:r>
        <w:r>
          <w:rPr>
            <w:rStyle w:val="187"/>
          </w:rPr>
          <w:t xml:space="preserve">2.3.1GB/T29490知识产权管理体系认证</w:t>
        </w:r>
        <w:r>
          <w:rPr>
            <w:rStyle w:val="187"/>
          </w:rPr>
        </w:r>
        <w:r>
          <w:tab/>
        </w:r>
        <w:r>
          <w:fldChar w:fldCharType="begin"/>
          <w:instrText xml:space="preserve">PAGEREF _Toc21 \h</w:instrText>
          <w:fldChar w:fldCharType="separate"/>
          <w:t xml:space="preserve">25</w:t>
          <w:fldChar w:fldCharType="end"/>
        </w:r>
      </w:hyperlink>
      <w:r/>
    </w:p>
    <w:p w14:paraId="3715B514">
      <w:pPr>
        <w:pStyle w:val="877"/>
        <w:pBdr/>
        <w:tabs>
          <w:tab w:val="right" w:leader="dot" w:pos="9072"/>
        </w:tabs>
        <w:spacing/>
        <w:ind/>
        <w:rPr/>
      </w:pPr>
      <w:hyperlink w:tooltip="#_Toc22" w:anchor="_Toc22" w:history="1">
        <w:r>
          <w:rPr>
            <w:rStyle w:val="187"/>
          </w:rPr>
        </w:r>
        <w:r>
          <w:rPr>
            <w:rStyle w:val="187"/>
          </w:rPr>
          <w:t xml:space="preserve">2.3.2ISO22301业务连续性管理体系认证</w:t>
        </w:r>
        <w:r>
          <w:rPr>
            <w:rStyle w:val="187"/>
          </w:rPr>
        </w:r>
        <w:r>
          <w:tab/>
        </w:r>
        <w:r>
          <w:fldChar w:fldCharType="begin"/>
          <w:instrText xml:space="preserve">PAGEREF _Toc22 \h</w:instrText>
          <w:fldChar w:fldCharType="separate"/>
          <w:t xml:space="preserve">25</w:t>
          <w:fldChar w:fldCharType="end"/>
        </w:r>
      </w:hyperlink>
      <w:r/>
    </w:p>
    <w:p w14:paraId="431A9575">
      <w:pPr>
        <w:pStyle w:val="877"/>
        <w:pBdr/>
        <w:tabs>
          <w:tab w:val="right" w:leader="dot" w:pos="9072"/>
        </w:tabs>
        <w:spacing/>
        <w:ind/>
        <w:rPr/>
      </w:pPr>
      <w:hyperlink w:tooltip="#_Toc23" w:anchor="_Toc23" w:history="1">
        <w:r>
          <w:rPr>
            <w:rStyle w:val="187"/>
          </w:rPr>
        </w:r>
        <w:r>
          <w:rPr>
            <w:rStyle w:val="187"/>
          </w:rPr>
          <w:t xml:space="preserve">2.3.3ISO28000供应链安全管理体系认证</w:t>
        </w:r>
        <w:r>
          <w:rPr>
            <w:rStyle w:val="187"/>
          </w:rPr>
        </w:r>
        <w:r>
          <w:tab/>
        </w:r>
        <w:r>
          <w:fldChar w:fldCharType="begin"/>
          <w:instrText xml:space="preserve">PAGEREF _Toc23 \h</w:instrText>
          <w:fldChar w:fldCharType="separate"/>
          <w:t xml:space="preserve">26</w:t>
          <w:fldChar w:fldCharType="end"/>
        </w:r>
      </w:hyperlink>
      <w:r/>
    </w:p>
    <w:p w14:paraId="003F05E8">
      <w:pPr>
        <w:pStyle w:val="877"/>
        <w:pBdr/>
        <w:tabs>
          <w:tab w:val="right" w:leader="dot" w:pos="9072"/>
        </w:tabs>
        <w:spacing/>
        <w:ind/>
        <w:rPr/>
      </w:pPr>
      <w:hyperlink w:tooltip="#_Toc24" w:anchor="_Toc24" w:history="1">
        <w:r>
          <w:rPr>
            <w:rStyle w:val="187"/>
          </w:rPr>
        </w:r>
        <w:r>
          <w:rPr>
            <w:rStyle w:val="187"/>
          </w:rPr>
          <w:t xml:space="preserve">2.3.4管理体系认证运行情况说明</w:t>
        </w:r>
        <w:r>
          <w:rPr>
            <w:rStyle w:val="187"/>
          </w:rPr>
        </w:r>
        <w:r>
          <w:tab/>
        </w:r>
        <w:r>
          <w:fldChar w:fldCharType="begin"/>
          <w:instrText xml:space="preserve">PAGEREF _Toc24 \h</w:instrText>
          <w:fldChar w:fldCharType="separate"/>
          <w:t xml:space="preserve">27</w:t>
          <w:fldChar w:fldCharType="end"/>
        </w:r>
      </w:hyperlink>
      <w:r/>
    </w:p>
    <w:p w14:paraId="18664FB6">
      <w:pPr>
        <w:pStyle w:val="876"/>
        <w:pBdr/>
        <w:tabs>
          <w:tab w:val="right" w:leader="dot" w:pos="9072"/>
        </w:tabs>
        <w:spacing/>
        <w:ind/>
        <w:rPr/>
      </w:pPr>
      <w:hyperlink w:tooltip="#_Toc25" w:anchor="_Toc25" w:history="1">
        <w:r>
          <w:rPr>
            <w:rStyle w:val="187"/>
          </w:rPr>
        </w:r>
        <w:r>
          <w:rPr>
            <w:rStyle w:val="187"/>
          </w:rPr>
          <w:t xml:space="preserve">2.4信息安全服务资质认证</w:t>
        </w:r>
        <w:r>
          <w:rPr>
            <w:rStyle w:val="187"/>
          </w:rPr>
        </w:r>
        <w:r>
          <w:tab/>
        </w:r>
        <w:r>
          <w:fldChar w:fldCharType="begin"/>
          <w:instrText xml:space="preserve">PAGEREF _Toc25 \h</w:instrText>
          <w:fldChar w:fldCharType="separate"/>
          <w:t xml:space="preserve">28</w:t>
          <w:fldChar w:fldCharType="end"/>
        </w:r>
      </w:hyperlink>
      <w:r/>
    </w:p>
    <w:p w14:paraId="5513B39A">
      <w:pPr>
        <w:pStyle w:val="877"/>
        <w:pBdr/>
        <w:tabs>
          <w:tab w:val="right" w:leader="dot" w:pos="9072"/>
        </w:tabs>
        <w:spacing/>
        <w:ind/>
        <w:rPr/>
      </w:pPr>
      <w:hyperlink w:tooltip="#_Toc26" w:anchor="_Toc26" w:history="1">
        <w:r>
          <w:rPr>
            <w:rStyle w:val="187"/>
          </w:rPr>
        </w:r>
        <w:r>
          <w:rPr>
            <w:rStyle w:val="187"/>
          </w:rPr>
          <w:t xml:space="preserve">2.4.1CCRC信息安全服务资质——风险评估类</w:t>
        </w:r>
        <w:r>
          <w:rPr>
            <w:rStyle w:val="187"/>
          </w:rPr>
        </w:r>
        <w:r>
          <w:tab/>
        </w:r>
        <w:r>
          <w:fldChar w:fldCharType="begin"/>
          <w:instrText xml:space="preserve">PAGEREF _Toc26 \h</w:instrText>
          <w:fldChar w:fldCharType="separate"/>
          <w:t xml:space="preserve">29</w:t>
          <w:fldChar w:fldCharType="end"/>
        </w:r>
      </w:hyperlink>
      <w:r/>
    </w:p>
    <w:p w14:paraId="79A64769">
      <w:pPr>
        <w:pStyle w:val="877"/>
        <w:pBdr/>
        <w:tabs>
          <w:tab w:val="right" w:leader="dot" w:pos="9072"/>
        </w:tabs>
        <w:spacing/>
        <w:ind/>
        <w:rPr/>
      </w:pPr>
      <w:hyperlink w:tooltip="#_Toc27" w:anchor="_Toc27" w:history="1">
        <w:r>
          <w:rPr>
            <w:rStyle w:val="187"/>
          </w:rPr>
        </w:r>
        <w:r>
          <w:rPr>
            <w:rStyle w:val="187"/>
          </w:rPr>
          <w:t xml:space="preserve">2.4.2CCRC信息安全服务资质——安全运维类</w:t>
        </w:r>
        <w:r>
          <w:rPr>
            <w:rStyle w:val="187"/>
          </w:rPr>
        </w:r>
        <w:r>
          <w:tab/>
        </w:r>
        <w:r>
          <w:fldChar w:fldCharType="begin"/>
          <w:instrText xml:space="preserve">PAGEREF _Toc27 \h</w:instrText>
          <w:fldChar w:fldCharType="separate"/>
          <w:t xml:space="preserve">30</w:t>
          <w:fldChar w:fldCharType="end"/>
        </w:r>
      </w:hyperlink>
      <w:r/>
    </w:p>
    <w:p w14:paraId="62C1E79C">
      <w:pPr>
        <w:pStyle w:val="877"/>
        <w:pBdr/>
        <w:tabs>
          <w:tab w:val="right" w:leader="dot" w:pos="9072"/>
        </w:tabs>
        <w:spacing/>
        <w:ind/>
        <w:rPr/>
      </w:pPr>
      <w:hyperlink w:tooltip="#_Toc28" w:anchor="_Toc28" w:history="1">
        <w:r>
          <w:rPr>
            <w:rStyle w:val="187"/>
          </w:rPr>
        </w:r>
        <w:r>
          <w:rPr>
            <w:rStyle w:val="187"/>
          </w:rPr>
          <w:t xml:space="preserve">2.4.3CCRC信息安全服务资质——应急处理类</w:t>
        </w:r>
        <w:r>
          <w:rPr>
            <w:rStyle w:val="187"/>
          </w:rPr>
        </w:r>
        <w:r>
          <w:tab/>
        </w:r>
        <w:r>
          <w:fldChar w:fldCharType="begin"/>
          <w:instrText xml:space="preserve">PAGEREF _Toc28 \h</w:instrText>
          <w:fldChar w:fldCharType="separate"/>
          <w:t xml:space="preserve">31</w:t>
          <w:fldChar w:fldCharType="end"/>
        </w:r>
      </w:hyperlink>
      <w:r/>
    </w:p>
    <w:p w14:paraId="7C3E5ECE">
      <w:pPr>
        <w:pStyle w:val="877"/>
        <w:pBdr/>
        <w:tabs>
          <w:tab w:val="right" w:leader="dot" w:pos="9072"/>
        </w:tabs>
        <w:spacing/>
        <w:ind/>
        <w:rPr/>
      </w:pPr>
      <w:hyperlink w:tooltip="#_Toc29" w:anchor="_Toc29" w:history="1">
        <w:r>
          <w:rPr>
            <w:rStyle w:val="187"/>
          </w:rPr>
        </w:r>
        <w:r>
          <w:rPr>
            <w:rStyle w:val="187"/>
          </w:rPr>
          <w:t xml:space="preserve">2.4.4信息安全服务资质能力综合说明</w:t>
        </w:r>
        <w:r>
          <w:rPr>
            <w:rStyle w:val="187"/>
          </w:rPr>
        </w:r>
        <w:r>
          <w:tab/>
        </w:r>
        <w:r>
          <w:fldChar w:fldCharType="begin"/>
          <w:instrText xml:space="preserve">PAGEREF _Toc29 \h</w:instrText>
          <w:fldChar w:fldCharType="separate"/>
          <w:t xml:space="preserve">32</w:t>
          <w:fldChar w:fldCharType="end"/>
        </w:r>
      </w:hyperlink>
      <w:r/>
    </w:p>
    <w:p w14:paraId="63410FFB">
      <w:pPr>
        <w:pStyle w:val="875"/>
        <w:pBdr/>
        <w:tabs>
          <w:tab w:val="right" w:leader="dot" w:pos="9072"/>
        </w:tabs>
        <w:spacing/>
        <w:ind/>
        <w:rPr/>
      </w:pPr>
      <w:hyperlink w:tooltip="#_Toc30" w:anchor="_Toc30" w:history="1">
        <w:r>
          <w:rPr>
            <w:rStyle w:val="187"/>
          </w:rPr>
        </w:r>
        <w:r>
          <w:rPr>
            <w:rStyle w:val="187"/>
          </w:rPr>
          <w:t xml:space="preserve">三、财务状况</w:t>
        </w:r>
        <w:r>
          <w:rPr>
            <w:rStyle w:val="187"/>
          </w:rPr>
        </w:r>
        <w:r>
          <w:tab/>
        </w:r>
        <w:r>
          <w:fldChar w:fldCharType="begin"/>
          <w:instrText xml:space="preserve">PAGEREF _Toc30 \h</w:instrText>
          <w:fldChar w:fldCharType="separate"/>
          <w:t xml:space="preserve">33</w:t>
          <w:fldChar w:fldCharType="end"/>
        </w:r>
      </w:hyperlink>
      <w:r/>
    </w:p>
    <w:p w14:paraId="470791B0">
      <w:pPr>
        <w:pStyle w:val="876"/>
        <w:pBdr/>
        <w:tabs>
          <w:tab w:val="right" w:leader="dot" w:pos="9072"/>
        </w:tabs>
        <w:spacing/>
        <w:ind/>
        <w:rPr/>
      </w:pPr>
      <w:hyperlink w:tooltip="#_Toc31" w:anchor="_Toc31" w:history="1">
        <w:r>
          <w:rPr>
            <w:rStyle w:val="187"/>
          </w:rPr>
        </w:r>
        <w:r>
          <w:rPr>
            <w:rStyle w:val="187"/>
          </w:rPr>
          <w:t xml:space="preserve">3.1财务审计报告完备性</w:t>
        </w:r>
        <w:r>
          <w:rPr>
            <w:rStyle w:val="187"/>
          </w:rPr>
        </w:r>
        <w:r>
          <w:tab/>
        </w:r>
        <w:r>
          <w:fldChar w:fldCharType="begin"/>
          <w:instrText xml:space="preserve">PAGEREF _Toc31 \h</w:instrText>
          <w:fldChar w:fldCharType="separate"/>
          <w:t xml:space="preserve">34</w:t>
          <w:fldChar w:fldCharType="end"/>
        </w:r>
      </w:hyperlink>
      <w:r/>
    </w:p>
    <w:p w14:paraId="477396C6">
      <w:pPr>
        <w:pStyle w:val="877"/>
        <w:pBdr/>
        <w:tabs>
          <w:tab w:val="right" w:leader="dot" w:pos="9072"/>
        </w:tabs>
        <w:spacing/>
        <w:ind/>
        <w:rPr/>
      </w:pPr>
      <w:hyperlink w:tooltip="#_Toc32" w:anchor="_Toc32" w:history="1">
        <w:r>
          <w:rPr>
            <w:rStyle w:val="187"/>
          </w:rPr>
        </w:r>
        <w:r>
          <w:rPr>
            <w:rStyle w:val="187"/>
          </w:rPr>
          <w:t xml:space="preserve">3.1.1财务审计报告提交</w:t>
        </w:r>
        <w:r>
          <w:rPr>
            <w:rStyle w:val="187"/>
          </w:rPr>
        </w:r>
        <w:r>
          <w:tab/>
        </w:r>
        <w:r>
          <w:fldChar w:fldCharType="begin"/>
          <w:instrText xml:space="preserve">PAGEREF _Toc32 \h</w:instrText>
          <w:fldChar w:fldCharType="separate"/>
          <w:t xml:space="preserve">35</w:t>
          <w:fldChar w:fldCharType="end"/>
        </w:r>
      </w:hyperlink>
      <w:r/>
    </w:p>
    <w:p w14:paraId="24BC7749">
      <w:pPr>
        <w:pStyle w:val="877"/>
        <w:pBdr/>
        <w:tabs>
          <w:tab w:val="right" w:leader="dot" w:pos="9072"/>
        </w:tabs>
        <w:spacing/>
        <w:ind/>
        <w:rPr/>
      </w:pPr>
      <w:hyperlink w:tooltip="#_Toc33" w:anchor="_Toc33" w:history="1">
        <w:r>
          <w:rPr>
            <w:rStyle w:val="187"/>
          </w:rPr>
        </w:r>
        <w:r>
          <w:rPr>
            <w:rStyle w:val="187"/>
          </w:rPr>
          <w:t xml:space="preserve">3.1.2财务报表附注与完整性说明</w:t>
        </w:r>
        <w:r>
          <w:rPr>
            <w:rStyle w:val="187"/>
          </w:rPr>
        </w:r>
        <w:r>
          <w:tab/>
        </w:r>
        <w:r>
          <w:fldChar w:fldCharType="begin"/>
          <w:instrText xml:space="preserve">PAGEREF _Toc33 \h</w:instrText>
          <w:fldChar w:fldCharType="separate"/>
          <w:t xml:space="preserve">36</w:t>
          <w:fldChar w:fldCharType="end"/>
        </w:r>
      </w:hyperlink>
      <w:r/>
    </w:p>
    <w:p w14:paraId="41BFA444">
      <w:pPr>
        <w:pStyle w:val="876"/>
        <w:pBdr/>
        <w:tabs>
          <w:tab w:val="right" w:leader="dot" w:pos="9072"/>
        </w:tabs>
        <w:spacing/>
        <w:ind/>
        <w:rPr/>
      </w:pPr>
      <w:hyperlink w:tooltip="#_Toc34" w:anchor="_Toc34" w:history="1">
        <w:r>
          <w:rPr>
            <w:rStyle w:val="187"/>
          </w:rPr>
        </w:r>
        <w:r>
          <w:rPr>
            <w:rStyle w:val="187"/>
          </w:rPr>
          <w:t xml:space="preserve">3.2资产负债率达标响应</w:t>
        </w:r>
        <w:r>
          <w:rPr>
            <w:rStyle w:val="187"/>
          </w:rPr>
        </w:r>
        <w:r>
          <w:tab/>
        </w:r>
        <w:r>
          <w:fldChar w:fldCharType="begin"/>
          <w:instrText xml:space="preserve">PAGEREF _Toc34 \h</w:instrText>
          <w:fldChar w:fldCharType="separate"/>
          <w:t xml:space="preserve">37</w:t>
          <w:fldChar w:fldCharType="end"/>
        </w:r>
      </w:hyperlink>
      <w:r/>
    </w:p>
    <w:p w14:paraId="6A597E1E">
      <w:pPr>
        <w:pStyle w:val="877"/>
        <w:pBdr/>
        <w:tabs>
          <w:tab w:val="right" w:leader="dot" w:pos="9072"/>
        </w:tabs>
        <w:spacing/>
        <w:ind/>
        <w:rPr/>
      </w:pPr>
      <w:hyperlink w:tooltip="#_Toc35" w:anchor="_Toc35" w:history="1">
        <w:r>
          <w:rPr>
            <w:rStyle w:val="187"/>
          </w:rPr>
        </w:r>
        <w:r>
          <w:rPr>
            <w:rStyle w:val="187"/>
          </w:rPr>
          <w:t xml:space="preserve">3.2.1资产负债率计算说明</w:t>
        </w:r>
        <w:r>
          <w:rPr>
            <w:rStyle w:val="187"/>
          </w:rPr>
        </w:r>
        <w:r>
          <w:tab/>
        </w:r>
        <w:r>
          <w:fldChar w:fldCharType="begin"/>
          <w:instrText xml:space="preserve">PAGEREF _Toc35 \h</w:instrText>
          <w:fldChar w:fldCharType="separate"/>
          <w:t xml:space="preserve">38</w:t>
          <w:fldChar w:fldCharType="end"/>
        </w:r>
      </w:hyperlink>
      <w:r/>
    </w:p>
    <w:p w14:paraId="30862736">
      <w:pPr>
        <w:pStyle w:val="877"/>
        <w:pBdr/>
        <w:tabs>
          <w:tab w:val="right" w:leader="dot" w:pos="9072"/>
        </w:tabs>
        <w:spacing/>
        <w:ind/>
        <w:rPr/>
      </w:pPr>
      <w:hyperlink w:tooltip="#_Toc36" w:anchor="_Toc36" w:history="1">
        <w:r>
          <w:rPr>
            <w:rStyle w:val="187"/>
          </w:rPr>
        </w:r>
        <w:r>
          <w:rPr>
            <w:rStyle w:val="187"/>
          </w:rPr>
          <w:t xml:space="preserve">3.2.2资产负债率达标证明材料</w:t>
        </w:r>
        <w:r>
          <w:rPr>
            <w:rStyle w:val="187"/>
          </w:rPr>
        </w:r>
        <w:r>
          <w:tab/>
        </w:r>
        <w:r>
          <w:fldChar w:fldCharType="begin"/>
          <w:instrText xml:space="preserve">PAGEREF _Toc36 \h</w:instrText>
          <w:fldChar w:fldCharType="separate"/>
          <w:t xml:space="preserve">39</w:t>
          <w:fldChar w:fldCharType="end"/>
        </w:r>
      </w:hyperlink>
      <w:r/>
    </w:p>
    <w:p w14:paraId="62335571">
      <w:pPr>
        <w:pStyle w:val="876"/>
        <w:pBdr/>
        <w:tabs>
          <w:tab w:val="right" w:leader="dot" w:pos="9072"/>
        </w:tabs>
        <w:spacing/>
        <w:ind/>
        <w:rPr/>
      </w:pPr>
      <w:hyperlink w:tooltip="#_Toc37" w:anchor="_Toc37" w:history="1">
        <w:r>
          <w:rPr>
            <w:rStyle w:val="187"/>
          </w:rPr>
        </w:r>
        <w:r>
          <w:rPr>
            <w:rStyle w:val="187"/>
          </w:rPr>
          <w:t xml:space="preserve">3.3利润率达标响应</w:t>
        </w:r>
        <w:r>
          <w:rPr>
            <w:rStyle w:val="187"/>
          </w:rPr>
        </w:r>
        <w:r>
          <w:tab/>
        </w:r>
        <w:r>
          <w:fldChar w:fldCharType="begin"/>
          <w:instrText xml:space="preserve">PAGEREF _Toc37 \h</w:instrText>
          <w:fldChar w:fldCharType="separate"/>
          <w:t xml:space="preserve">40</w:t>
          <w:fldChar w:fldCharType="end"/>
        </w:r>
      </w:hyperlink>
      <w:r/>
    </w:p>
    <w:p w14:paraId="6B973172">
      <w:pPr>
        <w:pStyle w:val="877"/>
        <w:pBdr/>
        <w:tabs>
          <w:tab w:val="right" w:leader="dot" w:pos="9072"/>
        </w:tabs>
        <w:spacing/>
        <w:ind/>
        <w:rPr/>
      </w:pPr>
      <w:hyperlink w:tooltip="#_Toc38" w:anchor="_Toc38" w:history="1">
        <w:r>
          <w:rPr>
            <w:rStyle w:val="187"/>
          </w:rPr>
        </w:r>
        <w:r>
          <w:rPr>
            <w:rStyle w:val="187"/>
          </w:rPr>
          <w:t xml:space="preserve">3.3.1利润率计算说明</w:t>
        </w:r>
        <w:r>
          <w:rPr>
            <w:rStyle w:val="187"/>
          </w:rPr>
        </w:r>
        <w:r>
          <w:tab/>
        </w:r>
        <w:r>
          <w:fldChar w:fldCharType="begin"/>
          <w:instrText xml:space="preserve">PAGEREF _Toc38 \h</w:instrText>
          <w:fldChar w:fldCharType="separate"/>
          <w:t xml:space="preserve">41</w:t>
          <w:fldChar w:fldCharType="end"/>
        </w:r>
      </w:hyperlink>
      <w:r/>
    </w:p>
    <w:p w14:paraId="20B6BF52">
      <w:pPr>
        <w:pStyle w:val="877"/>
        <w:pBdr/>
        <w:tabs>
          <w:tab w:val="right" w:leader="dot" w:pos="9072"/>
        </w:tabs>
        <w:spacing/>
        <w:ind/>
        <w:rPr/>
      </w:pPr>
      <w:hyperlink w:tooltip="#_Toc39" w:anchor="_Toc39" w:history="1">
        <w:r>
          <w:rPr>
            <w:rStyle w:val="187"/>
          </w:rPr>
        </w:r>
        <w:r>
          <w:rPr>
            <w:rStyle w:val="187"/>
          </w:rPr>
          <w:t xml:space="preserve">3.3.2利润率达标证明材料</w:t>
        </w:r>
        <w:r>
          <w:rPr>
            <w:rStyle w:val="187"/>
          </w:rPr>
        </w:r>
        <w:r>
          <w:tab/>
        </w:r>
        <w:r>
          <w:fldChar w:fldCharType="begin"/>
          <w:instrText xml:space="preserve">PAGEREF _Toc39 \h</w:instrText>
          <w:fldChar w:fldCharType="separate"/>
          <w:t xml:space="preserve">42</w:t>
          <w:fldChar w:fldCharType="end"/>
        </w:r>
      </w:hyperlink>
      <w:r/>
    </w:p>
    <w:p w14:paraId="166427BA">
      <w:pPr>
        <w:pStyle w:val="875"/>
        <w:pBdr/>
        <w:tabs>
          <w:tab w:val="right" w:leader="dot" w:pos="9072"/>
        </w:tabs>
        <w:spacing/>
        <w:ind/>
        <w:rPr/>
      </w:pPr>
      <w:hyperlink w:tooltip="#_Toc40" w:anchor="_Toc40" w:history="1">
        <w:r>
          <w:rPr>
            <w:rStyle w:val="187"/>
          </w:rPr>
        </w:r>
        <w:r>
          <w:rPr>
            <w:rStyle w:val="187"/>
          </w:rPr>
          <w:t xml:space="preserve">四、项目整体服务方案</w:t>
        </w:r>
        <w:r>
          <w:rPr>
            <w:rStyle w:val="187"/>
          </w:rPr>
        </w:r>
        <w:r>
          <w:tab/>
        </w:r>
        <w:r>
          <w:fldChar w:fldCharType="begin"/>
          <w:instrText xml:space="preserve">PAGEREF _Toc40 \h</w:instrText>
          <w:fldChar w:fldCharType="separate"/>
          <w:t xml:space="preserve">43</w:t>
          <w:fldChar w:fldCharType="end"/>
        </w:r>
      </w:hyperlink>
      <w:r/>
    </w:p>
    <w:p w14:paraId="5821FDDD">
      <w:pPr>
        <w:pStyle w:val="876"/>
        <w:pBdr/>
        <w:tabs>
          <w:tab w:val="right" w:leader="dot" w:pos="9072"/>
        </w:tabs>
        <w:spacing/>
        <w:ind/>
        <w:rPr/>
      </w:pPr>
      <w:hyperlink w:tooltip="#_Toc41" w:anchor="_Toc41" w:history="1">
        <w:r>
          <w:rPr>
            <w:rStyle w:val="187"/>
          </w:rPr>
        </w:r>
        <w:r>
          <w:rPr>
            <w:rStyle w:val="187"/>
          </w:rPr>
          <w:t xml:space="preserve">4.1项目理解与服务范围分析</w:t>
        </w:r>
        <w:r>
          <w:rPr>
            <w:rStyle w:val="187"/>
          </w:rPr>
        </w:r>
        <w:r>
          <w:tab/>
        </w:r>
        <w:r>
          <w:fldChar w:fldCharType="begin"/>
          <w:instrText xml:space="preserve">PAGEREF _Toc41 \h</w:instrText>
          <w:fldChar w:fldCharType="separate"/>
          <w:t xml:space="preserve">44</w:t>
          <w:fldChar w:fldCharType="end"/>
        </w:r>
      </w:hyperlink>
      <w:r/>
    </w:p>
    <w:p w14:paraId="70E1247D">
      <w:pPr>
        <w:pStyle w:val="877"/>
        <w:pBdr/>
        <w:tabs>
          <w:tab w:val="right" w:leader="dot" w:pos="9072"/>
        </w:tabs>
        <w:spacing/>
        <w:ind/>
        <w:rPr/>
      </w:pPr>
      <w:hyperlink w:tooltip="#_Toc42" w:anchor="_Toc42" w:history="1">
        <w:r>
          <w:rPr>
            <w:rStyle w:val="187"/>
          </w:rPr>
        </w:r>
        <w:r>
          <w:rPr>
            <w:rStyle w:val="187"/>
          </w:rPr>
          <w:t xml:space="preserve">4.1.1项目背景及建设目标理解</w:t>
        </w:r>
        <w:r>
          <w:rPr>
            <w:rStyle w:val="187"/>
          </w:rPr>
        </w:r>
        <w:r>
          <w:tab/>
        </w:r>
        <w:r>
          <w:fldChar w:fldCharType="begin"/>
          <w:instrText xml:space="preserve">PAGEREF _Toc42 \h</w:instrText>
          <w:fldChar w:fldCharType="separate"/>
          <w:t xml:space="preserve">45</w:t>
          <w:fldChar w:fldCharType="end"/>
        </w:r>
      </w:hyperlink>
      <w:r/>
    </w:p>
    <w:p w14:paraId="20E2F110">
      <w:pPr>
        <w:pStyle w:val="877"/>
        <w:pBdr/>
        <w:tabs>
          <w:tab w:val="right" w:leader="dot" w:pos="9072"/>
        </w:tabs>
        <w:spacing/>
        <w:ind/>
        <w:rPr/>
      </w:pPr>
      <w:hyperlink w:tooltip="#_Toc43" w:anchor="_Toc43" w:history="1">
        <w:r>
          <w:rPr>
            <w:rStyle w:val="187"/>
          </w:rPr>
        </w:r>
        <w:r>
          <w:rPr>
            <w:rStyle w:val="187"/>
          </w:rPr>
          <w:t xml:space="preserve">4.1.2服务范围与需求分析</w:t>
        </w:r>
        <w:r>
          <w:rPr>
            <w:rStyle w:val="187"/>
          </w:rPr>
        </w:r>
        <w:r>
          <w:tab/>
        </w:r>
        <w:r>
          <w:fldChar w:fldCharType="begin"/>
          <w:instrText xml:space="preserve">PAGEREF _Toc43 \h</w:instrText>
          <w:fldChar w:fldCharType="separate"/>
          <w:t xml:space="preserve">46</w:t>
          <w:fldChar w:fldCharType="end"/>
        </w:r>
      </w:hyperlink>
      <w:r/>
    </w:p>
    <w:p w14:paraId="0F395FBE">
      <w:pPr>
        <w:pStyle w:val="877"/>
        <w:pBdr/>
        <w:tabs>
          <w:tab w:val="right" w:leader="dot" w:pos="9072"/>
        </w:tabs>
        <w:spacing/>
        <w:ind/>
        <w:rPr/>
      </w:pPr>
      <w:hyperlink w:tooltip="#_Toc44" w:anchor="_Toc44" w:history="1">
        <w:r>
          <w:rPr>
            <w:rStyle w:val="187"/>
          </w:rPr>
        </w:r>
        <w:r>
          <w:rPr>
            <w:rStyle w:val="187"/>
          </w:rPr>
          <w:t xml:space="preserve">4.1.3监管要求与合规性分析</w:t>
        </w:r>
        <w:r>
          <w:rPr>
            <w:rStyle w:val="187"/>
          </w:rPr>
        </w:r>
        <w:r>
          <w:tab/>
        </w:r>
        <w:r>
          <w:fldChar w:fldCharType="begin"/>
          <w:instrText xml:space="preserve">PAGEREF _Toc44 \h</w:instrText>
          <w:fldChar w:fldCharType="separate"/>
          <w:t xml:space="preserve">47</w:t>
          <w:fldChar w:fldCharType="end"/>
        </w:r>
      </w:hyperlink>
      <w:r/>
    </w:p>
    <w:p w14:paraId="6B51DC89">
      <w:pPr>
        <w:pStyle w:val="876"/>
        <w:pBdr/>
        <w:tabs>
          <w:tab w:val="right" w:leader="dot" w:pos="9072"/>
        </w:tabs>
        <w:spacing/>
        <w:ind/>
        <w:rPr/>
      </w:pPr>
      <w:hyperlink w:tooltip="#_Toc45" w:anchor="_Toc45" w:history="1">
        <w:r>
          <w:rPr>
            <w:rStyle w:val="187"/>
          </w:rPr>
        </w:r>
        <w:r>
          <w:rPr>
            <w:rStyle w:val="187"/>
          </w:rPr>
          <w:t xml:space="preserve">4.2重点难点分析与应对策略</w:t>
        </w:r>
        <w:r>
          <w:rPr>
            <w:rStyle w:val="187"/>
          </w:rPr>
        </w:r>
        <w:r>
          <w:tab/>
        </w:r>
        <w:r>
          <w:fldChar w:fldCharType="begin"/>
          <w:instrText xml:space="preserve">PAGEREF _Toc45 \h</w:instrText>
          <w:fldChar w:fldCharType="separate"/>
          <w:t xml:space="preserve">48</w:t>
          <w:fldChar w:fldCharType="end"/>
        </w:r>
      </w:hyperlink>
      <w:r/>
    </w:p>
    <w:p w14:paraId="14650BE0">
      <w:pPr>
        <w:pStyle w:val="877"/>
        <w:pBdr/>
        <w:tabs>
          <w:tab w:val="right" w:leader="dot" w:pos="9072"/>
        </w:tabs>
        <w:spacing/>
        <w:ind/>
        <w:rPr/>
      </w:pPr>
      <w:hyperlink w:tooltip="#_Toc46" w:anchor="_Toc46" w:history="1">
        <w:r>
          <w:rPr>
            <w:rStyle w:val="187"/>
          </w:rPr>
        </w:r>
        <w:r>
          <w:rPr>
            <w:rStyle w:val="187"/>
          </w:rPr>
          <w:t xml:space="preserve">4.2.1关键技术难点识别与应对</w:t>
        </w:r>
        <w:r>
          <w:rPr>
            <w:rStyle w:val="187"/>
          </w:rPr>
        </w:r>
        <w:r>
          <w:tab/>
        </w:r>
        <w:r>
          <w:fldChar w:fldCharType="begin"/>
          <w:instrText xml:space="preserve">PAGEREF _Toc46 \h</w:instrText>
          <w:fldChar w:fldCharType="separate"/>
          <w:t xml:space="preserve">50</w:t>
          <w:fldChar w:fldCharType="end"/>
        </w:r>
      </w:hyperlink>
      <w:r/>
    </w:p>
    <w:p w14:paraId="7A26630A">
      <w:pPr>
        <w:pStyle w:val="877"/>
        <w:pBdr/>
        <w:tabs>
          <w:tab w:val="right" w:leader="dot" w:pos="9072"/>
        </w:tabs>
        <w:spacing/>
        <w:ind/>
        <w:rPr/>
      </w:pPr>
      <w:hyperlink w:tooltip="#_Toc47" w:anchor="_Toc47" w:history="1">
        <w:r>
          <w:rPr>
            <w:rStyle w:val="187"/>
          </w:rPr>
        </w:r>
        <w:r>
          <w:rPr>
            <w:rStyle w:val="187"/>
          </w:rPr>
          <w:t xml:space="preserve">4.2.2项目管理难点分析与对策</w:t>
        </w:r>
        <w:r>
          <w:rPr>
            <w:rStyle w:val="187"/>
          </w:rPr>
        </w:r>
        <w:r>
          <w:tab/>
        </w:r>
        <w:r>
          <w:fldChar w:fldCharType="begin"/>
          <w:instrText xml:space="preserve">PAGEREF _Toc47 \h</w:instrText>
          <w:fldChar w:fldCharType="separate"/>
          <w:t xml:space="preserve">51</w:t>
          <w:fldChar w:fldCharType="end"/>
        </w:r>
      </w:hyperlink>
      <w:r/>
    </w:p>
    <w:p w14:paraId="01A7D7DF">
      <w:pPr>
        <w:pStyle w:val="877"/>
        <w:pBdr/>
        <w:tabs>
          <w:tab w:val="right" w:leader="dot" w:pos="9072"/>
        </w:tabs>
        <w:spacing/>
        <w:ind/>
        <w:rPr/>
      </w:pPr>
      <w:hyperlink w:tooltip="#_Toc48" w:anchor="_Toc48" w:history="1">
        <w:r>
          <w:rPr>
            <w:rStyle w:val="187"/>
          </w:rPr>
        </w:r>
        <w:r>
          <w:rPr>
            <w:rStyle w:val="187"/>
          </w:rPr>
          <w:t xml:space="preserve">4.2.3服务风险防控与应急预案</w:t>
        </w:r>
        <w:r>
          <w:rPr>
            <w:rStyle w:val="187"/>
          </w:rPr>
        </w:r>
        <w:r>
          <w:tab/>
        </w:r>
        <w:r>
          <w:fldChar w:fldCharType="begin"/>
          <w:instrText xml:space="preserve">PAGEREF _Toc48 \h</w:instrText>
          <w:fldChar w:fldCharType="separate"/>
          <w:t xml:space="preserve">52</w:t>
          <w:fldChar w:fldCharType="end"/>
        </w:r>
      </w:hyperlink>
      <w:r/>
    </w:p>
    <w:p w14:paraId="4FB9B568">
      <w:pPr>
        <w:pStyle w:val="876"/>
        <w:pBdr/>
        <w:tabs>
          <w:tab w:val="right" w:leader="dot" w:pos="9072"/>
        </w:tabs>
        <w:spacing/>
        <w:ind/>
        <w:rPr/>
      </w:pPr>
      <w:hyperlink w:tooltip="#_Toc49" w:anchor="_Toc49" w:history="1">
        <w:r>
          <w:rPr>
            <w:rStyle w:val="187"/>
          </w:rPr>
        </w:r>
        <w:r>
          <w:rPr>
            <w:rStyle w:val="187"/>
          </w:rPr>
          <w:t xml:space="preserve">4.3总体服务方案设计</w:t>
        </w:r>
        <w:r>
          <w:rPr>
            <w:rStyle w:val="187"/>
          </w:rPr>
        </w:r>
        <w:r>
          <w:tab/>
        </w:r>
        <w:r>
          <w:fldChar w:fldCharType="begin"/>
          <w:instrText xml:space="preserve">PAGEREF _Toc49 \h</w:instrText>
          <w:fldChar w:fldCharType="separate"/>
          <w:t xml:space="preserve">53</w:t>
          <w:fldChar w:fldCharType="end"/>
        </w:r>
      </w:hyperlink>
      <w:r/>
    </w:p>
    <w:p w14:paraId="0C7BA584">
      <w:pPr>
        <w:pStyle w:val="877"/>
        <w:pBdr/>
        <w:tabs>
          <w:tab w:val="right" w:leader="dot" w:pos="9072"/>
        </w:tabs>
        <w:spacing/>
        <w:ind/>
        <w:rPr/>
      </w:pPr>
      <w:hyperlink w:tooltip="#_Toc50" w:anchor="_Toc50" w:history="1">
        <w:r>
          <w:rPr>
            <w:rStyle w:val="187"/>
          </w:rPr>
        </w:r>
        <w:r>
          <w:rPr>
            <w:rStyle w:val="187"/>
          </w:rPr>
          <w:t xml:space="preserve">4.3.1服务架构与技术路线设计</w:t>
        </w:r>
        <w:r>
          <w:rPr>
            <w:rStyle w:val="187"/>
          </w:rPr>
        </w:r>
        <w:r>
          <w:tab/>
        </w:r>
        <w:r>
          <w:fldChar w:fldCharType="begin"/>
          <w:instrText xml:space="preserve">PAGEREF _Toc50 \h</w:instrText>
          <w:fldChar w:fldCharType="separate"/>
          <w:t xml:space="preserve">55</w:t>
          <w:fldChar w:fldCharType="end"/>
        </w:r>
      </w:hyperlink>
      <w:r/>
    </w:p>
    <w:p w14:paraId="763D1A6B">
      <w:pPr>
        <w:pStyle w:val="877"/>
        <w:pBdr/>
        <w:tabs>
          <w:tab w:val="right" w:leader="dot" w:pos="9072"/>
        </w:tabs>
        <w:spacing/>
        <w:ind/>
        <w:rPr/>
      </w:pPr>
      <w:hyperlink w:tooltip="#_Toc51" w:anchor="_Toc51" w:history="1">
        <w:r>
          <w:rPr>
            <w:rStyle w:val="187"/>
          </w:rPr>
        </w:r>
        <w:r>
          <w:rPr>
            <w:rStyle w:val="187"/>
          </w:rPr>
          <w:t xml:space="preserve">4.3.2分项服务实施方案</w:t>
        </w:r>
        <w:r>
          <w:rPr>
            <w:rStyle w:val="187"/>
          </w:rPr>
        </w:r>
        <w:r>
          <w:tab/>
        </w:r>
        <w:r>
          <w:fldChar w:fldCharType="begin"/>
          <w:instrText xml:space="preserve">PAGEREF _Toc51 \h</w:instrText>
          <w:fldChar w:fldCharType="separate"/>
          <w:t xml:space="preserve">56</w:t>
          <w:fldChar w:fldCharType="end"/>
        </w:r>
      </w:hyperlink>
      <w:r/>
    </w:p>
    <w:p w14:paraId="2A1F16A0">
      <w:pPr>
        <w:pStyle w:val="877"/>
        <w:pBdr/>
        <w:tabs>
          <w:tab w:val="right" w:leader="dot" w:pos="9072"/>
        </w:tabs>
        <w:spacing/>
        <w:ind/>
        <w:rPr/>
      </w:pPr>
      <w:hyperlink w:tooltip="#_Toc52" w:anchor="_Toc52" w:history="1">
        <w:r>
          <w:rPr>
            <w:rStyle w:val="187"/>
          </w:rPr>
        </w:r>
        <w:r>
          <w:rPr>
            <w:rStyle w:val="187"/>
          </w:rPr>
          <w:t xml:space="preserve">4.3.3服务质量控制与考核机制</w:t>
        </w:r>
        <w:r>
          <w:rPr>
            <w:rStyle w:val="187"/>
          </w:rPr>
        </w:r>
        <w:r>
          <w:tab/>
        </w:r>
        <w:r>
          <w:fldChar w:fldCharType="begin"/>
          <w:instrText xml:space="preserve">PAGEREF _Toc52 \h</w:instrText>
          <w:fldChar w:fldCharType="separate"/>
          <w:t xml:space="preserve">58</w:t>
          <w:fldChar w:fldCharType="end"/>
        </w:r>
      </w:hyperlink>
      <w:r/>
    </w:p>
    <w:p w14:paraId="4F394326">
      <w:pPr>
        <w:pStyle w:val="876"/>
        <w:pBdr/>
        <w:tabs>
          <w:tab w:val="right" w:leader="dot" w:pos="9072"/>
        </w:tabs>
        <w:spacing/>
        <w:ind/>
        <w:rPr/>
      </w:pPr>
      <w:hyperlink w:tooltip="#_Toc53" w:anchor="_Toc53" w:history="1">
        <w:r>
          <w:rPr>
            <w:rStyle w:val="187"/>
          </w:rPr>
        </w:r>
        <w:r>
          <w:rPr>
            <w:rStyle w:val="187"/>
          </w:rPr>
          <w:t xml:space="preserve">4.4项目人员配置方案</w:t>
        </w:r>
        <w:r>
          <w:rPr>
            <w:rStyle w:val="187"/>
          </w:rPr>
        </w:r>
        <w:r>
          <w:tab/>
        </w:r>
        <w:r>
          <w:fldChar w:fldCharType="begin"/>
          <w:instrText xml:space="preserve">PAGEREF _Toc53 \h</w:instrText>
          <w:fldChar w:fldCharType="separate"/>
          <w:t xml:space="preserve">59</w:t>
          <w:fldChar w:fldCharType="end"/>
        </w:r>
      </w:hyperlink>
      <w:r/>
    </w:p>
    <w:p w14:paraId="48AEF35B">
      <w:pPr>
        <w:pStyle w:val="877"/>
        <w:pBdr/>
        <w:tabs>
          <w:tab w:val="right" w:leader="dot" w:pos="9072"/>
        </w:tabs>
        <w:spacing/>
        <w:ind/>
        <w:rPr/>
      </w:pPr>
      <w:hyperlink w:tooltip="#_Toc54" w:anchor="_Toc54" w:history="1">
        <w:r>
          <w:rPr>
            <w:rStyle w:val="187"/>
          </w:rPr>
        </w:r>
        <w:r>
          <w:rPr>
            <w:rStyle w:val="187"/>
          </w:rPr>
          <w:t xml:space="preserve">4.4.1项目团队组织结构</w:t>
        </w:r>
        <w:r>
          <w:rPr>
            <w:rStyle w:val="187"/>
          </w:rPr>
        </w:r>
        <w:r>
          <w:tab/>
        </w:r>
        <w:r>
          <w:fldChar w:fldCharType="begin"/>
          <w:instrText xml:space="preserve">PAGEREF _Toc54 \h</w:instrText>
          <w:fldChar w:fldCharType="separate"/>
          <w:t xml:space="preserve">60</w:t>
          <w:fldChar w:fldCharType="end"/>
        </w:r>
      </w:hyperlink>
      <w:r/>
    </w:p>
    <w:p w14:paraId="3F3CB971">
      <w:pPr>
        <w:pStyle w:val="877"/>
        <w:pBdr/>
        <w:tabs>
          <w:tab w:val="right" w:leader="dot" w:pos="9072"/>
        </w:tabs>
        <w:spacing/>
        <w:ind/>
        <w:rPr/>
      </w:pPr>
      <w:hyperlink w:tooltip="#_Toc55" w:anchor="_Toc55" w:history="1">
        <w:r>
          <w:rPr>
            <w:rStyle w:val="187"/>
          </w:rPr>
        </w:r>
        <w:r>
          <w:rPr>
            <w:rStyle w:val="187"/>
          </w:rPr>
          <w:t xml:space="preserve">4.4.2关键人员配置与职责分工</w:t>
        </w:r>
        <w:r>
          <w:rPr>
            <w:rStyle w:val="187"/>
          </w:rPr>
        </w:r>
        <w:r>
          <w:tab/>
        </w:r>
        <w:r>
          <w:fldChar w:fldCharType="begin"/>
          <w:instrText xml:space="preserve">PAGEREF _Toc55 \h</w:instrText>
          <w:fldChar w:fldCharType="separate"/>
          <w:t xml:space="preserve">61</w:t>
          <w:fldChar w:fldCharType="end"/>
        </w:r>
      </w:hyperlink>
      <w:r/>
    </w:p>
    <w:p w14:paraId="54B4CB46">
      <w:pPr>
        <w:pStyle w:val="877"/>
        <w:pBdr/>
        <w:tabs>
          <w:tab w:val="right" w:leader="dot" w:pos="9072"/>
        </w:tabs>
        <w:spacing/>
        <w:ind/>
        <w:rPr/>
      </w:pPr>
      <w:hyperlink w:tooltip="#_Toc56" w:anchor="_Toc56" w:history="1">
        <w:r>
          <w:rPr>
            <w:rStyle w:val="187"/>
          </w:rPr>
        </w:r>
        <w:r>
          <w:rPr>
            <w:rStyle w:val="187"/>
          </w:rPr>
          <w:t xml:space="preserve">4.4.3人员稳定性与后备机制</w:t>
        </w:r>
        <w:r>
          <w:rPr>
            <w:rStyle w:val="187"/>
          </w:rPr>
        </w:r>
        <w:r>
          <w:tab/>
        </w:r>
        <w:r>
          <w:fldChar w:fldCharType="begin"/>
          <w:instrText xml:space="preserve">PAGEREF _Toc56 \h</w:instrText>
          <w:fldChar w:fldCharType="separate"/>
          <w:t xml:space="preserve">63</w:t>
          <w:fldChar w:fldCharType="end"/>
        </w:r>
      </w:hyperlink>
      <w:r/>
    </w:p>
    <w:p w14:paraId="41EF5F54">
      <w:pPr>
        <w:pStyle w:val="876"/>
        <w:pBdr/>
        <w:tabs>
          <w:tab w:val="right" w:leader="dot" w:pos="9072"/>
        </w:tabs>
        <w:spacing/>
        <w:ind/>
        <w:rPr/>
      </w:pPr>
      <w:hyperlink w:tooltip="#_Toc57" w:anchor="_Toc57" w:history="1">
        <w:r>
          <w:rPr>
            <w:rStyle w:val="187"/>
          </w:rPr>
        </w:r>
        <w:r>
          <w:rPr>
            <w:rStyle w:val="187"/>
          </w:rPr>
          <w:t xml:space="preserve">4.5项目实施计划与保障措施</w:t>
        </w:r>
        <w:r>
          <w:rPr>
            <w:rStyle w:val="187"/>
          </w:rPr>
        </w:r>
        <w:r>
          <w:tab/>
        </w:r>
        <w:r>
          <w:fldChar w:fldCharType="begin"/>
          <w:instrText xml:space="preserve">PAGEREF _Toc57 \h</w:instrText>
          <w:fldChar w:fldCharType="separate"/>
          <w:t xml:space="preserve">64</w:t>
          <w:fldChar w:fldCharType="end"/>
        </w:r>
      </w:hyperlink>
      <w:r/>
    </w:p>
    <w:p w14:paraId="4D6534B0">
      <w:pPr>
        <w:pStyle w:val="877"/>
        <w:pBdr/>
        <w:tabs>
          <w:tab w:val="right" w:leader="dot" w:pos="9072"/>
        </w:tabs>
        <w:spacing/>
        <w:ind/>
        <w:rPr/>
      </w:pPr>
      <w:hyperlink w:tooltip="#_Toc58" w:anchor="_Toc58" w:history="1">
        <w:r>
          <w:rPr>
            <w:rStyle w:val="187"/>
          </w:rPr>
        </w:r>
        <w:r>
          <w:rPr>
            <w:rStyle w:val="187"/>
          </w:rPr>
          <w:t xml:space="preserve">4.5.1项目实施进度计划</w:t>
        </w:r>
        <w:r>
          <w:rPr>
            <w:rStyle w:val="187"/>
          </w:rPr>
        </w:r>
        <w:r>
          <w:tab/>
        </w:r>
        <w:r>
          <w:fldChar w:fldCharType="begin"/>
          <w:instrText xml:space="preserve">PAGEREF _Toc58 \h</w:instrText>
          <w:fldChar w:fldCharType="separate"/>
          <w:t xml:space="preserve">66</w:t>
          <w:fldChar w:fldCharType="end"/>
        </w:r>
      </w:hyperlink>
      <w:r/>
    </w:p>
    <w:p w14:paraId="17A51536">
      <w:pPr>
        <w:pStyle w:val="877"/>
        <w:pBdr/>
        <w:tabs>
          <w:tab w:val="right" w:leader="dot" w:pos="9072"/>
        </w:tabs>
        <w:spacing/>
        <w:ind/>
        <w:rPr/>
      </w:pPr>
      <w:hyperlink w:tooltip="#_Toc59" w:anchor="_Toc59" w:history="1">
        <w:r>
          <w:rPr>
            <w:rStyle w:val="187"/>
          </w:rPr>
        </w:r>
        <w:r>
          <w:rPr>
            <w:rStyle w:val="187"/>
          </w:rPr>
          <w:t xml:space="preserve">4.5.2沟通协同与报告机制</w:t>
        </w:r>
        <w:r>
          <w:rPr>
            <w:rStyle w:val="187"/>
          </w:rPr>
        </w:r>
        <w:r>
          <w:tab/>
        </w:r>
        <w:r>
          <w:fldChar w:fldCharType="begin"/>
          <w:instrText xml:space="preserve">PAGEREF _Toc59 \h</w:instrText>
          <w:fldChar w:fldCharType="separate"/>
          <w:t xml:space="preserve">69</w:t>
          <w:fldChar w:fldCharType="end"/>
        </w:r>
      </w:hyperlink>
      <w:r/>
    </w:p>
    <w:p w14:paraId="5C35C40D">
      <w:pPr>
        <w:pStyle w:val="877"/>
        <w:pBdr/>
        <w:tabs>
          <w:tab w:val="right" w:leader="dot" w:pos="9072"/>
        </w:tabs>
        <w:spacing/>
        <w:ind/>
        <w:rPr/>
      </w:pPr>
      <w:hyperlink w:tooltip="#_Toc60" w:anchor="_Toc60" w:history="1">
        <w:r>
          <w:rPr>
            <w:rStyle w:val="187"/>
          </w:rPr>
        </w:r>
        <w:r>
          <w:rPr>
            <w:rStyle w:val="187"/>
          </w:rPr>
          <w:t xml:space="preserve">4.5.3持续改进与客户服务保障</w:t>
        </w:r>
        <w:r>
          <w:rPr>
            <w:rStyle w:val="187"/>
          </w:rPr>
        </w:r>
        <w:r>
          <w:tab/>
        </w:r>
        <w:r>
          <w:fldChar w:fldCharType="begin"/>
          <w:instrText xml:space="preserve">PAGEREF _Toc60 \h</w:instrText>
          <w:fldChar w:fldCharType="separate"/>
          <w:t xml:space="preserve">70</w:t>
          <w:fldChar w:fldCharType="end"/>
        </w:r>
      </w:hyperlink>
      <w:r/>
    </w:p>
    <w:p w14:paraId="5431C53F">
      <w:pPr>
        <w:pStyle w:val="875"/>
        <w:pBdr/>
        <w:tabs>
          <w:tab w:val="right" w:leader="dot" w:pos="9072"/>
        </w:tabs>
        <w:spacing/>
        <w:ind/>
        <w:rPr/>
      </w:pPr>
      <w:hyperlink w:tooltip="#_Toc61" w:anchor="_Toc61" w:history="1">
        <w:r>
          <w:rPr>
            <w:rStyle w:val="187"/>
          </w:rPr>
        </w:r>
        <w:r>
          <w:rPr>
            <w:rStyle w:val="187"/>
          </w:rPr>
          <w:t xml:space="preserve">五、安全服务自主可控能力</w:t>
        </w:r>
        <w:r>
          <w:rPr>
            <w:rStyle w:val="187"/>
          </w:rPr>
        </w:r>
        <w:r>
          <w:tab/>
        </w:r>
        <w:r>
          <w:fldChar w:fldCharType="begin"/>
          <w:instrText xml:space="preserve">PAGEREF _Toc61 \h</w:instrText>
          <w:fldChar w:fldCharType="separate"/>
          <w:t xml:space="preserve">71</w:t>
          <w:fldChar w:fldCharType="end"/>
        </w:r>
      </w:hyperlink>
      <w:r/>
    </w:p>
    <w:p w14:paraId="730045F6">
      <w:pPr>
        <w:pStyle w:val="876"/>
        <w:pBdr/>
        <w:tabs>
          <w:tab w:val="right" w:leader="dot" w:pos="9072"/>
        </w:tabs>
        <w:spacing/>
        <w:ind/>
        <w:rPr/>
      </w:pPr>
      <w:hyperlink w:tooltip="#_Toc62" w:anchor="_Toc62" w:history="1">
        <w:r>
          <w:rPr>
            <w:rStyle w:val="187"/>
          </w:rPr>
        </w:r>
        <w:r>
          <w:rPr>
            <w:rStyle w:val="187"/>
          </w:rPr>
          <w:t xml:space="preserve">5.1渗透测试工具自主可控能力</w:t>
        </w:r>
        <w:r>
          <w:rPr>
            <w:rStyle w:val="187"/>
          </w:rPr>
        </w:r>
        <w:r>
          <w:tab/>
        </w:r>
        <w:r>
          <w:fldChar w:fldCharType="begin"/>
          <w:instrText xml:space="preserve">PAGEREF _Toc62 \h</w:instrText>
          <w:fldChar w:fldCharType="separate"/>
          <w:t xml:space="preserve">71</w:t>
          <w:fldChar w:fldCharType="end"/>
        </w:r>
      </w:hyperlink>
      <w:r/>
    </w:p>
    <w:p w14:paraId="669DF983">
      <w:pPr>
        <w:pStyle w:val="877"/>
        <w:pBdr/>
        <w:tabs>
          <w:tab w:val="right" w:leader="dot" w:pos="9072"/>
        </w:tabs>
        <w:spacing/>
        <w:ind/>
        <w:rPr/>
      </w:pPr>
      <w:hyperlink w:tooltip="#_Toc63" w:anchor="_Toc63" w:history="1">
        <w:r>
          <w:rPr>
            <w:rStyle w:val="187"/>
          </w:rPr>
        </w:r>
        <w:r>
          <w:rPr>
            <w:rStyle w:val="187"/>
          </w:rPr>
          <w:t xml:space="preserve">5.1.1渗透测试工具功能与技术水平</w:t>
        </w:r>
        <w:r>
          <w:rPr>
            <w:rStyle w:val="187"/>
          </w:rPr>
        </w:r>
        <w:r>
          <w:tab/>
        </w:r>
        <w:r>
          <w:fldChar w:fldCharType="begin"/>
          <w:instrText xml:space="preserve">PAGEREF _Toc63 \h</w:instrText>
          <w:fldChar w:fldCharType="separate"/>
          <w:t xml:space="preserve">72</w:t>
          <w:fldChar w:fldCharType="end"/>
        </w:r>
      </w:hyperlink>
      <w:r/>
    </w:p>
    <w:p w14:paraId="07EB0B24">
      <w:pPr>
        <w:pStyle w:val="877"/>
        <w:pBdr/>
        <w:tabs>
          <w:tab w:val="right" w:leader="dot" w:pos="9072"/>
        </w:tabs>
        <w:spacing/>
        <w:ind/>
        <w:rPr/>
      </w:pPr>
      <w:hyperlink w:tooltip="#_Toc64" w:anchor="_Toc64" w:history="1">
        <w:r>
          <w:rPr>
            <w:rStyle w:val="187"/>
          </w:rPr>
        </w:r>
        <w:r>
          <w:rPr>
            <w:rStyle w:val="187"/>
          </w:rPr>
          <w:t xml:space="preserve">5.1.2渗透测试工具知识产权证明</w:t>
        </w:r>
        <w:r>
          <w:rPr>
            <w:rStyle w:val="187"/>
          </w:rPr>
        </w:r>
        <w:r>
          <w:tab/>
        </w:r>
        <w:r>
          <w:fldChar w:fldCharType="begin"/>
          <w:instrText xml:space="preserve">PAGEREF _Toc64 \h</w:instrText>
          <w:fldChar w:fldCharType="separate"/>
          <w:t xml:space="preserve">74</w:t>
          <w:fldChar w:fldCharType="end"/>
        </w:r>
      </w:hyperlink>
      <w:r/>
    </w:p>
    <w:p w14:paraId="481C3B52">
      <w:pPr>
        <w:pStyle w:val="876"/>
        <w:pBdr/>
        <w:tabs>
          <w:tab w:val="right" w:leader="dot" w:pos="9072"/>
        </w:tabs>
        <w:spacing/>
        <w:ind/>
        <w:rPr/>
      </w:pPr>
      <w:hyperlink w:tooltip="#_Toc65" w:anchor="_Toc65" w:history="1">
        <w:r>
          <w:rPr>
            <w:rStyle w:val="187"/>
          </w:rPr>
        </w:r>
        <w:r>
          <w:rPr>
            <w:rStyle w:val="187"/>
          </w:rPr>
          <w:t xml:space="preserve">5.2自研安全服务工具自主可控能力</w:t>
        </w:r>
        <w:r>
          <w:rPr>
            <w:rStyle w:val="187"/>
          </w:rPr>
        </w:r>
        <w:r>
          <w:tab/>
        </w:r>
        <w:r>
          <w:fldChar w:fldCharType="begin"/>
          <w:instrText xml:space="preserve">PAGEREF _Toc65 \h</w:instrText>
          <w:fldChar w:fldCharType="separate"/>
          <w:t xml:space="preserve">75</w:t>
          <w:fldChar w:fldCharType="end"/>
        </w:r>
      </w:hyperlink>
      <w:r/>
    </w:p>
    <w:p w14:paraId="330433F9">
      <w:pPr>
        <w:pStyle w:val="877"/>
        <w:pBdr/>
        <w:tabs>
          <w:tab w:val="right" w:leader="dot" w:pos="9072"/>
        </w:tabs>
        <w:spacing/>
        <w:ind/>
        <w:rPr/>
      </w:pPr>
      <w:hyperlink w:tooltip="#_Toc66" w:anchor="_Toc66" w:history="1">
        <w:r>
          <w:rPr>
            <w:rStyle w:val="187"/>
          </w:rPr>
        </w:r>
        <w:r>
          <w:rPr>
            <w:rStyle w:val="187"/>
          </w:rPr>
          <w:t xml:space="preserve">5.2.1自研安全工具体系与技术实现</w:t>
        </w:r>
        <w:r>
          <w:rPr>
            <w:rStyle w:val="187"/>
          </w:rPr>
        </w:r>
        <w:r>
          <w:tab/>
        </w:r>
        <w:r>
          <w:fldChar w:fldCharType="begin"/>
          <w:instrText xml:space="preserve">PAGEREF _Toc66 \h</w:instrText>
          <w:fldChar w:fldCharType="separate"/>
          <w:t xml:space="preserve">76</w:t>
          <w:fldChar w:fldCharType="end"/>
        </w:r>
      </w:hyperlink>
      <w:r/>
    </w:p>
    <w:p w14:paraId="49C379D0">
      <w:pPr>
        <w:pStyle w:val="877"/>
        <w:pBdr/>
        <w:tabs>
          <w:tab w:val="right" w:leader="dot" w:pos="9072"/>
        </w:tabs>
        <w:spacing/>
        <w:ind/>
        <w:rPr/>
      </w:pPr>
      <w:hyperlink w:tooltip="#_Toc67" w:anchor="_Toc67" w:history="1">
        <w:r>
          <w:rPr>
            <w:rStyle w:val="187"/>
          </w:rPr>
        </w:r>
        <w:r>
          <w:rPr>
            <w:rStyle w:val="187"/>
          </w:rPr>
          <w:t xml:space="preserve">5.2.2自研工具知识产权证明材料</w:t>
        </w:r>
        <w:r>
          <w:rPr>
            <w:rStyle w:val="187"/>
          </w:rPr>
        </w:r>
        <w:r>
          <w:tab/>
        </w:r>
        <w:r>
          <w:fldChar w:fldCharType="begin"/>
          <w:instrText xml:space="preserve">PAGEREF _Toc67 \h</w:instrText>
          <w:fldChar w:fldCharType="separate"/>
          <w:t xml:space="preserve">77</w:t>
          <w:fldChar w:fldCharType="end"/>
        </w:r>
      </w:hyperlink>
      <w:r/>
    </w:p>
    <w:p w14:paraId="09CDBE78">
      <w:pPr>
        <w:pStyle w:val="876"/>
        <w:pBdr/>
        <w:tabs>
          <w:tab w:val="right" w:leader="dot" w:pos="9072"/>
        </w:tabs>
        <w:spacing/>
        <w:ind/>
        <w:rPr/>
      </w:pPr>
      <w:hyperlink w:tooltip="#_Toc68" w:anchor="_Toc68" w:history="1">
        <w:r>
          <w:rPr>
            <w:rStyle w:val="187"/>
          </w:rPr>
        </w:r>
        <w:r>
          <w:rPr>
            <w:rStyle w:val="187"/>
          </w:rPr>
          <w:t xml:space="preserve">5.3漏洞扫描工具市场占有率与领先性</w:t>
        </w:r>
        <w:r>
          <w:rPr>
            <w:rStyle w:val="187"/>
          </w:rPr>
        </w:r>
        <w:r>
          <w:tab/>
        </w:r>
        <w:r>
          <w:fldChar w:fldCharType="begin"/>
          <w:instrText xml:space="preserve">PAGEREF _Toc68 \h</w:instrText>
          <w:fldChar w:fldCharType="separate"/>
          <w:t xml:space="preserve">78</w:t>
          <w:fldChar w:fldCharType="end"/>
        </w:r>
      </w:hyperlink>
      <w:r/>
    </w:p>
    <w:p w14:paraId="21781AC2">
      <w:pPr>
        <w:pStyle w:val="877"/>
        <w:pBdr/>
        <w:tabs>
          <w:tab w:val="right" w:leader="dot" w:pos="9072"/>
        </w:tabs>
        <w:spacing/>
        <w:ind/>
        <w:rPr/>
      </w:pPr>
      <w:hyperlink w:tooltip="#_Toc69" w:anchor="_Toc69" w:history="1">
        <w:r>
          <w:rPr>
            <w:rStyle w:val="187"/>
          </w:rPr>
        </w:r>
        <w:r>
          <w:rPr>
            <w:rStyle w:val="187"/>
          </w:rPr>
          <w:t xml:space="preserve">5.3.1漏洞扫描工具技术优势与功能完备性</w:t>
        </w:r>
        <w:r>
          <w:rPr>
            <w:rStyle w:val="187"/>
          </w:rPr>
        </w:r>
        <w:r>
          <w:tab/>
        </w:r>
        <w:r>
          <w:fldChar w:fldCharType="begin"/>
          <w:instrText xml:space="preserve">PAGEREF _Toc69 \h</w:instrText>
          <w:fldChar w:fldCharType="separate"/>
          <w:t xml:space="preserve">79</w:t>
          <w:fldChar w:fldCharType="end"/>
        </w:r>
      </w:hyperlink>
      <w:r/>
    </w:p>
    <w:p w14:paraId="4B8CE6C6">
      <w:pPr>
        <w:pStyle w:val="877"/>
        <w:pBdr/>
        <w:tabs>
          <w:tab w:val="right" w:leader="dot" w:pos="9072"/>
        </w:tabs>
        <w:spacing/>
        <w:ind/>
        <w:rPr/>
      </w:pPr>
      <w:hyperlink w:tooltip="#_Toc70" w:anchor="_Toc70" w:history="1">
        <w:r>
          <w:rPr>
            <w:rStyle w:val="187"/>
          </w:rPr>
        </w:r>
        <w:r>
          <w:rPr>
            <w:rStyle w:val="187"/>
          </w:rPr>
          <w:t xml:space="preserve">5.3.2漏洞扫描工具市场占有率排名证明</w:t>
        </w:r>
        <w:r>
          <w:rPr>
            <w:rStyle w:val="187"/>
          </w:rPr>
        </w:r>
        <w:r>
          <w:tab/>
        </w:r>
        <w:r>
          <w:fldChar w:fldCharType="begin"/>
          <w:instrText xml:space="preserve">PAGEREF _Toc70 \h</w:instrText>
          <w:fldChar w:fldCharType="separate"/>
          <w:t xml:space="preserve">80</w:t>
          <w:fldChar w:fldCharType="end"/>
        </w:r>
      </w:hyperlink>
      <w:r/>
    </w:p>
    <w:p w14:paraId="1776E5FB">
      <w:pPr>
        <w:pStyle w:val="875"/>
        <w:pBdr/>
        <w:tabs>
          <w:tab w:val="right" w:leader="dot" w:pos="9072"/>
        </w:tabs>
        <w:spacing/>
        <w:ind/>
        <w:rPr/>
      </w:pPr>
      <w:hyperlink w:tooltip="#_Toc71" w:anchor="_Toc71" w:history="1">
        <w:r>
          <w:rPr>
            <w:rStyle w:val="187"/>
          </w:rPr>
        </w:r>
        <w:r>
          <w:rPr>
            <w:rStyle w:val="187"/>
          </w:rPr>
          <w:t xml:space="preserve">六、安全技术能力</w:t>
        </w:r>
        <w:r>
          <w:rPr>
            <w:rStyle w:val="187"/>
          </w:rPr>
        </w:r>
        <w:r>
          <w:tab/>
        </w:r>
        <w:r>
          <w:fldChar w:fldCharType="begin"/>
          <w:instrText xml:space="preserve">PAGEREF _Toc71 \h</w:instrText>
          <w:fldChar w:fldCharType="separate"/>
          <w:t xml:space="preserve">81</w:t>
          <w:fldChar w:fldCharType="end"/>
        </w:r>
      </w:hyperlink>
      <w:r/>
    </w:p>
    <w:p w14:paraId="5AF89A0C">
      <w:pPr>
        <w:pStyle w:val="876"/>
        <w:pBdr/>
        <w:tabs>
          <w:tab w:val="right" w:leader="dot" w:pos="9072"/>
        </w:tabs>
        <w:spacing/>
        <w:ind/>
        <w:rPr/>
      </w:pPr>
      <w:hyperlink w:tooltip="#_Toc72" w:anchor="_Toc72" w:history="1">
        <w:r>
          <w:rPr>
            <w:rStyle w:val="187"/>
          </w:rPr>
        </w:r>
        <w:r>
          <w:rPr>
            <w:rStyle w:val="187"/>
          </w:rPr>
          <w:t xml:space="preserve">6.1CNVD支撑单位能力</w:t>
        </w:r>
        <w:r>
          <w:rPr>
            <w:rStyle w:val="187"/>
          </w:rPr>
        </w:r>
        <w:r>
          <w:tab/>
        </w:r>
        <w:r>
          <w:fldChar w:fldCharType="begin"/>
          <w:instrText xml:space="preserve">PAGEREF _Toc72 \h</w:instrText>
          <w:fldChar w:fldCharType="separate"/>
          <w:t xml:space="preserve">82</w:t>
          <w:fldChar w:fldCharType="end"/>
        </w:r>
      </w:hyperlink>
      <w:r/>
    </w:p>
    <w:p w14:paraId="4325981D">
      <w:pPr>
        <w:pStyle w:val="877"/>
        <w:pBdr/>
        <w:tabs>
          <w:tab w:val="right" w:leader="dot" w:pos="9072"/>
        </w:tabs>
        <w:spacing/>
        <w:ind/>
        <w:rPr/>
      </w:pPr>
      <w:hyperlink w:tooltip="#_Toc73" w:anchor="_Toc73" w:history="1">
        <w:r>
          <w:rPr>
            <w:rStyle w:val="187"/>
          </w:rPr>
        </w:r>
        <w:r>
          <w:rPr>
            <w:rStyle w:val="187"/>
          </w:rPr>
          <w:t xml:space="preserve">6.1.1CNVD支撑单位资质证明</w:t>
        </w:r>
        <w:r>
          <w:rPr>
            <w:rStyle w:val="187"/>
          </w:rPr>
        </w:r>
        <w:r>
          <w:tab/>
        </w:r>
        <w:r>
          <w:fldChar w:fldCharType="begin"/>
          <w:instrText xml:space="preserve">PAGEREF _Toc73 \h</w:instrText>
          <w:fldChar w:fldCharType="separate"/>
          <w:t xml:space="preserve">83</w:t>
          <w:fldChar w:fldCharType="end"/>
        </w:r>
      </w:hyperlink>
      <w:r/>
    </w:p>
    <w:p w14:paraId="3527F059">
      <w:pPr>
        <w:pStyle w:val="877"/>
        <w:pBdr/>
        <w:tabs>
          <w:tab w:val="right" w:leader="dot" w:pos="9072"/>
        </w:tabs>
        <w:spacing/>
        <w:ind/>
        <w:rPr/>
      </w:pPr>
      <w:hyperlink w:tooltip="#_Toc74" w:anchor="_Toc74" w:history="1">
        <w:r>
          <w:rPr>
            <w:rStyle w:val="187"/>
          </w:rPr>
        </w:r>
        <w:r>
          <w:rPr>
            <w:rStyle w:val="187"/>
          </w:rPr>
          <w:t xml:space="preserve">6.1.2CNVD漏洞发现与报送机制</w:t>
        </w:r>
        <w:r>
          <w:rPr>
            <w:rStyle w:val="187"/>
          </w:rPr>
        </w:r>
        <w:r>
          <w:tab/>
        </w:r>
        <w:r>
          <w:fldChar w:fldCharType="begin"/>
          <w:instrText xml:space="preserve">PAGEREF _Toc74 \h</w:instrText>
          <w:fldChar w:fldCharType="separate"/>
          <w:t xml:space="preserve">84</w:t>
          <w:fldChar w:fldCharType="end"/>
        </w:r>
      </w:hyperlink>
      <w:r/>
    </w:p>
    <w:p w14:paraId="092E00FE">
      <w:pPr>
        <w:pStyle w:val="877"/>
        <w:pBdr/>
        <w:tabs>
          <w:tab w:val="right" w:leader="dot" w:pos="9072"/>
        </w:tabs>
        <w:spacing/>
        <w:ind/>
        <w:rPr/>
      </w:pPr>
      <w:hyperlink w:tooltip="#_Toc75" w:anchor="_Toc75" w:history="1">
        <w:r>
          <w:rPr>
            <w:rStyle w:val="187"/>
          </w:rPr>
        </w:r>
        <w:r>
          <w:rPr>
            <w:rStyle w:val="187"/>
          </w:rPr>
          <w:t xml:space="preserve">6.1.3CNVD支撑业绩与案例</w:t>
        </w:r>
        <w:r>
          <w:rPr>
            <w:rStyle w:val="187"/>
          </w:rPr>
        </w:r>
        <w:r>
          <w:tab/>
        </w:r>
        <w:r>
          <w:fldChar w:fldCharType="begin"/>
          <w:instrText xml:space="preserve">PAGEREF _Toc75 \h</w:instrText>
          <w:fldChar w:fldCharType="separate"/>
          <w:t xml:space="preserve">85</w:t>
          <w:fldChar w:fldCharType="end"/>
        </w:r>
      </w:hyperlink>
      <w:r/>
    </w:p>
    <w:p w14:paraId="416C2BFA">
      <w:pPr>
        <w:pStyle w:val="876"/>
        <w:pBdr/>
        <w:tabs>
          <w:tab w:val="right" w:leader="dot" w:pos="9072"/>
        </w:tabs>
        <w:spacing/>
        <w:ind/>
        <w:rPr/>
      </w:pPr>
      <w:hyperlink w:tooltip="#_Toc76" w:anchor="_Toc76" w:history="1">
        <w:r>
          <w:rPr>
            <w:rStyle w:val="187"/>
          </w:rPr>
        </w:r>
        <w:r>
          <w:rPr>
            <w:rStyle w:val="187"/>
          </w:rPr>
          <w:t xml:space="preserve">6.2CNNVD核心技术支撑能力</w:t>
        </w:r>
        <w:r>
          <w:rPr>
            <w:rStyle w:val="187"/>
          </w:rPr>
        </w:r>
        <w:r>
          <w:tab/>
        </w:r>
        <w:r>
          <w:fldChar w:fldCharType="begin"/>
          <w:instrText xml:space="preserve">PAGEREF _Toc76 \h</w:instrText>
          <w:fldChar w:fldCharType="separate"/>
          <w:t xml:space="preserve">86</w:t>
          <w:fldChar w:fldCharType="end"/>
        </w:r>
      </w:hyperlink>
      <w:r/>
    </w:p>
    <w:p w14:paraId="364CD9FC">
      <w:pPr>
        <w:pStyle w:val="877"/>
        <w:pBdr/>
        <w:tabs>
          <w:tab w:val="right" w:leader="dot" w:pos="9072"/>
        </w:tabs>
        <w:spacing/>
        <w:ind/>
        <w:rPr/>
      </w:pPr>
      <w:hyperlink w:tooltip="#_Toc77" w:anchor="_Toc77" w:history="1">
        <w:r>
          <w:rPr>
            <w:rStyle w:val="187"/>
          </w:rPr>
        </w:r>
        <w:r>
          <w:rPr>
            <w:rStyle w:val="187"/>
          </w:rPr>
          <w:t xml:space="preserve">6.2.1CNNVD核心技术支撑单位资质证明</w:t>
        </w:r>
        <w:r>
          <w:rPr>
            <w:rStyle w:val="187"/>
          </w:rPr>
        </w:r>
        <w:r>
          <w:tab/>
        </w:r>
        <w:r>
          <w:fldChar w:fldCharType="begin"/>
          <w:instrText xml:space="preserve">PAGEREF _Toc77 \h</w:instrText>
          <w:fldChar w:fldCharType="separate"/>
          <w:t xml:space="preserve">87</w:t>
          <w:fldChar w:fldCharType="end"/>
        </w:r>
      </w:hyperlink>
      <w:r/>
    </w:p>
    <w:p w14:paraId="1C5E27D6">
      <w:pPr>
        <w:pStyle w:val="877"/>
        <w:pBdr/>
        <w:tabs>
          <w:tab w:val="right" w:leader="dot" w:pos="9072"/>
        </w:tabs>
        <w:spacing/>
        <w:ind/>
        <w:rPr/>
      </w:pPr>
      <w:hyperlink w:tooltip="#_Toc78" w:anchor="_Toc78" w:history="1">
        <w:r>
          <w:rPr>
            <w:rStyle w:val="187"/>
          </w:rPr>
        </w:r>
        <w:r>
          <w:rPr>
            <w:rStyle w:val="187"/>
          </w:rPr>
          <w:t xml:space="preserve">6.2.2CNNVD漏洞研究技术贡献</w:t>
        </w:r>
        <w:r>
          <w:rPr>
            <w:rStyle w:val="187"/>
          </w:rPr>
        </w:r>
        <w:r>
          <w:tab/>
        </w:r>
        <w:r>
          <w:fldChar w:fldCharType="begin"/>
          <w:instrText xml:space="preserve">PAGEREF _Toc78 \h</w:instrText>
          <w:fldChar w:fldCharType="separate"/>
          <w:t xml:space="preserve">88</w:t>
          <w:fldChar w:fldCharType="end"/>
        </w:r>
      </w:hyperlink>
      <w:r/>
    </w:p>
    <w:p w14:paraId="07761E5A">
      <w:pPr>
        <w:pStyle w:val="877"/>
        <w:pBdr/>
        <w:tabs>
          <w:tab w:val="right" w:leader="dot" w:pos="9072"/>
        </w:tabs>
        <w:spacing/>
        <w:ind/>
        <w:rPr/>
      </w:pPr>
      <w:hyperlink w:tooltip="#_Toc79" w:anchor="_Toc79" w:history="1">
        <w:r>
          <w:rPr>
            <w:rStyle w:val="187"/>
          </w:rPr>
        </w:r>
        <w:r>
          <w:rPr>
            <w:rStyle w:val="187"/>
          </w:rPr>
          <w:t xml:space="preserve">6.2.3CNNVD合作专家与团队能力</w:t>
        </w:r>
        <w:r>
          <w:rPr>
            <w:rStyle w:val="187"/>
          </w:rPr>
        </w:r>
        <w:r>
          <w:tab/>
        </w:r>
        <w:r>
          <w:fldChar w:fldCharType="begin"/>
          <w:instrText xml:space="preserve">PAGEREF _Toc79 \h</w:instrText>
          <w:fldChar w:fldCharType="separate"/>
          <w:t xml:space="preserve">89</w:t>
          <w:fldChar w:fldCharType="end"/>
        </w:r>
      </w:hyperlink>
      <w:r/>
    </w:p>
    <w:p w14:paraId="55C16A9D">
      <w:pPr>
        <w:pStyle w:val="876"/>
        <w:pBdr/>
        <w:tabs>
          <w:tab w:val="right" w:leader="dot" w:pos="9072"/>
        </w:tabs>
        <w:spacing/>
        <w:ind/>
        <w:rPr/>
      </w:pPr>
      <w:hyperlink w:tooltip="#_Toc80" w:anchor="_Toc80" w:history="1">
        <w:r>
          <w:rPr>
            <w:rStyle w:val="187"/>
          </w:rPr>
        </w:r>
        <w:r>
          <w:rPr>
            <w:rStyle w:val="187"/>
          </w:rPr>
          <w:t xml:space="preserve">6.3漏洞库综合支撑与安全研究能力</w:t>
        </w:r>
        <w:r>
          <w:rPr>
            <w:rStyle w:val="187"/>
          </w:rPr>
        </w:r>
        <w:r>
          <w:tab/>
        </w:r>
        <w:r>
          <w:fldChar w:fldCharType="begin"/>
          <w:instrText xml:space="preserve">PAGEREF _Toc80 \h</w:instrText>
          <w:fldChar w:fldCharType="separate"/>
          <w:t xml:space="preserve">90</w:t>
          <w:fldChar w:fldCharType="end"/>
        </w:r>
      </w:hyperlink>
      <w:r/>
    </w:p>
    <w:p w14:paraId="7A04B951">
      <w:pPr>
        <w:pStyle w:val="877"/>
        <w:pBdr/>
        <w:tabs>
          <w:tab w:val="right" w:leader="dot" w:pos="9072"/>
        </w:tabs>
        <w:spacing/>
        <w:ind/>
        <w:rPr/>
      </w:pPr>
      <w:hyperlink w:tooltip="#_Toc81" w:anchor="_Toc81" w:history="1">
        <w:r>
          <w:rPr>
            <w:rStyle w:val="187"/>
          </w:rPr>
        </w:r>
        <w:r>
          <w:rPr>
            <w:rStyle w:val="187"/>
          </w:rPr>
          <w:t xml:space="preserve">6.3.1漏洞库协作与信息共享机制</w:t>
        </w:r>
        <w:r>
          <w:rPr>
            <w:rStyle w:val="187"/>
          </w:rPr>
        </w:r>
        <w:r>
          <w:tab/>
        </w:r>
        <w:r>
          <w:fldChar w:fldCharType="begin"/>
          <w:instrText xml:space="preserve">PAGEREF _Toc81 \h</w:instrText>
          <w:fldChar w:fldCharType="separate"/>
          <w:t xml:space="preserve">91</w:t>
          <w:fldChar w:fldCharType="end"/>
        </w:r>
      </w:hyperlink>
      <w:r/>
    </w:p>
    <w:p w14:paraId="02236D5B">
      <w:pPr>
        <w:pStyle w:val="877"/>
        <w:pBdr/>
        <w:tabs>
          <w:tab w:val="right" w:leader="dot" w:pos="9072"/>
        </w:tabs>
        <w:spacing/>
        <w:ind/>
        <w:rPr/>
      </w:pPr>
      <w:hyperlink w:tooltip="#_Toc82" w:anchor="_Toc82" w:history="1">
        <w:r>
          <w:rPr>
            <w:rStyle w:val="187"/>
          </w:rPr>
        </w:r>
        <w:r>
          <w:rPr>
            <w:rStyle w:val="187"/>
          </w:rPr>
          <w:t xml:space="preserve">6.3.2安全漏洞应急响应与预警能力</w:t>
        </w:r>
        <w:r>
          <w:rPr>
            <w:rStyle w:val="187"/>
          </w:rPr>
        </w:r>
        <w:r>
          <w:tab/>
        </w:r>
        <w:r>
          <w:fldChar w:fldCharType="begin"/>
          <w:instrText xml:space="preserve">PAGEREF _Toc82 \h</w:instrText>
          <w:fldChar w:fldCharType="separate"/>
          <w:t xml:space="preserve">93</w:t>
          <w:fldChar w:fldCharType="end"/>
        </w:r>
      </w:hyperlink>
      <w:r/>
    </w:p>
    <w:p w14:paraId="56754E5C">
      <w:pPr>
        <w:pStyle w:val="875"/>
        <w:pBdr/>
        <w:tabs>
          <w:tab w:val="right" w:leader="dot" w:pos="9072"/>
        </w:tabs>
        <w:spacing/>
        <w:ind/>
        <w:rPr/>
      </w:pPr>
      <w:hyperlink w:tooltip="#_Toc83" w:anchor="_Toc83" w:history="1">
        <w:r>
          <w:rPr>
            <w:rStyle w:val="187"/>
          </w:rPr>
        </w:r>
        <w:r>
          <w:rPr>
            <w:rStyle w:val="187"/>
          </w:rPr>
          <w:t xml:space="preserve">七、安全保障能力</w:t>
        </w:r>
        <w:r>
          <w:rPr>
            <w:rStyle w:val="187"/>
          </w:rPr>
        </w:r>
        <w:r>
          <w:tab/>
        </w:r>
        <w:r>
          <w:fldChar w:fldCharType="begin"/>
          <w:instrText xml:space="preserve">PAGEREF _Toc83 \h</w:instrText>
          <w:fldChar w:fldCharType="separate"/>
          <w:t xml:space="preserve">94</w:t>
          <w:fldChar w:fldCharType="end"/>
        </w:r>
      </w:hyperlink>
      <w:r/>
    </w:p>
    <w:p w14:paraId="0078A9A8">
      <w:pPr>
        <w:pStyle w:val="876"/>
        <w:pBdr/>
        <w:tabs>
          <w:tab w:val="right" w:leader="dot" w:pos="9072"/>
        </w:tabs>
        <w:spacing/>
        <w:ind/>
        <w:rPr/>
      </w:pPr>
      <w:hyperlink w:tooltip="#_Toc84" w:anchor="_Toc84" w:history="1">
        <w:r>
          <w:rPr>
            <w:rStyle w:val="187"/>
          </w:rPr>
        </w:r>
        <w:r>
          <w:rPr>
            <w:rStyle w:val="187"/>
          </w:rPr>
          <w:t xml:space="preserve">7.1公安部相关行动获奖能力</w:t>
        </w:r>
        <w:r>
          <w:rPr>
            <w:rStyle w:val="187"/>
          </w:rPr>
        </w:r>
        <w:r>
          <w:tab/>
        </w:r>
        <w:r>
          <w:fldChar w:fldCharType="begin"/>
          <w:instrText xml:space="preserve">PAGEREF _Toc84 \h</w:instrText>
          <w:fldChar w:fldCharType="separate"/>
          <w:t xml:space="preserve">96</w:t>
          <w:fldChar w:fldCharType="end"/>
        </w:r>
      </w:hyperlink>
      <w:r/>
    </w:p>
    <w:p w14:paraId="0BFC23BB">
      <w:pPr>
        <w:pStyle w:val="877"/>
        <w:pBdr/>
        <w:tabs>
          <w:tab w:val="right" w:leader="dot" w:pos="9072"/>
        </w:tabs>
        <w:spacing/>
        <w:ind/>
        <w:rPr/>
      </w:pPr>
      <w:hyperlink w:tooltip="#_Toc85" w:anchor="_Toc85" w:history="1">
        <w:r>
          <w:rPr>
            <w:rStyle w:val="187"/>
          </w:rPr>
        </w:r>
        <w:r>
          <w:rPr>
            <w:rStyle w:val="187"/>
          </w:rPr>
          <w:t xml:space="preserve">7.1.1国家级行动参与证明</w:t>
        </w:r>
        <w:r>
          <w:rPr>
            <w:rStyle w:val="187"/>
          </w:rPr>
        </w:r>
        <w:r>
          <w:tab/>
        </w:r>
        <w:r>
          <w:fldChar w:fldCharType="begin"/>
          <w:instrText xml:space="preserve">PAGEREF _Toc85 \h</w:instrText>
          <w:fldChar w:fldCharType="separate"/>
          <w:t xml:space="preserve">97</w:t>
          <w:fldChar w:fldCharType="end"/>
        </w:r>
      </w:hyperlink>
      <w:r/>
    </w:p>
    <w:p w14:paraId="4551F09D">
      <w:pPr>
        <w:pStyle w:val="877"/>
        <w:pBdr/>
        <w:tabs>
          <w:tab w:val="right" w:leader="dot" w:pos="9072"/>
        </w:tabs>
        <w:spacing/>
        <w:ind/>
        <w:rPr/>
      </w:pPr>
      <w:hyperlink w:tooltip="#_Toc86" w:anchor="_Toc86" w:history="1">
        <w:r>
          <w:rPr>
            <w:rStyle w:val="187"/>
          </w:rPr>
        </w:r>
        <w:r>
          <w:rPr>
            <w:rStyle w:val="187"/>
          </w:rPr>
          <w:t xml:space="preserve">7.1.2最佳攻击队获奖证明</w:t>
        </w:r>
        <w:r>
          <w:rPr>
            <w:rStyle w:val="187"/>
          </w:rPr>
        </w:r>
        <w:r>
          <w:tab/>
        </w:r>
        <w:r>
          <w:fldChar w:fldCharType="begin"/>
          <w:instrText xml:space="preserve">PAGEREF _Toc86 \h</w:instrText>
          <w:fldChar w:fldCharType="separate"/>
          <w:t xml:space="preserve">97</w:t>
          <w:fldChar w:fldCharType="end"/>
        </w:r>
      </w:hyperlink>
      <w:r/>
    </w:p>
    <w:p w14:paraId="48CEC20C">
      <w:pPr>
        <w:pStyle w:val="877"/>
        <w:pBdr/>
        <w:tabs>
          <w:tab w:val="right" w:leader="dot" w:pos="9072"/>
        </w:tabs>
        <w:spacing/>
        <w:ind/>
        <w:rPr/>
      </w:pPr>
      <w:hyperlink w:tooltip="#_Toc87" w:anchor="_Toc87" w:history="1">
        <w:r>
          <w:rPr>
            <w:rStyle w:val="187"/>
          </w:rPr>
        </w:r>
        <w:r>
          <w:rPr>
            <w:rStyle w:val="187"/>
          </w:rPr>
          <w:t xml:space="preserve">7.1.3表扬信及官方认可证明</w:t>
        </w:r>
        <w:r>
          <w:rPr>
            <w:rStyle w:val="187"/>
          </w:rPr>
        </w:r>
        <w:r>
          <w:tab/>
        </w:r>
        <w:r>
          <w:fldChar w:fldCharType="begin"/>
          <w:instrText xml:space="preserve">PAGEREF _Toc87 \h</w:instrText>
          <w:fldChar w:fldCharType="separate"/>
          <w:t xml:space="preserve">99</w:t>
          <w:fldChar w:fldCharType="end"/>
        </w:r>
      </w:hyperlink>
      <w:r/>
    </w:p>
    <w:p w14:paraId="0257F61F">
      <w:pPr>
        <w:pStyle w:val="876"/>
        <w:pBdr/>
        <w:tabs>
          <w:tab w:val="right" w:leader="dot" w:pos="9072"/>
        </w:tabs>
        <w:spacing/>
        <w:ind/>
        <w:rPr/>
      </w:pPr>
      <w:hyperlink w:tooltip="#_Toc88" w:anchor="_Toc88" w:history="1">
        <w:r>
          <w:rPr>
            <w:rStyle w:val="187"/>
          </w:rPr>
        </w:r>
        <w:r>
          <w:rPr>
            <w:rStyle w:val="187"/>
          </w:rPr>
          <w:t xml:space="preserve">7.2重大活动保障能力</w:t>
        </w:r>
        <w:r>
          <w:rPr>
            <w:rStyle w:val="187"/>
          </w:rPr>
        </w:r>
        <w:r>
          <w:tab/>
        </w:r>
        <w:r>
          <w:fldChar w:fldCharType="begin"/>
          <w:instrText xml:space="preserve">PAGEREF _Toc88 \h</w:instrText>
          <w:fldChar w:fldCharType="separate"/>
          <w:t xml:space="preserve">100</w:t>
          <w:fldChar w:fldCharType="end"/>
        </w:r>
      </w:hyperlink>
      <w:r/>
    </w:p>
    <w:p w14:paraId="72A88C70">
      <w:pPr>
        <w:pStyle w:val="877"/>
        <w:pBdr/>
        <w:tabs>
          <w:tab w:val="right" w:leader="dot" w:pos="9072"/>
        </w:tabs>
        <w:spacing/>
        <w:ind/>
        <w:rPr/>
      </w:pPr>
      <w:hyperlink w:tooltip="#_Toc89" w:anchor="_Toc89" w:history="1">
        <w:r>
          <w:rPr>
            <w:rStyle w:val="187"/>
          </w:rPr>
        </w:r>
        <w:r>
          <w:rPr>
            <w:rStyle w:val="187"/>
          </w:rPr>
          <w:t xml:space="preserve">7.2.1优秀技术支持单位称号证明</w:t>
        </w:r>
        <w:r>
          <w:rPr>
            <w:rStyle w:val="187"/>
          </w:rPr>
        </w:r>
        <w:r>
          <w:tab/>
        </w:r>
        <w:r>
          <w:fldChar w:fldCharType="begin"/>
          <w:instrText xml:space="preserve">PAGEREF _Toc89 \h</w:instrText>
          <w:fldChar w:fldCharType="separate"/>
          <w:t xml:space="preserve">100</w:t>
          <w:fldChar w:fldCharType="end"/>
        </w:r>
      </w:hyperlink>
      <w:r/>
    </w:p>
    <w:p w14:paraId="10884FC0">
      <w:pPr>
        <w:pStyle w:val="877"/>
        <w:pBdr/>
        <w:tabs>
          <w:tab w:val="right" w:leader="dot" w:pos="9072"/>
        </w:tabs>
        <w:spacing/>
        <w:ind/>
        <w:rPr/>
      </w:pPr>
      <w:hyperlink w:tooltip="#_Toc90" w:anchor="_Toc90" w:history="1">
        <w:r>
          <w:rPr>
            <w:rStyle w:val="187"/>
          </w:rPr>
        </w:r>
        <w:r>
          <w:rPr>
            <w:rStyle w:val="187"/>
          </w:rPr>
          <w:t xml:space="preserve">7.2.2重大活动安全保障案例</w:t>
        </w:r>
        <w:r>
          <w:rPr>
            <w:rStyle w:val="187"/>
          </w:rPr>
        </w:r>
        <w:r>
          <w:tab/>
        </w:r>
        <w:r>
          <w:fldChar w:fldCharType="begin"/>
          <w:instrText xml:space="preserve">PAGEREF _Toc90 \h</w:instrText>
          <w:fldChar w:fldCharType="separate"/>
          <w:t xml:space="preserve">101</w:t>
          <w:fldChar w:fldCharType="end"/>
        </w:r>
      </w:hyperlink>
      <w:r/>
    </w:p>
    <w:p w14:paraId="33044AA2">
      <w:pPr>
        <w:pStyle w:val="877"/>
        <w:pBdr/>
        <w:tabs>
          <w:tab w:val="right" w:leader="dot" w:pos="9072"/>
        </w:tabs>
        <w:spacing/>
        <w:ind/>
        <w:rPr/>
      </w:pPr>
      <w:hyperlink w:tooltip="#_Toc91" w:anchor="_Toc91" w:history="1">
        <w:r>
          <w:rPr>
            <w:rStyle w:val="187"/>
          </w:rPr>
        </w:r>
        <w:r>
          <w:rPr>
            <w:rStyle w:val="187"/>
          </w:rPr>
          <w:t xml:space="preserve">7.2.3重大活动保障方案与资源储备</w:t>
        </w:r>
        <w:r>
          <w:rPr>
            <w:rStyle w:val="187"/>
          </w:rPr>
        </w:r>
        <w:r>
          <w:tab/>
        </w:r>
        <w:r>
          <w:fldChar w:fldCharType="begin"/>
          <w:instrText xml:space="preserve">PAGEREF _Toc91 \h</w:instrText>
          <w:fldChar w:fldCharType="separate"/>
          <w:t xml:space="preserve">103</w:t>
          <w:fldChar w:fldCharType="end"/>
        </w:r>
      </w:hyperlink>
      <w:r/>
    </w:p>
    <w:p w14:paraId="355D4A2D">
      <w:pPr>
        <w:pStyle w:val="875"/>
        <w:pBdr/>
        <w:tabs>
          <w:tab w:val="right" w:leader="dot" w:pos="9072"/>
        </w:tabs>
        <w:spacing/>
        <w:ind/>
        <w:rPr/>
      </w:pPr>
      <w:hyperlink w:tooltip="#_Toc92" w:anchor="_Toc92" w:history="1">
        <w:r>
          <w:rPr>
            <w:rStyle w:val="187"/>
          </w:rPr>
        </w:r>
        <w:r>
          <w:rPr>
            <w:rStyle w:val="187"/>
          </w:rPr>
          <w:t xml:space="preserve">八、团队人员技术能力评价</w:t>
        </w:r>
        <w:r>
          <w:rPr>
            <w:rStyle w:val="187"/>
          </w:rPr>
        </w:r>
        <w:r>
          <w:tab/>
        </w:r>
        <w:r>
          <w:fldChar w:fldCharType="begin"/>
          <w:instrText xml:space="preserve">PAGEREF _Toc92 \h</w:instrText>
          <w:fldChar w:fldCharType="separate"/>
          <w:t xml:space="preserve">104</w:t>
          <w:fldChar w:fldCharType="end"/>
        </w:r>
      </w:hyperlink>
      <w:r/>
    </w:p>
    <w:p w14:paraId="718C67EF">
      <w:pPr>
        <w:pStyle w:val="876"/>
        <w:pBdr/>
        <w:tabs>
          <w:tab w:val="right" w:leader="dot" w:pos="9072"/>
        </w:tabs>
        <w:spacing/>
        <w:ind/>
        <w:rPr/>
      </w:pPr>
      <w:hyperlink w:tooltip="#_Toc93" w:anchor="_Toc93" w:history="1">
        <w:r>
          <w:rPr>
            <w:rStyle w:val="187"/>
          </w:rPr>
        </w:r>
        <w:r>
          <w:rPr>
            <w:rStyle w:val="187"/>
          </w:rPr>
          <w:t xml:space="preserve">8.1项目团队总体配置与组织结构</w:t>
        </w:r>
        <w:r>
          <w:rPr>
            <w:rStyle w:val="187"/>
          </w:rPr>
        </w:r>
        <w:r>
          <w:tab/>
        </w:r>
        <w:r>
          <w:fldChar w:fldCharType="begin"/>
          <w:instrText xml:space="preserve">PAGEREF _Toc93 \h</w:instrText>
          <w:fldChar w:fldCharType="separate"/>
          <w:t xml:space="preserve">106</w:t>
          <w:fldChar w:fldCharType="end"/>
        </w:r>
      </w:hyperlink>
      <w:r/>
    </w:p>
    <w:p w14:paraId="4EE79414">
      <w:pPr>
        <w:pStyle w:val="877"/>
        <w:pBdr/>
        <w:tabs>
          <w:tab w:val="right" w:leader="dot" w:pos="9072"/>
        </w:tabs>
        <w:spacing/>
        <w:ind/>
        <w:rPr/>
      </w:pPr>
      <w:hyperlink w:tooltip="#_Toc94" w:anchor="_Toc94" w:history="1">
        <w:r>
          <w:rPr>
            <w:rStyle w:val="187"/>
          </w:rPr>
        </w:r>
        <w:r>
          <w:rPr>
            <w:rStyle w:val="187"/>
          </w:rPr>
          <w:t xml:space="preserve">8.1.1项目团队架构与角色分工</w:t>
        </w:r>
        <w:r>
          <w:rPr>
            <w:rStyle w:val="187"/>
          </w:rPr>
        </w:r>
        <w:r>
          <w:tab/>
        </w:r>
        <w:r>
          <w:fldChar w:fldCharType="begin"/>
          <w:instrText xml:space="preserve">PAGEREF _Toc94 \h</w:instrText>
          <w:fldChar w:fldCharType="separate"/>
          <w:t xml:space="preserve">107</w:t>
          <w:fldChar w:fldCharType="end"/>
        </w:r>
      </w:hyperlink>
      <w:r/>
    </w:p>
    <w:p w14:paraId="1064B65E">
      <w:pPr>
        <w:pStyle w:val="877"/>
        <w:pBdr/>
        <w:tabs>
          <w:tab w:val="right" w:leader="dot" w:pos="9072"/>
        </w:tabs>
        <w:spacing/>
        <w:ind/>
        <w:rPr/>
      </w:pPr>
      <w:hyperlink w:tooltip="#_Toc95" w:anchor="_Toc95" w:history="1">
        <w:r>
          <w:rPr>
            <w:rStyle w:val="187"/>
          </w:rPr>
        </w:r>
        <w:r>
          <w:rPr>
            <w:rStyle w:val="187"/>
          </w:rPr>
          <w:t xml:space="preserve">8.1.2团队人员投入计划与项目管理机制</w:t>
        </w:r>
        <w:r>
          <w:rPr>
            <w:rStyle w:val="187"/>
          </w:rPr>
        </w:r>
        <w:r>
          <w:tab/>
        </w:r>
        <w:r>
          <w:fldChar w:fldCharType="begin"/>
          <w:instrText xml:space="preserve">PAGEREF _Toc95 \h</w:instrText>
          <w:fldChar w:fldCharType="separate"/>
          <w:t xml:space="preserve">108</w:t>
          <w:fldChar w:fldCharType="end"/>
        </w:r>
      </w:hyperlink>
      <w:r/>
    </w:p>
    <w:p w14:paraId="119A599E">
      <w:pPr>
        <w:pStyle w:val="876"/>
        <w:pBdr/>
        <w:tabs>
          <w:tab w:val="right" w:leader="dot" w:pos="9072"/>
        </w:tabs>
        <w:spacing/>
        <w:ind/>
        <w:rPr/>
      </w:pPr>
      <w:hyperlink w:tooltip="#_Toc96" w:anchor="_Toc96" w:history="1">
        <w:r>
          <w:rPr>
            <w:rStyle w:val="187"/>
          </w:rPr>
        </w:r>
        <w:r>
          <w:rPr>
            <w:rStyle w:val="187"/>
          </w:rPr>
          <w:t xml:space="preserve">8.2项目经理综合能力评价</w:t>
        </w:r>
        <w:r>
          <w:rPr>
            <w:rStyle w:val="187"/>
          </w:rPr>
        </w:r>
        <w:r>
          <w:tab/>
        </w:r>
        <w:r>
          <w:fldChar w:fldCharType="begin"/>
          <w:instrText xml:space="preserve">PAGEREF _Toc96 \h</w:instrText>
          <w:fldChar w:fldCharType="separate"/>
          <w:t xml:space="preserve">109</w:t>
          <w:fldChar w:fldCharType="end"/>
        </w:r>
      </w:hyperlink>
      <w:r/>
    </w:p>
    <w:p w14:paraId="3F17AC7D">
      <w:pPr>
        <w:pStyle w:val="877"/>
        <w:pBdr/>
        <w:tabs>
          <w:tab w:val="right" w:leader="dot" w:pos="9072"/>
        </w:tabs>
        <w:spacing/>
        <w:ind/>
        <w:rPr/>
      </w:pPr>
      <w:hyperlink w:tooltip="#_Toc97" w:anchor="_Toc97" w:history="1">
        <w:r>
          <w:rPr>
            <w:rStyle w:val="187"/>
          </w:rPr>
        </w:r>
        <w:r>
          <w:rPr>
            <w:rStyle w:val="187"/>
          </w:rPr>
          <w:t xml:space="preserve">8.2.1项目经理学历与安全服务经验</w:t>
        </w:r>
        <w:r>
          <w:rPr>
            <w:rStyle w:val="187"/>
          </w:rPr>
        </w:r>
        <w:r>
          <w:tab/>
        </w:r>
        <w:r>
          <w:fldChar w:fldCharType="begin"/>
          <w:instrText xml:space="preserve">PAGEREF _Toc97 \h</w:instrText>
          <w:fldChar w:fldCharType="separate"/>
          <w:t xml:space="preserve">110</w:t>
          <w:fldChar w:fldCharType="end"/>
        </w:r>
      </w:hyperlink>
      <w:r/>
    </w:p>
    <w:p w14:paraId="0D322247">
      <w:pPr>
        <w:pStyle w:val="877"/>
        <w:pBdr/>
        <w:tabs>
          <w:tab w:val="right" w:leader="dot" w:pos="9072"/>
        </w:tabs>
        <w:spacing/>
        <w:ind/>
        <w:rPr/>
      </w:pPr>
      <w:hyperlink w:tooltip="#_Toc98" w:anchor="_Toc98" w:history="1">
        <w:r>
          <w:rPr>
            <w:rStyle w:val="187"/>
          </w:rPr>
        </w:r>
        <w:r>
          <w:rPr>
            <w:rStyle w:val="187"/>
          </w:rPr>
          <w:t xml:space="preserve">8.2.2项目经理专业安全资质证书</w:t>
        </w:r>
        <w:r>
          <w:rPr>
            <w:rStyle w:val="187"/>
          </w:rPr>
        </w:r>
        <w:r>
          <w:tab/>
        </w:r>
        <w:r>
          <w:fldChar w:fldCharType="begin"/>
          <w:instrText xml:space="preserve">PAGEREF _Toc98 \h</w:instrText>
          <w:fldChar w:fldCharType="separate"/>
          <w:t xml:space="preserve">111</w:t>
          <w:fldChar w:fldCharType="end"/>
        </w:r>
      </w:hyperlink>
      <w:r/>
    </w:p>
    <w:p w14:paraId="37365A0A">
      <w:pPr>
        <w:pStyle w:val="877"/>
        <w:pBdr/>
        <w:tabs>
          <w:tab w:val="right" w:leader="dot" w:pos="9072"/>
        </w:tabs>
        <w:spacing/>
        <w:ind/>
        <w:rPr/>
      </w:pPr>
      <w:hyperlink w:tooltip="#_Toc99" w:anchor="_Toc99" w:history="1">
        <w:r>
          <w:rPr>
            <w:rStyle w:val="187"/>
          </w:rPr>
        </w:r>
        <w:r>
          <w:rPr>
            <w:rStyle w:val="187"/>
          </w:rPr>
          <w:t xml:space="preserve">8.2.3项目经理项目管理认证</w:t>
        </w:r>
        <w:r>
          <w:rPr>
            <w:rStyle w:val="187"/>
          </w:rPr>
        </w:r>
        <w:r>
          <w:tab/>
        </w:r>
        <w:r>
          <w:fldChar w:fldCharType="begin"/>
          <w:instrText xml:space="preserve">PAGEREF _Toc99 \h</w:instrText>
          <w:fldChar w:fldCharType="separate"/>
          <w:t xml:space="preserve">112</w:t>
          <w:fldChar w:fldCharType="end"/>
        </w:r>
      </w:hyperlink>
      <w:r/>
    </w:p>
    <w:p w14:paraId="0D513B6E">
      <w:pPr>
        <w:pStyle w:val="876"/>
        <w:pBdr/>
        <w:tabs>
          <w:tab w:val="right" w:leader="dot" w:pos="9072"/>
        </w:tabs>
        <w:spacing/>
        <w:ind/>
        <w:rPr/>
      </w:pPr>
      <w:hyperlink w:tooltip="#_Toc100" w:anchor="_Toc100" w:history="1">
        <w:r>
          <w:rPr>
            <w:rStyle w:val="187"/>
          </w:rPr>
        </w:r>
        <w:r>
          <w:rPr>
            <w:rStyle w:val="187"/>
          </w:rPr>
          <w:t xml:space="preserve">8.3技术骨干及团队成员能力评价</w:t>
        </w:r>
        <w:r>
          <w:rPr>
            <w:rStyle w:val="187"/>
          </w:rPr>
        </w:r>
        <w:r>
          <w:tab/>
        </w:r>
        <w:r>
          <w:fldChar w:fldCharType="begin"/>
          <w:instrText xml:space="preserve">PAGEREF _Toc100 \h</w:instrText>
          <w:fldChar w:fldCharType="separate"/>
          <w:t xml:space="preserve">112</w:t>
          <w:fldChar w:fldCharType="end"/>
        </w:r>
      </w:hyperlink>
      <w:r/>
    </w:p>
    <w:p w14:paraId="38C65D05">
      <w:pPr>
        <w:pStyle w:val="877"/>
        <w:pBdr/>
        <w:tabs>
          <w:tab w:val="right" w:leader="dot" w:pos="9072"/>
        </w:tabs>
        <w:spacing/>
        <w:ind/>
        <w:rPr/>
      </w:pPr>
      <w:hyperlink w:tooltip="#_Toc101" w:anchor="_Toc101" w:history="1">
        <w:r>
          <w:rPr>
            <w:rStyle w:val="187"/>
          </w:rPr>
        </w:r>
        <w:r>
          <w:rPr>
            <w:rStyle w:val="187"/>
          </w:rPr>
          <w:t xml:space="preserve">8.3.1技术人员信息安全专业资质</w:t>
        </w:r>
        <w:r>
          <w:rPr>
            <w:rStyle w:val="187"/>
          </w:rPr>
        </w:r>
        <w:r>
          <w:tab/>
        </w:r>
        <w:r>
          <w:fldChar w:fldCharType="begin"/>
          <w:instrText xml:space="preserve">PAGEREF _Toc101 \h</w:instrText>
          <w:fldChar w:fldCharType="separate"/>
          <w:t xml:space="preserve">114</w:t>
          <w:fldChar w:fldCharType="end"/>
        </w:r>
      </w:hyperlink>
      <w:r/>
    </w:p>
    <w:p w14:paraId="508323CA">
      <w:pPr>
        <w:pStyle w:val="877"/>
        <w:pBdr/>
        <w:tabs>
          <w:tab w:val="right" w:leader="dot" w:pos="9072"/>
        </w:tabs>
        <w:spacing/>
        <w:ind/>
        <w:rPr/>
      </w:pPr>
      <w:hyperlink w:tooltip="#_Toc102" w:anchor="_Toc102" w:history="1">
        <w:r>
          <w:rPr>
            <w:rStyle w:val="187"/>
          </w:rPr>
        </w:r>
        <w:r>
          <w:rPr>
            <w:rStyle w:val="187"/>
          </w:rPr>
          <w:t xml:space="preserve">8.3.2技术团队人员结构与数量配置</w:t>
        </w:r>
        <w:r>
          <w:rPr>
            <w:rStyle w:val="187"/>
          </w:rPr>
        </w:r>
        <w:r>
          <w:tab/>
        </w:r>
        <w:r>
          <w:fldChar w:fldCharType="begin"/>
          <w:instrText xml:space="preserve">PAGEREF _Toc102 \h</w:instrText>
          <w:fldChar w:fldCharType="separate"/>
          <w:t xml:space="preserve">115</w:t>
          <w:fldChar w:fldCharType="end"/>
        </w:r>
      </w:hyperlink>
      <w:r/>
    </w:p>
    <w:p w14:paraId="1B5E66E6">
      <w:pPr>
        <w:pStyle w:val="877"/>
        <w:pBdr/>
        <w:tabs>
          <w:tab w:val="right" w:leader="dot" w:pos="9072"/>
        </w:tabs>
        <w:spacing/>
        <w:ind/>
        <w:rPr/>
      </w:pPr>
      <w:hyperlink w:tooltip="#_Toc103" w:anchor="_Toc103" w:history="1">
        <w:r>
          <w:rPr>
            <w:rStyle w:val="187"/>
          </w:rPr>
        </w:r>
        <w:r>
          <w:rPr>
            <w:rStyle w:val="187"/>
          </w:rPr>
          <w:t xml:space="preserve">8.3.3团队成员项目经验与业绩</w:t>
        </w:r>
        <w:r>
          <w:rPr>
            <w:rStyle w:val="187"/>
          </w:rPr>
        </w:r>
        <w:r>
          <w:tab/>
        </w:r>
        <w:r>
          <w:fldChar w:fldCharType="begin"/>
          <w:instrText xml:space="preserve">PAGEREF _Toc103 \h</w:instrText>
          <w:fldChar w:fldCharType="separate"/>
          <w:t xml:space="preserve">117</w:t>
          <w:fldChar w:fldCharType="end"/>
        </w:r>
      </w:hyperlink>
      <w:r/>
    </w:p>
    <w:p w14:paraId="7568267D">
      <w:pPr>
        <w:pStyle w:val="876"/>
        <w:pBdr/>
        <w:tabs>
          <w:tab w:val="right" w:leader="dot" w:pos="9072"/>
        </w:tabs>
        <w:spacing/>
        <w:ind/>
        <w:rPr/>
      </w:pPr>
      <w:hyperlink w:tooltip="#_Toc104" w:anchor="_Toc104" w:history="1">
        <w:r>
          <w:rPr>
            <w:rStyle w:val="187"/>
          </w:rPr>
        </w:r>
        <w:r>
          <w:rPr>
            <w:rStyle w:val="187"/>
          </w:rPr>
          <w:t xml:space="preserve">8.4人员证明材料与保障承诺</w:t>
        </w:r>
        <w:r>
          <w:rPr>
            <w:rStyle w:val="187"/>
          </w:rPr>
        </w:r>
        <w:r>
          <w:tab/>
        </w:r>
        <w:r>
          <w:fldChar w:fldCharType="begin"/>
          <w:instrText xml:space="preserve">PAGEREF _Toc104 \h</w:instrText>
          <w:fldChar w:fldCharType="separate"/>
          <w:t xml:space="preserve">118</w:t>
          <w:fldChar w:fldCharType="end"/>
        </w:r>
      </w:hyperlink>
      <w:r/>
    </w:p>
    <w:p w14:paraId="37A93EB3">
      <w:pPr>
        <w:pStyle w:val="877"/>
        <w:pBdr/>
        <w:tabs>
          <w:tab w:val="right" w:leader="dot" w:pos="9072"/>
        </w:tabs>
        <w:spacing/>
        <w:ind/>
        <w:rPr/>
      </w:pPr>
      <w:hyperlink w:tooltip="#_Toc105" w:anchor="_Toc105" w:history="1">
        <w:r>
          <w:rPr>
            <w:rStyle w:val="187"/>
          </w:rPr>
        </w:r>
        <w:r>
          <w:rPr>
            <w:rStyle w:val="187"/>
          </w:rPr>
          <w:t xml:space="preserve">8.4.1人员资质证明文件</w:t>
        </w:r>
        <w:r>
          <w:rPr>
            <w:rStyle w:val="187"/>
          </w:rPr>
        </w:r>
        <w:r>
          <w:tab/>
        </w:r>
        <w:r>
          <w:fldChar w:fldCharType="begin"/>
          <w:instrText xml:space="preserve">PAGEREF _Toc105 \h</w:instrText>
          <w:fldChar w:fldCharType="separate"/>
          <w:t xml:space="preserve">119</w:t>
          <w:fldChar w:fldCharType="end"/>
        </w:r>
      </w:hyperlink>
      <w:r/>
    </w:p>
    <w:p w14:paraId="53A9F122">
      <w:pPr>
        <w:pStyle w:val="877"/>
        <w:pBdr/>
        <w:tabs>
          <w:tab w:val="right" w:leader="dot" w:pos="9072"/>
        </w:tabs>
        <w:spacing/>
        <w:ind/>
        <w:rPr/>
      </w:pPr>
      <w:hyperlink w:tooltip="#_Toc106" w:anchor="_Toc106" w:history="1">
        <w:r>
          <w:rPr>
            <w:rStyle w:val="187"/>
          </w:rPr>
        </w:r>
        <w:r>
          <w:rPr>
            <w:rStyle w:val="187"/>
          </w:rPr>
          <w:t xml:space="preserve">8.4.2人员稳定性与替换管理承诺</w:t>
        </w:r>
        <w:r>
          <w:rPr>
            <w:rStyle w:val="187"/>
          </w:rPr>
        </w:r>
        <w:r>
          <w:tab/>
        </w:r>
        <w:r>
          <w:fldChar w:fldCharType="begin"/>
          <w:instrText xml:space="preserve">PAGEREF _Toc106 \h</w:instrText>
          <w:fldChar w:fldCharType="separate"/>
          <w:t xml:space="preserve">120</w:t>
          <w:fldChar w:fldCharType="end"/>
        </w:r>
      </w:hyperlink>
      <w:r/>
    </w:p>
    <w:p w14:paraId="580FA378">
      <w:pPr>
        <w:pStyle w:val="875"/>
        <w:pBdr/>
        <w:tabs>
          <w:tab w:val="right" w:leader="dot" w:pos="9072"/>
        </w:tabs>
        <w:spacing/>
        <w:ind/>
        <w:rPr/>
      </w:pPr>
      <w:hyperlink w:tooltip="#_Toc107" w:anchor="_Toc107" w:history="1">
        <w:r>
          <w:rPr>
            <w:rStyle w:val="187"/>
          </w:rPr>
        </w:r>
        <w:r>
          <w:rPr>
            <w:rStyle w:val="187"/>
          </w:rPr>
          <w:t xml:space="preserve">九、需求清单点对点应答</w:t>
        </w:r>
        <w:r>
          <w:rPr>
            <w:rStyle w:val="187"/>
          </w:rPr>
        </w:r>
        <w:r>
          <w:tab/>
        </w:r>
        <w:r>
          <w:fldChar w:fldCharType="begin"/>
          <w:instrText xml:space="preserve">PAGEREF _Toc107 \h</w:instrText>
          <w:fldChar w:fldCharType="separate"/>
          <w:t xml:space="preserve">121</w:t>
          <w:fldChar w:fldCharType="end"/>
        </w:r>
      </w:hyperlink>
      <w:r/>
    </w:p>
    <w:p w14:paraId="217E1255">
      <w:pPr>
        <w:pStyle w:val="876"/>
        <w:pBdr/>
        <w:tabs>
          <w:tab w:val="right" w:leader="dot" w:pos="9072"/>
        </w:tabs>
        <w:spacing/>
        <w:ind/>
        <w:rPr/>
      </w:pPr>
      <w:hyperlink w:tooltip="#_Toc108" w:anchor="_Toc108" w:history="1">
        <w:r>
          <w:rPr>
            <w:rStyle w:val="187"/>
          </w:rPr>
        </w:r>
        <w:r>
          <w:rPr>
            <w:rStyle w:val="187"/>
          </w:rPr>
          <w:t xml:space="preserve">9.1需求清单应答总体说明</w:t>
        </w:r>
        <w:r>
          <w:rPr>
            <w:rStyle w:val="187"/>
          </w:rPr>
        </w:r>
        <w:r>
          <w:tab/>
        </w:r>
        <w:r>
          <w:fldChar w:fldCharType="begin"/>
          <w:instrText xml:space="preserve">PAGEREF _Toc108 \h</w:instrText>
          <w:fldChar w:fldCharType="separate"/>
          <w:t xml:space="preserve">123</w:t>
          <w:fldChar w:fldCharType="end"/>
        </w:r>
      </w:hyperlink>
      <w:r/>
    </w:p>
    <w:p w14:paraId="2FC7F3AD">
      <w:pPr>
        <w:pStyle w:val="877"/>
        <w:pBdr/>
        <w:tabs>
          <w:tab w:val="right" w:leader="dot" w:pos="9072"/>
        </w:tabs>
        <w:spacing/>
        <w:ind/>
        <w:rPr/>
      </w:pPr>
      <w:hyperlink w:tooltip="#_Toc109" w:anchor="_Toc109" w:history="1">
        <w:r>
          <w:rPr>
            <w:rStyle w:val="187"/>
          </w:rPr>
        </w:r>
        <w:r>
          <w:rPr>
            <w:rStyle w:val="187"/>
          </w:rPr>
          <w:t xml:space="preserve">9.1.1技术规范整体理解与响应策略</w:t>
        </w:r>
        <w:r>
          <w:rPr>
            <w:rStyle w:val="187"/>
          </w:rPr>
        </w:r>
        <w:r>
          <w:tab/>
        </w:r>
        <w:r>
          <w:fldChar w:fldCharType="begin"/>
          <w:instrText xml:space="preserve">PAGEREF _Toc109 \h</w:instrText>
          <w:fldChar w:fldCharType="separate"/>
          <w:t xml:space="preserve">124</w:t>
          <w:fldChar w:fldCharType="end"/>
        </w:r>
      </w:hyperlink>
      <w:r/>
    </w:p>
    <w:p w14:paraId="714FC0FF">
      <w:pPr>
        <w:pStyle w:val="877"/>
        <w:pBdr/>
        <w:tabs>
          <w:tab w:val="right" w:leader="dot" w:pos="9072"/>
        </w:tabs>
        <w:spacing/>
        <w:ind/>
        <w:rPr/>
      </w:pPr>
      <w:hyperlink w:tooltip="#_Toc110" w:anchor="_Toc110" w:history="1">
        <w:r>
          <w:rPr>
            <w:rStyle w:val="187"/>
          </w:rPr>
        </w:r>
        <w:r>
          <w:rPr>
            <w:rStyle w:val="187"/>
          </w:rPr>
          <w:t xml:space="preserve">9.1.2点对点应答索引与符合度汇总</w:t>
        </w:r>
        <w:r>
          <w:rPr>
            <w:rStyle w:val="187"/>
          </w:rPr>
        </w:r>
        <w:r>
          <w:tab/>
        </w:r>
        <w:r>
          <w:fldChar w:fldCharType="begin"/>
          <w:instrText xml:space="preserve">PAGEREF _Toc110 \h</w:instrText>
          <w:fldChar w:fldCharType="separate"/>
          <w:t xml:space="preserve">125</w:t>
          <w:fldChar w:fldCharType="end"/>
        </w:r>
      </w:hyperlink>
      <w:r/>
    </w:p>
    <w:p w14:paraId="3F8636C2">
      <w:pPr>
        <w:pStyle w:val="876"/>
        <w:pBdr/>
        <w:tabs>
          <w:tab w:val="right" w:leader="dot" w:pos="9072"/>
        </w:tabs>
        <w:spacing/>
        <w:ind/>
        <w:rPr/>
      </w:pPr>
      <w:hyperlink w:tooltip="#_Toc111" w:anchor="_Toc111" w:history="1">
        <w:r>
          <w:rPr>
            <w:rStyle w:val="187"/>
          </w:rPr>
        </w:r>
        <w:r>
          <w:rPr>
            <w:rStyle w:val="187"/>
          </w:rPr>
          <w:t xml:space="preserve">9.2技术需求逐项应答</w:t>
        </w:r>
        <w:r>
          <w:rPr>
            <w:rStyle w:val="187"/>
          </w:rPr>
        </w:r>
        <w:r>
          <w:tab/>
        </w:r>
        <w:r>
          <w:fldChar w:fldCharType="begin"/>
          <w:instrText xml:space="preserve">PAGEREF _Toc111 \h</w:instrText>
          <w:fldChar w:fldCharType="separate"/>
          <w:t xml:space="preserve">126</w:t>
          <w:fldChar w:fldCharType="end"/>
        </w:r>
      </w:hyperlink>
      <w:r/>
    </w:p>
    <w:p w14:paraId="1EDA8EA0">
      <w:pPr>
        <w:pStyle w:val="877"/>
        <w:pBdr/>
        <w:tabs>
          <w:tab w:val="right" w:leader="dot" w:pos="9072"/>
        </w:tabs>
        <w:spacing/>
        <w:ind/>
        <w:rPr/>
      </w:pPr>
      <w:hyperlink w:tooltip="#_Toc112" w:anchor="_Toc112" w:history="1">
        <w:r>
          <w:rPr>
            <w:rStyle w:val="187"/>
          </w:rPr>
        </w:r>
        <w:r>
          <w:rPr>
            <w:rStyle w:val="187"/>
          </w:rPr>
          <w:t xml:space="preserve">9.2.1网络安全运营需求应答</w:t>
        </w:r>
        <w:r>
          <w:rPr>
            <w:rStyle w:val="187"/>
          </w:rPr>
        </w:r>
        <w:r>
          <w:tab/>
        </w:r>
        <w:r>
          <w:fldChar w:fldCharType="begin"/>
          <w:instrText xml:space="preserve">PAGEREF _Toc112 \h</w:instrText>
          <w:fldChar w:fldCharType="separate"/>
          <w:t xml:space="preserve">128</w:t>
          <w:fldChar w:fldCharType="end"/>
        </w:r>
      </w:hyperlink>
      <w:r/>
    </w:p>
    <w:p w14:paraId="4EAA76DF">
      <w:pPr>
        <w:pStyle w:val="877"/>
        <w:pBdr/>
        <w:tabs>
          <w:tab w:val="right" w:leader="dot" w:pos="9072"/>
        </w:tabs>
        <w:spacing/>
        <w:ind/>
        <w:rPr/>
      </w:pPr>
      <w:hyperlink w:tooltip="#_Toc113" w:anchor="_Toc113" w:history="1">
        <w:r>
          <w:rPr>
            <w:rStyle w:val="187"/>
          </w:rPr>
        </w:r>
        <w:r>
          <w:rPr>
            <w:rStyle w:val="187"/>
          </w:rPr>
          <w:t xml:space="preserve">9.2.2渗透测试与攻防演练需求应答</w:t>
        </w:r>
        <w:r>
          <w:rPr>
            <w:rStyle w:val="187"/>
          </w:rPr>
        </w:r>
        <w:r>
          <w:tab/>
        </w:r>
        <w:r>
          <w:fldChar w:fldCharType="begin"/>
          <w:instrText xml:space="preserve">PAGEREF _Toc113 \h</w:instrText>
          <w:fldChar w:fldCharType="separate"/>
          <w:t xml:space="preserve">130</w:t>
          <w:fldChar w:fldCharType="end"/>
        </w:r>
      </w:hyperlink>
      <w:r/>
    </w:p>
    <w:p w14:paraId="67CB426F">
      <w:pPr>
        <w:pStyle w:val="877"/>
        <w:pBdr/>
        <w:tabs>
          <w:tab w:val="right" w:leader="dot" w:pos="9072"/>
        </w:tabs>
        <w:spacing/>
        <w:ind/>
        <w:rPr/>
      </w:pPr>
      <w:hyperlink w:tooltip="#_Toc114" w:anchor="_Toc114" w:history="1">
        <w:r>
          <w:rPr>
            <w:rStyle w:val="187"/>
          </w:rPr>
        </w:r>
        <w:r>
          <w:rPr>
            <w:rStyle w:val="187"/>
          </w:rPr>
          <w:t xml:space="preserve">9.2.3重要时期保障及其他服务需求应答</w:t>
        </w:r>
        <w:r>
          <w:rPr>
            <w:rStyle w:val="187"/>
          </w:rPr>
        </w:r>
        <w:r>
          <w:tab/>
        </w:r>
        <w:r>
          <w:fldChar w:fldCharType="begin"/>
          <w:instrText xml:space="preserve">PAGEREF _Toc114 \h</w:instrText>
          <w:fldChar w:fldCharType="separate"/>
          <w:t xml:space="preserve">131</w:t>
          <w:fldChar w:fldCharType="end"/>
        </w:r>
      </w:hyperlink>
      <w:r/>
    </w:p>
    <w:p w14:paraId="2FD7420D">
      <w:pPr>
        <w:pStyle w:val="876"/>
        <w:pBdr/>
        <w:tabs>
          <w:tab w:val="right" w:leader="dot" w:pos="9072"/>
        </w:tabs>
        <w:spacing/>
        <w:ind/>
        <w:rPr/>
      </w:pPr>
      <w:hyperlink w:tooltip="#_Toc115" w:anchor="_Toc115" w:history="1">
        <w:r>
          <w:rPr>
            <w:rStyle w:val="187"/>
          </w:rPr>
        </w:r>
        <w:r>
          <w:rPr>
            <w:rStyle w:val="187"/>
          </w:rPr>
          <w:t xml:space="preserve">9.3偏离项说明与符合度承诺</w:t>
        </w:r>
        <w:r>
          <w:rPr>
            <w:rStyle w:val="187"/>
          </w:rPr>
        </w:r>
        <w:r>
          <w:tab/>
        </w:r>
        <w:r>
          <w:fldChar w:fldCharType="begin"/>
          <w:instrText xml:space="preserve">PAGEREF _Toc115 \h</w:instrText>
          <w:fldChar w:fldCharType="separate"/>
          <w:t xml:space="preserve">132</w:t>
          <w:fldChar w:fldCharType="end"/>
        </w:r>
      </w:hyperlink>
      <w:r/>
    </w:p>
    <w:p w14:paraId="3753ADFE">
      <w:pPr>
        <w:pStyle w:val="877"/>
        <w:pBdr/>
        <w:tabs>
          <w:tab w:val="right" w:leader="dot" w:pos="9072"/>
        </w:tabs>
        <w:spacing/>
        <w:ind/>
        <w:rPr/>
      </w:pPr>
      <w:hyperlink w:tooltip="#_Toc116" w:anchor="_Toc116" w:history="1">
        <w:r>
          <w:rPr>
            <w:rStyle w:val="187"/>
          </w:rPr>
        </w:r>
        <w:r>
          <w:rPr>
            <w:rStyle w:val="187"/>
          </w:rPr>
          <w:t xml:space="preserve">9.3.1无偏离声明及服务承诺</w:t>
        </w:r>
        <w:r>
          <w:rPr>
            <w:rStyle w:val="187"/>
          </w:rPr>
        </w:r>
        <w:r>
          <w:tab/>
        </w:r>
        <w:r>
          <w:fldChar w:fldCharType="begin"/>
          <w:instrText xml:space="preserve">PAGEREF _Toc116 \h</w:instrText>
          <w:fldChar w:fldCharType="separate"/>
          <w:t xml:space="preserve">133</w:t>
          <w:fldChar w:fldCharType="end"/>
        </w:r>
      </w:hyperlink>
      <w:r/>
    </w:p>
    <w:p w14:paraId="417192B3">
      <w:pPr>
        <w:pStyle w:val="877"/>
        <w:pBdr/>
        <w:tabs>
          <w:tab w:val="right" w:leader="dot" w:pos="9072"/>
        </w:tabs>
        <w:spacing/>
        <w:ind/>
        <w:rPr/>
      </w:pPr>
      <w:hyperlink w:tooltip="#_Toc117" w:anchor="_Toc117" w:history="1">
        <w:r>
          <w:rPr>
            <w:rStyle w:val="187"/>
          </w:rPr>
        </w:r>
        <w:r>
          <w:rPr>
            <w:rStyle w:val="187"/>
          </w:rPr>
          <w:t xml:space="preserve">9.3.2偏离项清单及原因说明（如有）</w:t>
        </w:r>
        <w:r>
          <w:rPr>
            <w:rStyle w:val="187"/>
          </w:rPr>
        </w:r>
        <w:r>
          <w:tab/>
        </w:r>
        <w:r>
          <w:fldChar w:fldCharType="begin"/>
          <w:instrText xml:space="preserve">PAGEREF _Toc117 \h</w:instrText>
          <w:fldChar w:fldCharType="separate"/>
          <w:t xml:space="preserve">134</w:t>
          <w:fldChar w:fldCharType="end"/>
        </w:r>
      </w:hyperlink>
      <w:r/>
    </w:p>
    <w:p w14:paraId="3102958E">
      <w:pPr>
        <w:pStyle w:val="875"/>
        <w:pBdr/>
        <w:tabs>
          <w:tab w:val="right" w:leader="dot" w:pos="9072"/>
        </w:tabs>
        <w:spacing/>
        <w:ind/>
        <w:rPr/>
      </w:pPr>
      <w:hyperlink w:tooltip="#_Toc118" w:anchor="_Toc118" w:history="1">
        <w:r>
          <w:rPr>
            <w:rStyle w:val="187"/>
          </w:rPr>
        </w:r>
        <w:r>
          <w:rPr>
            <w:rStyle w:val="187"/>
          </w:rPr>
          <w:t xml:space="preserve">十、增值服务</w:t>
        </w:r>
        <w:r>
          <w:rPr>
            <w:rStyle w:val="187"/>
          </w:rPr>
        </w:r>
        <w:r>
          <w:tab/>
        </w:r>
        <w:r>
          <w:fldChar w:fldCharType="begin"/>
          <w:instrText xml:space="preserve">PAGEREF _Toc118 \h</w:instrText>
          <w:fldChar w:fldCharType="separate"/>
          <w:t xml:space="preserve">135</w:t>
          <w:fldChar w:fldCharType="end"/>
        </w:r>
      </w:hyperlink>
      <w:r/>
    </w:p>
    <w:p w14:paraId="50CA4F41">
      <w:pPr>
        <w:pStyle w:val="876"/>
        <w:pBdr/>
        <w:tabs>
          <w:tab w:val="right" w:leader="dot" w:pos="9072"/>
        </w:tabs>
        <w:spacing/>
        <w:ind/>
        <w:rPr/>
      </w:pPr>
      <w:hyperlink w:tooltip="#_Toc119" w:anchor="_Toc119" w:history="1">
        <w:r>
          <w:rPr>
            <w:rStyle w:val="187"/>
          </w:rPr>
        </w:r>
        <w:r>
          <w:rPr>
            <w:rStyle w:val="187"/>
          </w:rPr>
          <w:t xml:space="preserve">10.1增值服务总体方案与保障机制</w:t>
        </w:r>
        <w:r>
          <w:rPr>
            <w:rStyle w:val="187"/>
          </w:rPr>
        </w:r>
        <w:r>
          <w:tab/>
        </w:r>
        <w:r>
          <w:fldChar w:fldCharType="begin"/>
          <w:instrText xml:space="preserve">PAGEREF _Toc119 \h</w:instrText>
          <w:fldChar w:fldCharType="separate"/>
          <w:t xml:space="preserve">136</w:t>
          <w:fldChar w:fldCharType="end"/>
        </w:r>
      </w:hyperlink>
      <w:r/>
    </w:p>
    <w:p w14:paraId="315A4DA1">
      <w:pPr>
        <w:pStyle w:val="877"/>
        <w:pBdr/>
        <w:tabs>
          <w:tab w:val="right" w:leader="dot" w:pos="9072"/>
        </w:tabs>
        <w:spacing/>
        <w:ind/>
        <w:rPr/>
      </w:pPr>
      <w:hyperlink w:tooltip="#_Toc120" w:anchor="_Toc120" w:history="1">
        <w:r>
          <w:rPr>
            <w:rStyle w:val="187"/>
          </w:rPr>
        </w:r>
        <w:r>
          <w:rPr>
            <w:rStyle w:val="187"/>
          </w:rPr>
          <w:t xml:space="preserve">10.1.1增值服务内容清单与交付说明</w:t>
        </w:r>
        <w:r>
          <w:rPr>
            <w:rStyle w:val="187"/>
          </w:rPr>
        </w:r>
        <w:r>
          <w:tab/>
        </w:r>
        <w:r>
          <w:fldChar w:fldCharType="begin"/>
          <w:instrText xml:space="preserve">PAGEREF _Toc120 \h</w:instrText>
          <w:fldChar w:fldCharType="separate"/>
          <w:t xml:space="preserve">138</w:t>
          <w:fldChar w:fldCharType="end"/>
        </w:r>
      </w:hyperlink>
      <w:r/>
    </w:p>
    <w:p w14:paraId="55326D69">
      <w:pPr>
        <w:pStyle w:val="877"/>
        <w:pBdr/>
        <w:tabs>
          <w:tab w:val="right" w:leader="dot" w:pos="9072"/>
        </w:tabs>
        <w:spacing/>
        <w:ind/>
        <w:rPr/>
      </w:pPr>
      <w:hyperlink w:tooltip="#_Toc121" w:anchor="_Toc121" w:history="1">
        <w:r>
          <w:rPr>
            <w:rStyle w:val="187"/>
          </w:rPr>
        </w:r>
        <w:r>
          <w:rPr>
            <w:rStyle w:val="187"/>
          </w:rPr>
          <w:t xml:space="preserve">10.1.2增值服务质量保障与持续改进机制</w:t>
        </w:r>
        <w:r>
          <w:rPr>
            <w:rStyle w:val="187"/>
          </w:rPr>
        </w:r>
        <w:r>
          <w:tab/>
        </w:r>
        <w:r>
          <w:fldChar w:fldCharType="begin"/>
          <w:instrText xml:space="preserve">PAGEREF _Toc121 \h</w:instrText>
          <w:fldChar w:fldCharType="separate"/>
          <w:t xml:space="preserve">140</w:t>
          <w:fldChar w:fldCharType="end"/>
        </w:r>
      </w:hyperlink>
      <w:r/>
    </w:p>
    <w:p w14:paraId="1F7B5DF6">
      <w:pPr>
        <w:pStyle w:val="877"/>
        <w:pBdr/>
        <w:tabs>
          <w:tab w:val="right" w:leader="dot" w:pos="9072"/>
        </w:tabs>
        <w:spacing/>
        <w:ind/>
        <w:rPr/>
      </w:pPr>
      <w:hyperlink w:tooltip="#_Toc122" w:anchor="_Toc122" w:history="1">
        <w:r>
          <w:rPr>
            <w:rStyle w:val="187"/>
          </w:rPr>
        </w:r>
        <w:r>
          <w:rPr>
            <w:rStyle w:val="187"/>
          </w:rPr>
          <w:t xml:space="preserve">10.1.3增值服务团队与资源保障</w:t>
        </w:r>
        <w:r>
          <w:rPr>
            <w:rStyle w:val="187"/>
          </w:rPr>
        </w:r>
        <w:r>
          <w:tab/>
        </w:r>
        <w:r>
          <w:fldChar w:fldCharType="begin"/>
          <w:instrText xml:space="preserve">PAGEREF _Toc122 \h</w:instrText>
          <w:fldChar w:fldCharType="separate"/>
          <w:t xml:space="preserve">140</w:t>
          <w:fldChar w:fldCharType="end"/>
        </w:r>
      </w:hyperlink>
      <w:r/>
    </w:p>
    <w:p w14:paraId="74DA417D">
      <w:pPr>
        <w:pStyle w:val="876"/>
        <w:pBdr/>
        <w:tabs>
          <w:tab w:val="right" w:leader="dot" w:pos="9072"/>
        </w:tabs>
        <w:spacing/>
        <w:ind/>
        <w:rPr/>
      </w:pPr>
      <w:hyperlink w:tooltip="#_Toc123" w:anchor="_Toc123" w:history="1">
        <w:r>
          <w:rPr>
            <w:rStyle w:val="187"/>
          </w:rPr>
        </w:r>
        <w:r>
          <w:rPr>
            <w:rStyle w:val="187"/>
          </w:rPr>
          <w:t xml:space="preserve">10.2安全宣传与意识提升类增值服务</w:t>
        </w:r>
        <w:r>
          <w:rPr>
            <w:rStyle w:val="187"/>
          </w:rPr>
        </w:r>
        <w:r>
          <w:tab/>
        </w:r>
        <w:r>
          <w:fldChar w:fldCharType="begin"/>
          <w:instrText xml:space="preserve">PAGEREF _Toc123 \h</w:instrText>
          <w:fldChar w:fldCharType="separate"/>
          <w:t xml:space="preserve">142</w:t>
          <w:fldChar w:fldCharType="end"/>
        </w:r>
      </w:hyperlink>
      <w:r/>
    </w:p>
    <w:p w14:paraId="7079E337">
      <w:pPr>
        <w:pStyle w:val="877"/>
        <w:pBdr/>
        <w:tabs>
          <w:tab w:val="right" w:leader="dot" w:pos="9072"/>
        </w:tabs>
        <w:spacing/>
        <w:ind/>
        <w:rPr/>
      </w:pPr>
      <w:hyperlink w:tooltip="#_Toc124" w:anchor="_Toc124" w:history="1">
        <w:r>
          <w:rPr>
            <w:rStyle w:val="187"/>
          </w:rPr>
        </w:r>
        <w:r>
          <w:rPr>
            <w:rStyle w:val="187"/>
          </w:rPr>
          <w:t xml:space="preserve">10.2.1安全意识宣传通告服务</w:t>
        </w:r>
        <w:r>
          <w:rPr>
            <w:rStyle w:val="187"/>
          </w:rPr>
        </w:r>
        <w:r>
          <w:tab/>
        </w:r>
        <w:r>
          <w:fldChar w:fldCharType="begin"/>
          <w:instrText xml:space="preserve">PAGEREF _Toc124 \h</w:instrText>
          <w:fldChar w:fldCharType="separate"/>
          <w:t xml:space="preserve">143</w:t>
          <w:fldChar w:fldCharType="end"/>
        </w:r>
      </w:hyperlink>
      <w:r/>
    </w:p>
    <w:p w14:paraId="134D432F">
      <w:pPr>
        <w:pStyle w:val="877"/>
        <w:pBdr/>
        <w:tabs>
          <w:tab w:val="right" w:leader="dot" w:pos="9072"/>
        </w:tabs>
        <w:spacing/>
        <w:ind/>
        <w:rPr/>
      </w:pPr>
      <w:hyperlink w:tooltip="#_Toc125" w:anchor="_Toc125" w:history="1">
        <w:r>
          <w:rPr>
            <w:rStyle w:val="187"/>
          </w:rPr>
        </w:r>
        <w:r>
          <w:rPr>
            <w:rStyle w:val="187"/>
          </w:rPr>
          <w:t xml:space="preserve">10.2.2安全意识培训与考核服务</w:t>
        </w:r>
        <w:r>
          <w:rPr>
            <w:rStyle w:val="187"/>
          </w:rPr>
        </w:r>
        <w:r>
          <w:tab/>
        </w:r>
        <w:r>
          <w:fldChar w:fldCharType="begin"/>
          <w:instrText xml:space="preserve">PAGEREF _Toc125 \h</w:instrText>
          <w:fldChar w:fldCharType="separate"/>
          <w:t xml:space="preserve">144</w:t>
          <w:fldChar w:fldCharType="end"/>
        </w:r>
      </w:hyperlink>
      <w:r/>
    </w:p>
    <w:p w14:paraId="70813127">
      <w:pPr>
        <w:pStyle w:val="877"/>
        <w:pBdr/>
        <w:tabs>
          <w:tab w:val="right" w:leader="dot" w:pos="9072"/>
        </w:tabs>
        <w:spacing/>
        <w:ind/>
        <w:rPr/>
      </w:pPr>
      <w:hyperlink w:tooltip="#_Toc126" w:anchor="_Toc126" w:history="1">
        <w:r>
          <w:rPr>
            <w:rStyle w:val="187"/>
          </w:rPr>
        </w:r>
        <w:r>
          <w:rPr>
            <w:rStyle w:val="187"/>
          </w:rPr>
          <w:t xml:space="preserve">10.2.3网络安全宣传专题宣贯支持</w:t>
        </w:r>
        <w:r>
          <w:rPr>
            <w:rStyle w:val="187"/>
          </w:rPr>
        </w:r>
        <w:r>
          <w:tab/>
        </w:r>
        <w:r>
          <w:fldChar w:fldCharType="begin"/>
          <w:instrText xml:space="preserve">PAGEREF _Toc126 \h</w:instrText>
          <w:fldChar w:fldCharType="separate"/>
          <w:t xml:space="preserve">146</w:t>
          <w:fldChar w:fldCharType="end"/>
        </w:r>
      </w:hyperlink>
      <w:r/>
    </w:p>
    <w:p w14:paraId="0E9912DA">
      <w:pPr>
        <w:pStyle w:val="876"/>
        <w:pBdr/>
        <w:tabs>
          <w:tab w:val="right" w:leader="dot" w:pos="9072"/>
        </w:tabs>
        <w:spacing/>
        <w:ind/>
        <w:rPr/>
      </w:pPr>
      <w:hyperlink w:tooltip="#_Toc127" w:anchor="_Toc127" w:history="1">
        <w:r>
          <w:rPr>
            <w:rStyle w:val="187"/>
          </w:rPr>
        </w:r>
        <w:r>
          <w:rPr>
            <w:rStyle w:val="187"/>
          </w:rPr>
          <w:t xml:space="preserve">10.3应急与实战对抗类增值服务</w:t>
        </w:r>
        <w:r>
          <w:rPr>
            <w:rStyle w:val="187"/>
          </w:rPr>
        </w:r>
        <w:r>
          <w:tab/>
        </w:r>
        <w:r>
          <w:fldChar w:fldCharType="begin"/>
          <w:instrText xml:space="preserve">PAGEREF _Toc127 \h</w:instrText>
          <w:fldChar w:fldCharType="separate"/>
          <w:t xml:space="preserve">147</w:t>
          <w:fldChar w:fldCharType="end"/>
        </w:r>
      </w:hyperlink>
      <w:r/>
    </w:p>
    <w:p w14:paraId="237F7BBA">
      <w:pPr>
        <w:pStyle w:val="877"/>
        <w:pBdr/>
        <w:tabs>
          <w:tab w:val="right" w:leader="dot" w:pos="9072"/>
        </w:tabs>
        <w:spacing/>
        <w:ind/>
        <w:rPr/>
      </w:pPr>
      <w:hyperlink w:tooltip="#_Toc128" w:anchor="_Toc128" w:history="1">
        <w:r>
          <w:rPr>
            <w:rStyle w:val="187"/>
          </w:rPr>
        </w:r>
        <w:r>
          <w:rPr>
            <w:rStyle w:val="187"/>
          </w:rPr>
          <w:t xml:space="preserve">10.3.1勒索病毒专项演练服务</w:t>
        </w:r>
        <w:r>
          <w:rPr>
            <w:rStyle w:val="187"/>
          </w:rPr>
        </w:r>
        <w:r>
          <w:tab/>
        </w:r>
        <w:r>
          <w:fldChar w:fldCharType="begin"/>
          <w:instrText xml:space="preserve">PAGEREF _Toc128 \h</w:instrText>
          <w:fldChar w:fldCharType="separate"/>
          <w:t xml:space="preserve">148</w:t>
          <w:fldChar w:fldCharType="end"/>
        </w:r>
      </w:hyperlink>
      <w:r/>
    </w:p>
    <w:p w14:paraId="0B58084D">
      <w:pPr>
        <w:pStyle w:val="877"/>
        <w:pBdr/>
        <w:tabs>
          <w:tab w:val="right" w:leader="dot" w:pos="9072"/>
        </w:tabs>
        <w:spacing/>
        <w:ind/>
        <w:rPr/>
      </w:pPr>
      <w:hyperlink w:tooltip="#_Toc129" w:anchor="_Toc129" w:history="1">
        <w:r>
          <w:rPr>
            <w:rStyle w:val="187"/>
          </w:rPr>
        </w:r>
        <w:r>
          <w:rPr>
            <w:rStyle w:val="187"/>
          </w:rPr>
          <w:t xml:space="preserve">10.3.2钓鱼邮件与社会工程学模拟演练</w:t>
        </w:r>
        <w:r>
          <w:rPr>
            <w:rStyle w:val="187"/>
          </w:rPr>
        </w:r>
        <w:r>
          <w:tab/>
        </w:r>
        <w:r>
          <w:fldChar w:fldCharType="begin"/>
          <w:instrText xml:space="preserve">PAGEREF _Toc129 \h</w:instrText>
          <w:fldChar w:fldCharType="separate"/>
          <w:t xml:space="preserve">150</w:t>
          <w:fldChar w:fldCharType="end"/>
        </w:r>
      </w:hyperlink>
      <w:r/>
    </w:p>
    <w:p w14:paraId="4E5ECFCC">
      <w:pPr>
        <w:pStyle w:val="877"/>
        <w:pBdr/>
        <w:tabs>
          <w:tab w:val="right" w:leader="dot" w:pos="9072"/>
        </w:tabs>
        <w:spacing/>
        <w:ind/>
        <w:rPr/>
      </w:pPr>
      <w:hyperlink w:tooltip="#_Toc130" w:anchor="_Toc130" w:history="1">
        <w:r>
          <w:rPr>
            <w:rStyle w:val="187"/>
          </w:rPr>
        </w:r>
        <w:r>
          <w:rPr>
            <w:rStyle w:val="187"/>
          </w:rPr>
          <w:t xml:space="preserve">10.3.3应急响应桌面推演与协同演练</w:t>
        </w:r>
        <w:r>
          <w:rPr>
            <w:rStyle w:val="187"/>
          </w:rPr>
        </w:r>
        <w:r>
          <w:tab/>
        </w:r>
        <w:r>
          <w:fldChar w:fldCharType="begin"/>
          <w:instrText xml:space="preserve">PAGEREF _Toc130 \h</w:instrText>
          <w:fldChar w:fldCharType="separate"/>
          <w:t xml:space="preserve">151</w:t>
          <w:fldChar w:fldCharType="end"/>
        </w:r>
      </w:hyperlink>
      <w:r/>
    </w:p>
    <w:p w14:paraId="38C91B2A">
      <w:pPr>
        <w:pStyle w:val="876"/>
        <w:pBdr/>
        <w:tabs>
          <w:tab w:val="right" w:leader="dot" w:pos="9072"/>
        </w:tabs>
        <w:spacing/>
        <w:ind/>
        <w:rPr/>
      </w:pPr>
      <w:hyperlink w:tooltip="#_Toc131" w:anchor="_Toc131" w:history="1">
        <w:r>
          <w:rPr>
            <w:rStyle w:val="187"/>
          </w:rPr>
        </w:r>
        <w:r>
          <w:rPr>
            <w:rStyle w:val="187"/>
          </w:rPr>
          <w:t xml:space="preserve">10.4专项技术与定制化增值服务</w:t>
        </w:r>
        <w:r>
          <w:rPr>
            <w:rStyle w:val="187"/>
          </w:rPr>
        </w:r>
        <w:r>
          <w:tab/>
        </w:r>
        <w:r>
          <w:fldChar w:fldCharType="begin"/>
          <w:instrText xml:space="preserve">PAGEREF _Toc131 \h</w:instrText>
          <w:fldChar w:fldCharType="separate"/>
          <w:t xml:space="preserve">152</w:t>
          <w:fldChar w:fldCharType="end"/>
        </w:r>
      </w:hyperlink>
      <w:r/>
    </w:p>
    <w:p w14:paraId="6EF6FCBC">
      <w:pPr>
        <w:pStyle w:val="877"/>
        <w:pBdr/>
        <w:tabs>
          <w:tab w:val="right" w:leader="dot" w:pos="9072"/>
        </w:tabs>
        <w:spacing/>
        <w:ind/>
        <w:rPr/>
      </w:pPr>
      <w:hyperlink w:tooltip="#_Toc132" w:anchor="_Toc132" w:history="1">
        <w:r>
          <w:rPr>
            <w:rStyle w:val="187"/>
          </w:rPr>
        </w:r>
        <w:r>
          <w:rPr>
            <w:rStyle w:val="187"/>
          </w:rPr>
          <w:t xml:space="preserve">10.4.1安全防护策略专项核查与优化</w:t>
        </w:r>
        <w:r>
          <w:rPr>
            <w:rStyle w:val="187"/>
          </w:rPr>
        </w:r>
        <w:r>
          <w:tab/>
        </w:r>
        <w:r>
          <w:fldChar w:fldCharType="begin"/>
          <w:instrText xml:space="preserve">PAGEREF _Toc132 \h</w:instrText>
          <w:fldChar w:fldCharType="separate"/>
          <w:t xml:space="preserve">153</w:t>
          <w:fldChar w:fldCharType="end"/>
        </w:r>
      </w:hyperlink>
      <w:r/>
    </w:p>
    <w:p w14:paraId="372409C2">
      <w:pPr>
        <w:pStyle w:val="877"/>
        <w:pBdr/>
        <w:tabs>
          <w:tab w:val="right" w:leader="dot" w:pos="9072"/>
        </w:tabs>
        <w:spacing/>
        <w:ind/>
        <w:rPr/>
      </w:pPr>
      <w:hyperlink w:tooltip="#_Toc133" w:anchor="_Toc133" w:history="1">
        <w:r>
          <w:rPr>
            <w:rStyle w:val="187"/>
          </w:rPr>
        </w:r>
        <w:r>
          <w:rPr>
            <w:rStyle w:val="187"/>
          </w:rPr>
          <w:t xml:space="preserve">10.4.2定制化安全数据分析与专项报告</w:t>
        </w:r>
        <w:r>
          <w:rPr>
            <w:rStyle w:val="187"/>
          </w:rPr>
        </w:r>
        <w:r>
          <w:tab/>
        </w:r>
        <w:r>
          <w:fldChar w:fldCharType="begin"/>
          <w:instrText xml:space="preserve">PAGEREF _Toc133 \h</w:instrText>
          <w:fldChar w:fldCharType="separate"/>
          <w:t xml:space="preserve">154</w:t>
          <w:fldChar w:fldCharType="end"/>
        </w:r>
      </w:hyperlink>
      <w:r/>
    </w:p>
    <w:p w14:paraId="5487621A">
      <w:pPr>
        <w:pStyle w:val="877"/>
        <w:pBdr/>
        <w:tabs>
          <w:tab w:val="right" w:leader="dot" w:pos="9072"/>
        </w:tabs>
        <w:spacing/>
        <w:ind/>
        <w:rPr/>
      </w:pPr>
      <w:hyperlink w:tooltip="#_Toc134" w:anchor="_Toc134" w:history="1">
        <w:r>
          <w:rPr>
            <w:rStyle w:val="187"/>
          </w:rPr>
        </w:r>
        <w:r>
          <w:rPr>
            <w:rStyle w:val="187"/>
          </w:rPr>
          <w:t xml:space="preserve">10.4.3安全管理制度与流程优化建议</w:t>
        </w:r>
        <w:r>
          <w:rPr>
            <w:rStyle w:val="187"/>
          </w:rPr>
        </w:r>
        <w:r>
          <w:tab/>
        </w:r>
        <w:r>
          <w:fldChar w:fldCharType="begin"/>
          <w:instrText xml:space="preserve">PAGEREF _Toc134 \h</w:instrText>
          <w:fldChar w:fldCharType="separate"/>
          <w:t xml:space="preserve">155</w:t>
          <w:fldChar w:fldCharType="end"/>
        </w:r>
      </w:hyperlink>
      <w:r/>
    </w:p>
    <w:p w14:paraId="265B078B">
      <w:pPr>
        <w:pStyle w:val="875"/>
        <w:pBdr/>
        <w:tabs>
          <w:tab w:val="right" w:leader="dot" w:pos="9072"/>
        </w:tabs>
        <w:spacing/>
        <w:ind/>
        <w:rPr/>
      </w:pPr>
      <w:hyperlink w:tooltip="#_Toc135" w:anchor="_Toc135" w:history="1">
        <w:r>
          <w:rPr>
            <w:rStyle w:val="187"/>
          </w:rPr>
        </w:r>
        <w:r>
          <w:rPr>
            <w:rStyle w:val="187"/>
          </w:rPr>
          <w:t xml:space="preserve">十一、价格评分</w:t>
        </w:r>
        <w:r>
          <w:rPr>
            <w:rStyle w:val="187"/>
          </w:rPr>
        </w:r>
        <w:r>
          <w:tab/>
        </w:r>
        <w:r>
          <w:fldChar w:fldCharType="begin"/>
          <w:instrText xml:space="preserve">PAGEREF _Toc135 \h</w:instrText>
          <w:fldChar w:fldCharType="separate"/>
          <w:t xml:space="preserve">156</w:t>
          <w:fldChar w:fldCharType="end"/>
        </w:r>
      </w:hyperlink>
      <w:r/>
    </w:p>
    <w:p w14:paraId="36D02F88">
      <w:pPr>
        <w:pStyle w:val="876"/>
        <w:pBdr/>
        <w:tabs>
          <w:tab w:val="right" w:leader="dot" w:pos="9072"/>
        </w:tabs>
        <w:spacing/>
        <w:ind/>
        <w:rPr/>
      </w:pPr>
      <w:hyperlink w:tooltip="#_Toc136" w:anchor="_Toc136" w:history="1">
        <w:r>
          <w:rPr>
            <w:rStyle w:val="187"/>
          </w:rPr>
        </w:r>
        <w:r>
          <w:rPr>
            <w:rStyle w:val="187"/>
          </w:rPr>
          <w:t xml:space="preserve">11.1投标报价方案</w:t>
        </w:r>
        <w:r>
          <w:rPr>
            <w:rStyle w:val="187"/>
          </w:rPr>
        </w:r>
        <w:r>
          <w:tab/>
        </w:r>
        <w:r>
          <w:fldChar w:fldCharType="begin"/>
          <w:instrText xml:space="preserve">PAGEREF _Toc136 \h</w:instrText>
          <w:fldChar w:fldCharType="separate"/>
          <w:t xml:space="preserve">157</w:t>
          <w:fldChar w:fldCharType="end"/>
        </w:r>
      </w:hyperlink>
      <w:r/>
    </w:p>
    <w:p w14:paraId="50ED5180">
      <w:pPr>
        <w:pStyle w:val="877"/>
        <w:pBdr/>
        <w:tabs>
          <w:tab w:val="right" w:leader="dot" w:pos="9072"/>
        </w:tabs>
        <w:spacing/>
        <w:ind/>
        <w:rPr/>
      </w:pPr>
      <w:hyperlink w:tooltip="#_Toc137" w:anchor="_Toc137" w:history="1">
        <w:r>
          <w:rPr>
            <w:rStyle w:val="187"/>
          </w:rPr>
        </w:r>
        <w:r>
          <w:rPr>
            <w:rStyle w:val="187"/>
          </w:rPr>
          <w:t xml:space="preserve">11.1.1报价依据与原则</w:t>
        </w:r>
        <w:r>
          <w:rPr>
            <w:rStyle w:val="187"/>
          </w:rPr>
        </w:r>
        <w:r>
          <w:tab/>
        </w:r>
        <w:r>
          <w:fldChar w:fldCharType="begin"/>
          <w:instrText xml:space="preserve">PAGEREF _Toc137 \h</w:instrText>
          <w:fldChar w:fldCharType="separate"/>
          <w:t xml:space="preserve">158</w:t>
          <w:fldChar w:fldCharType="end"/>
        </w:r>
      </w:hyperlink>
      <w:r/>
    </w:p>
    <w:p w14:paraId="7CD0AD35">
      <w:pPr>
        <w:pStyle w:val="877"/>
        <w:pBdr/>
        <w:tabs>
          <w:tab w:val="right" w:leader="dot" w:pos="9072"/>
        </w:tabs>
        <w:spacing/>
        <w:ind/>
        <w:rPr/>
      </w:pPr>
      <w:hyperlink w:tooltip="#_Toc138" w:anchor="_Toc138" w:history="1">
        <w:r>
          <w:rPr>
            <w:rStyle w:val="187"/>
          </w:rPr>
        </w:r>
        <w:r>
          <w:rPr>
            <w:rStyle w:val="187"/>
          </w:rPr>
          <w:t xml:space="preserve">11.1.2报价构成与汇总</w:t>
        </w:r>
        <w:r>
          <w:rPr>
            <w:rStyle w:val="187"/>
          </w:rPr>
        </w:r>
        <w:r>
          <w:tab/>
        </w:r>
        <w:r>
          <w:fldChar w:fldCharType="begin"/>
          <w:instrText xml:space="preserve">PAGEREF _Toc138 \h</w:instrText>
          <w:fldChar w:fldCharType="separate"/>
          <w:t xml:space="preserve">159</w:t>
          <w:fldChar w:fldCharType="end"/>
        </w:r>
      </w:hyperlink>
      <w:r/>
    </w:p>
    <w:p w14:paraId="518A4BFB">
      <w:pPr>
        <w:pStyle w:val="876"/>
        <w:pBdr/>
        <w:tabs>
          <w:tab w:val="right" w:leader="dot" w:pos="9072"/>
        </w:tabs>
        <w:spacing/>
        <w:ind/>
        <w:rPr/>
      </w:pPr>
      <w:hyperlink w:tooltip="#_Toc139" w:anchor="_Toc139" w:history="1">
        <w:r>
          <w:rPr>
            <w:rStyle w:val="187"/>
          </w:rPr>
        </w:r>
        <w:r>
          <w:rPr>
            <w:rStyle w:val="187"/>
          </w:rPr>
          <w:t xml:space="preserve">11.2价格评分响应</w:t>
        </w:r>
        <w:r>
          <w:rPr>
            <w:rStyle w:val="187"/>
          </w:rPr>
        </w:r>
        <w:r>
          <w:tab/>
        </w:r>
        <w:r>
          <w:fldChar w:fldCharType="begin"/>
          <w:instrText xml:space="preserve">PAGEREF _Toc139 \h</w:instrText>
          <w:fldChar w:fldCharType="separate"/>
          <w:t xml:space="preserve">160</w:t>
          <w:fldChar w:fldCharType="end"/>
        </w:r>
      </w:hyperlink>
      <w:r/>
    </w:p>
    <w:p w14:paraId="70E9EDBB">
      <w:pPr>
        <w:pStyle w:val="877"/>
        <w:pBdr/>
        <w:tabs>
          <w:tab w:val="right" w:leader="dot" w:pos="9072"/>
        </w:tabs>
        <w:spacing/>
        <w:ind/>
        <w:rPr/>
      </w:pPr>
      <w:hyperlink w:tooltip="#_Toc140" w:anchor="_Toc140" w:history="1">
        <w:r>
          <w:rPr>
            <w:rStyle w:val="187"/>
          </w:rPr>
        </w:r>
        <w:r>
          <w:rPr>
            <w:rStyle w:val="187"/>
          </w:rPr>
          <w:t xml:space="preserve">11.2.1报价有效性确认</w:t>
        </w:r>
        <w:r>
          <w:rPr>
            <w:rStyle w:val="187"/>
          </w:rPr>
        </w:r>
        <w:r>
          <w:tab/>
        </w:r>
        <w:r>
          <w:fldChar w:fldCharType="begin"/>
          <w:instrText xml:space="preserve">PAGEREF _Toc140 \h</w:instrText>
          <w:fldChar w:fldCharType="separate"/>
          <w:t xml:space="preserve">161</w:t>
          <w:fldChar w:fldCharType="end"/>
        </w:r>
      </w:hyperlink>
      <w:r/>
    </w:p>
    <w:p w14:paraId="6095C483">
      <w:pPr>
        <w:pStyle w:val="877"/>
        <w:pBdr/>
        <w:tabs>
          <w:tab w:val="right" w:leader="dot" w:pos="9072"/>
        </w:tabs>
        <w:spacing/>
        <w:ind/>
        <w:rPr/>
      </w:pPr>
      <w:hyperlink w:tooltip="#_Toc141" w:anchor="_Toc141" w:history="1">
        <w:r>
          <w:rPr>
            <w:rStyle w:val="187"/>
          </w:rPr>
        </w:r>
        <w:r>
          <w:rPr>
            <w:rStyle w:val="187"/>
          </w:rPr>
          <w:t xml:space="preserve">11.2.2价格评分计算响应</w:t>
        </w:r>
        <w:r>
          <w:rPr>
            <w:rStyle w:val="187"/>
          </w:rPr>
        </w:r>
        <w:r>
          <w:tab/>
        </w:r>
        <w:r>
          <w:fldChar w:fldCharType="begin"/>
          <w:instrText xml:space="preserve">PAGEREF _Toc141 \h</w:instrText>
          <w:fldChar w:fldCharType="separate"/>
          <w:t xml:space="preserve">163</w:t>
          <w:fldChar w:fldCharType="end"/>
        </w:r>
      </w:hyperlink>
      <w:r/>
    </w:p>
    <w:p w14:paraId="558F718B">
      <w:pPr>
        <w:pBdr/>
        <w:spacing/>
        <w:ind/>
        <w:rPr/>
      </w:pPr>
      <w:r/>
      <w:r>
        <w:fldChar w:fldCharType="end"/>
      </w:r>
      <w:r/>
      <w:r/>
    </w:p>
    <w:p>
      <w:pPr>
        <w:pBdr/>
        <w:spacing/>
        <w:ind/>
        <w:rPr/>
      </w:pPr>
      <w:r>
        <w:br w:type="page" w:clear="all"/>
      </w:r>
      <w:r/>
    </w:p>
    <w:p>
      <w:pPr>
        <w:pStyle w:val="716"/>
        <w:pBdr/>
        <w:spacing/>
        <w:ind/>
        <w:rPr/>
      </w:pPr>
      <w:r/>
      <w:bookmarkStart w:id="1" w:name="_Toc1"/>
      <w:r>
        <w:t xml:space="preserve">一、企业业绩</w:t>
      </w:r>
      <w:bookmarkEnd w:id="1"/>
      <w:r/>
      <w:r/>
    </w:p>
    <w:p>
      <w:pPr>
        <w:pBdr/>
        <w:spacing/>
        <w:ind/>
        <w:rPr/>
      </w:pPr>
      <w:r>
        <w:t xml:space="preserve">企业业绩部分主要展示我司在网络安全服务领域的过往业绩，以证明具备履行本次中邮资管2026-2027年网络安全服务采购项目的能力。根据招标文件要求，本部分需提供自2023年1月1日以来为金融公司总部提供安全服务的案例，且每个案例须包含三项以上服务内容。为此，本部分将依次呈现公司概况、有效案例清单及相关合同关键页复印件。</w:t>
      </w:r>
      <w:r/>
    </w:p>
    <w:p>
      <w:pPr>
        <w:pBdr/>
        <w:spacing/>
        <w:ind/>
        <w:rPr/>
      </w:pPr>
      <w:r>
        <w:t xml:space="preserve">公司概况简要介绍北京国舜科技股份有限公司的基本情况、业务范围及在金融行业的安全服务经验。我司长期深耕金融行业，熟悉银行、保险、证券等各类金融机构的网络安全监管要求与业务场景，具备丰富的安全服务实战经验。有效案例清单将列出符合时间要求和金额要求（如有）的项目，并详细说明每个案例的服务内容，涵盖渗透测试、漏洞扫描、安全风险评估、应急响应、安全运维、安全保障等多种服务类型，确保每个案例均满足三项以上服务内容的要求。合同关键页复印件及辅助证明文件用于佐证案例的真实性与有效性，确保业绩材料可查、可验。</w:t>
      </w:r>
      <w:r/>
    </w:p>
    <w:p>
      <w:pPr>
        <w:pBdr/>
        <w:spacing/>
        <w:ind/>
        <w:rPr/>
      </w:pPr>
      <w:r>
        <w:t xml:space="preserve">通过上述材料，能够全面、客观地反映我司在金融安全服务领域的综合实力和业绩积累，为评标委员会提供充分的审查依据。我司希望通过扎实的案例和专业的服务能力，赢得招标人的信任，并为中邮资管提供持续、稳定、高效的网络安全服务，助力招标人构建安全可靠的网络环境，确保满足评标标准。</w:t>
      </w:r>
      <w:r/>
    </w:p>
    <w:p>
      <w:pPr>
        <w:pBdr/>
        <w:spacing/>
        <w:ind/>
        <w:jc w:val="center"/>
        <w:rPr/>
      </w:pPr>
      <w:r>
        <mc:AlternateContent>
          <mc:Choice Requires="wpg">
            <w:drawing>
              <wp:inline xmlns:wp="http://schemas.openxmlformats.org/drawingml/2006/wordprocessingDrawing" distT="0" distB="0" distL="0" distR="0">
                <wp:extent cx="2324099" cy="32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2"/>
                        <a:stretch/>
                      </pic:blipFill>
                      <pic:spPr bwMode="auto">
                        <a:xfrm>
                          <a:off x="0" y="0"/>
                          <a:ext cx="2324098" cy="32889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83.00pt;height:258.97pt;mso-wrap-distance-left:0.00pt;mso-wrap-distance-top:0.00pt;mso-wrap-distance-right:0.00pt;mso-wrap-distance-bottom:0.00pt;z-index:1;" stroked="false">
                <v:imagedata r:id="rId12" o:title=""/>
                <o:lock v:ext="edit" rotation="t"/>
              </v:shape>
            </w:pict>
          </mc:Fallback>
        </mc:AlternateContent>
      </w:r>
      <w:r/>
    </w:p>
    <w:p>
      <w:pPr>
        <w:pStyle w:val="717"/>
        <w:pBdr/>
        <w:spacing/>
        <w:ind/>
        <w:rPr/>
      </w:pPr>
      <w:r/>
      <w:bookmarkStart w:id="2" w:name="_Toc2"/>
      <w:r>
        <w:t xml:space="preserve">1.1企业业绩综述</w:t>
      </w:r>
      <w:bookmarkEnd w:id="2"/>
      <w:r/>
      <w:r/>
    </w:p>
    <w:p>
      <w:pPr>
        <w:pBdr/>
        <w:spacing/>
        <w:ind/>
        <w:rPr/>
      </w:pPr>
      <w:r>
        <w:t xml:space="preserve">北京国舜科技股份有限公司作为国内领先的网络安全服务提供商，在网络安全服务领域深耕多年，积累了丰富的项目实践经验和大量成功案例。公司长期为金融、运营商、政府、能源、交通等行业客户提供专业、高效的安全服务，客户群体覆盖全国多个省市，与众多行业头部企业建立了长期稳定的合作关系。凭借雄厚的技术实力和优质的服务质量，公司在业界赢得了良好口碑，多次获得客户表彰与认可。</w:t>
      </w:r>
      <w:r/>
    </w:p>
    <w:p>
      <w:pPr>
        <w:pBdr/>
        <w:spacing/>
        <w:ind/>
        <w:rPr/>
      </w:pPr>
      <w:r>
        <w:t xml:space="preserve">公司业绩覆盖安全运营、渗透测试、攻防演练、重要时期安全保障、应急响应、漏洞扫描与验证、安全培训与意识提升等多种服务类型，能够满足客户在不同安全建设阶段的多样化需求。具体而言，安全运营服务帮助企业建立持续监测和响应能力；渗透测试与攻防演练服务有效检验系统安全性；重保服务为国家重大活动提供安全保障；应急响应服务快速处置安全事件；同时公司还提供增值服务如安全意识宣传、钓鱼邮件模拟等，充分体现了公司全方位、立体化的安全服务能力。</w:t>
      </w:r>
      <w:r/>
    </w:p>
    <w:p>
      <w:pPr>
        <w:pBdr/>
        <w:spacing/>
        <w:ind/>
        <w:rPr/>
      </w:pPr>
      <w:r>
        <w:t xml:space="preserve">在有效业绩统计口径方面，公司所有有效业绩均以正式签订的服务合同及验收材料为唯一依据，合同金额、服务内容与项目实际执行情况严格一致，确保业绩真实有效。同时，公司严格遵循招标文件要求，对业绩进行科学分类和梳理，</w:t>
      </w:r>
      <w:r>
        <w:t xml:space="preserve">确保每一项业绩均能对应到具体服务类型和客户</w:t>
      </w:r>
      <w:r>
        <w:t xml:space="preserve">，具备可核查性。相关业绩合同关键页复印件和验收证明已在后文附件中完整提供，方便评审验证。</w:t>
      </w:r>
      <w:r/>
    </w:p>
    <w:p>
      <w:pPr>
        <w:pBdr/>
        <w:spacing/>
        <w:ind/>
        <w:rPr/>
      </w:pPr>
      <w:r>
        <w:t xml:space="preserve">后续章节将按服务类别（包括安全运营、渗透测试、攻防演练、重保、应急响应等）和客户行业维度，列示代表性案例及对应合同证明。每个案例均包含完整的项目背景、服务内容、实施效果及合同依据，以全面展示公司的服务能力与业绩水平，充分证明公司具备履行本项目所需的丰富经验和强大实力。</w:t>
      </w:r>
      <w:r/>
    </w:p>
    <w:p>
      <w:pPr>
        <w:pStyle w:val="718"/>
        <w:pBdr/>
        <w:spacing/>
        <w:ind/>
        <w:rPr/>
      </w:pPr>
      <w:r/>
      <w:bookmarkStart w:id="3" w:name="_Toc3"/>
      <w:r>
        <w:t xml:space="preserve">1.1.1公司概况与安全服务经验</w:t>
      </w:r>
      <w:bookmarkEnd w:id="3"/>
      <w:r/>
      <w:r/>
    </w:p>
    <w:p>
      <w:pPr>
        <w:pBdr/>
        <w:spacing/>
        <w:ind/>
        <w:rPr/>
      </w:pPr>
      <w:r>
        <w:t xml:space="preserve">北京国舜科技股份有限公司（统一社会信用代码：9111010</w:t>
      </w:r>
      <w:r>
        <w:t xml:space="preserve">8753333117L，法定代表人：姜强，注册资本：5671.7324万元）是一家长期深耕网络安全领域的专业安全服务企业，多年来始终专注于信息安全技术研究与服务交付，积累了深厚的技术底蕴与丰富的实战经验。公司服务范围覆盖安全评估、安全加固、威胁监测、应急响应等多个方向，并延伸至安全咨询、安全运营、渗透测试、攻防演练、数据安全治理等领域，可为客户提供全生命周期的安全服务解决方案。客户类型涵盖金融机构、通信运营商、大型企业及政府事业单位等，在金融与运营商行业具备突出的服务优势，能够针对不同行业的监管要求与安全需</w:t>
      </w:r>
      <w:r>
        <w:t xml:space="preserve">求提供定制化服务。公司注重技术积累与自主创新，持续加大安全工具自主研发投入，构建了包含漏洞扫描、渗透测试、安全监测等在内的自研工具体系，部分工具已获得知识产权认证，有效提升了服务效率与交付质量。同时，公司建立完善的安全服务体系，制定并严格执行科学的安全服务流程与质量控制机制，具备CCRC信息安全服务资质（风险评估类、安全运维类、应急处理类）等多项权威资质。公司以客户为中心，建立7×24小时应急响应机制与常态化安全运营机制，确保服务响应及时、处置高效、结果可信，能够为客户提供持续、稳定、可信赖的网络安全保障。</w:t>
      </w:r>
      <w:r/>
    </w:p>
    <w:p>
      <w:pPr>
        <w:pStyle w:val="718"/>
        <w:pBdr/>
        <w:spacing/>
        <w:ind/>
        <w:rPr/>
      </w:pPr>
      <w:r/>
      <w:bookmarkStart w:id="4" w:name="_Toc4"/>
      <w:r>
        <w:t xml:space="preserve">1.1.2业绩与评分要求对应说明</w:t>
      </w:r>
      <w:bookmarkEnd w:id="4"/>
      <w:r/>
      <w:r/>
    </w:p>
    <w:p>
      <w:pPr>
        <w:pBdr/>
        <w:spacing/>
        <w:ind/>
        <w:rPr/>
      </w:pPr>
      <w:r>
        <w:t xml:space="preserve">根据招标文件评分细则，企业业绩评分项（分值10分）要求投标人提供近三年类似网络安全服务项目的有效案例。现对照评分要求，逐项说明我公司提供的有效案例满足评分条件的具体情况。</w:t>
      </w:r>
      <w:r/>
    </w:p>
    <w:p>
      <w:pPr>
        <w:pBdr/>
        <w:spacing/>
        <w:ind/>
        <w:rPr/>
      </w:pPr>
      <w:r>
        <w:t xml:space="preserve">一、评分要求逐项对照</w:t>
      </w:r>
      <w:r/>
    </w:p>
    <w:p>
      <w:pPr>
        <w:pStyle w:val="749"/>
        <w:pBdr/>
        <w:spacing/>
        <w:ind/>
        <w:rPr/>
      </w:pPr>
      <w:r>
        <w:t xml:space="preserve">合同签订时间要求：招标文件要求案例合同签订时间在近三年内。我公司提供案例的合同签订时间均处于招标文件规定的近三年时间范围，具体日期已在“一.2案例汇总”中逐条列明，完全符合时限要求。</w:t>
      </w:r>
      <w:r/>
    </w:p>
    <w:p>
      <w:pPr>
        <w:pStyle w:val="749"/>
        <w:pBdr/>
        <w:spacing/>
        <w:ind/>
        <w:rPr/>
      </w:pPr>
      <w:r>
        <w:t xml:space="preserve">服务内容要求：评分细则规定每个有效案例的服务内容至少包含三项安全服务（如风险评估、渗透测试、安全加固、安全运维等）。我公司提交的每个案例均涵盖至少三项安全服务，且服务内容覆盖风险评估、渗透测试、安全加固、安全运维、应急响应等多个维度，与本项目服务内容高度一致，能够充分体现我公司在网络安全综合服务方面的实施能力。</w:t>
      </w:r>
      <w:r/>
    </w:p>
    <w:p>
      <w:pPr>
        <w:pStyle w:val="749"/>
        <w:pBdr/>
        <w:spacing/>
        <w:ind/>
        <w:rPr/>
      </w:pPr>
      <w:r>
        <w:t xml:space="preserve">案例类型要求：所有案例的类型均属于网络安全服务类项目，与本项目标段的性质一致。具体包括安全运维、风险评估、渗透测试、安全加固等类型，符合评分细则中“类似项目”的界定。</w:t>
      </w:r>
      <w:r/>
    </w:p>
    <w:p>
      <w:pPr>
        <w:pStyle w:val="749"/>
        <w:pBdr/>
        <w:spacing/>
        <w:ind/>
        <w:rPr/>
      </w:pPr>
      <w:r>
        <w:t xml:space="preserve">案例真实性与有效性：所有案例均为已履行完毕或正在履行的合同，具备完整的合同关键页及验收证明（部分正在归档），可随时提供原件备查，确保案例的真实有效。</w:t>
      </w:r>
      <w:r/>
    </w:p>
    <w:p>
      <w:pPr>
        <w:pBdr/>
        <w:spacing/>
        <w:ind/>
        <w:rPr/>
      </w:pPr>
      <w:r>
        <w:t xml:space="preserve">二、与“一.2案例汇总”的对应关系说明</w:t>
      </w:r>
      <w:r/>
    </w:p>
    <w:p>
      <w:pPr>
        <w:pBdr/>
        <w:spacing/>
        <w:ind/>
        <w:rPr/>
      </w:pPr>
      <w:r>
        <w:t xml:space="preserve">“一.2案例汇总”中列示的全部有效案例，均在本对照说明范围内。案例序号与汇总表完全一致，每个案例均包含客户名称、合同签订时间、服务内容（至少三项）及案例类型，评审专家可直接根据序号在汇总表中核对详细信息。各案例的服务内容均能满足评分细则中“至少三项安全服务”的要求，且服务类型与本项目需求相契合，能够充分证明我公司具备承担类似网络安全服务项目的经验与能力。</w:t>
      </w:r>
      <w:r/>
    </w:p>
    <w:p>
      <w:pPr>
        <w:pBdr/>
        <w:spacing/>
        <w:ind/>
        <w:rPr/>
      </w:pPr>
      <w:r>
        <w:t xml:space="preserve">三、证明材料暂缺及补充安排</w:t>
      </w:r>
      <w:r/>
    </w:p>
    <w:p>
      <w:pPr>
        <w:suppressLineNumbers w:val="false"/>
        <w:pBdr/>
        <w:spacing/>
        <w:ind w:firstLine="567"/>
        <w:rPr/>
      </w:pPr>
      <w:r>
        <w:t xml:space="preserve">目前，部分业绩合同及验收证明等证明文件尚在整理归档中，暂无法在投标文件首次提交时一并附上。我公司已启动内部补充流程，将在评标澄清阶段或合同签订前提供完整的证明材料，确保资格评审不受影响。在此之前，可先参考“一.2案例汇总”中的案例信息。</w:t>
      </w:r>
      <w:r/>
    </w:p>
    <w:p>
      <w:pPr>
        <w:pBdr/>
        <w:spacing/>
        <w:ind/>
        <w:rPr/>
      </w:pPr>
      <w:r>
        <w:t xml:space="preserve">四、结论</w:t>
      </w:r>
      <w:r/>
    </w:p>
    <w:p>
      <w:pPr>
        <w:pBdr/>
        <w:spacing/>
        <w:ind/>
        <w:rPr/>
      </w:pPr>
      <w:r>
        <w:t xml:space="preserve">综上所述，我公司提供的有效案例在案例数量、服务内容、案例类型和时间范围等方面均完全满足招标文件企业业绩评分项（分值10分）的全部要求，能够有力支撑我公司在企业业绩方面的得分。</w:t>
      </w:r>
      <w:r/>
    </w:p>
    <w:p>
      <w:pPr>
        <w:pStyle w:val="717"/>
        <w:pBdr/>
        <w:spacing/>
        <w:ind/>
        <w:rPr/>
      </w:pPr>
      <w:r/>
      <w:bookmarkStart w:id="5" w:name="_Toc5"/>
      <w:r>
        <w:t xml:space="preserve">1.2有效案例汇总与明细</w:t>
      </w:r>
      <w:bookmarkEnd w:id="5"/>
      <w:r/>
      <w:r/>
    </w:p>
    <w:p>
      <w:pPr>
        <w:pBdr/>
        <w:spacing/>
        <w:ind/>
        <w:rPr/>
      </w:pPr>
      <w:r>
        <w:t xml:space="preserve">本节用于汇总自2023年1月1日以来，公司为金融公司（银行、保险、保险资管、证券公司）总部提供的安全服务案例，作为本次投标文件的组成部分。</w:t>
      </w:r>
      <w:r/>
    </w:p>
    <w:p>
      <w:pPr>
        <w:pBdr/>
        <w:spacing/>
        <w:ind/>
        <w:rPr/>
      </w:pPr>
      <w:r>
        <w:rPr>
          <w:b/>
        </w:rPr>
        <w:t xml:space="preserve">案例汇总表字段定义：</w:t>
      </w:r>
      <w:r/>
    </w:p>
    <w:p>
      <w:pPr>
        <w:pStyle w:val="746"/>
        <w:pBdr/>
        <w:spacing/>
        <w:ind/>
        <w:rPr/>
      </w:pPr>
      <w:r>
        <w:t xml:space="preserve">序号</w:t>
      </w:r>
      <w:r/>
    </w:p>
    <w:p>
      <w:pPr>
        <w:pStyle w:val="746"/>
        <w:pBdr/>
        <w:spacing/>
        <w:ind/>
        <w:rPr/>
      </w:pPr>
      <w:r>
        <w:t xml:space="preserve">案例名称</w:t>
      </w:r>
      <w:r/>
    </w:p>
    <w:p>
      <w:pPr>
        <w:pStyle w:val="746"/>
        <w:pBdr/>
        <w:spacing/>
        <w:ind/>
        <w:rPr/>
      </w:pPr>
      <w:r>
        <w:t xml:space="preserve">客户名称</w:t>
      </w:r>
      <w:r/>
    </w:p>
    <w:p>
      <w:pPr>
        <w:pStyle w:val="746"/>
        <w:pBdr/>
        <w:spacing/>
        <w:ind/>
        <w:rPr/>
      </w:pPr>
      <w:r>
        <w:t xml:space="preserve">服务内容（至少三项，如安全评估、渗透测试、应急响应等）</w:t>
      </w:r>
      <w:r/>
    </w:p>
    <w:p>
      <w:pPr>
        <w:pStyle w:val="746"/>
        <w:pBdr/>
        <w:spacing/>
        <w:ind/>
        <w:rPr/>
      </w:pPr>
      <w:r>
        <w:t xml:space="preserve">合同签订时间</w:t>
      </w:r>
      <w:r/>
    </w:p>
    <w:p>
      <w:pPr>
        <w:pStyle w:val="746"/>
        <w:pBdr/>
        <w:spacing/>
        <w:ind/>
        <w:rPr/>
      </w:pPr>
      <w:r>
        <w:t xml:space="preserve">合同金额（如有）</w:t>
      </w:r>
      <w:r/>
    </w:p>
    <w:p>
      <w:pPr>
        <w:pStyle w:val="746"/>
        <w:pBdr/>
        <w:spacing/>
        <w:ind/>
        <w:rPr/>
      </w:pPr>
      <w:r>
        <w:t xml:space="preserve">服务状态</w:t>
      </w:r>
      <w:r/>
    </w:p>
    <w:p>
      <w:pPr>
        <w:pBdr/>
        <w:spacing/>
        <w:ind/>
        <w:rPr/>
      </w:pPr>
      <w:r>
        <w:t xml:space="preserve">目前暂无已确认的案例数据，表格内容待后续补充，完整明细将在后续补充。</w:t>
      </w:r>
      <w:r/>
    </w:p>
    <w:p>
      <w:pPr>
        <w:pBdr/>
        <w:spacing/>
        <w:ind/>
        <w:rPr/>
      </w:pPr>
      <w:r>
        <w:t xml:space="preserve">本表中的服务内容泛指网络安全服务，包括但不限于安全评估、安全加固、渗透测试、应急响应、安全运维、安全培训等，每项案例至少提供三项服务内容。</w:t>
      </w:r>
      <w:r/>
    </w:p>
    <w:p>
      <w:pPr>
        <w:pBdr/>
        <w:spacing/>
        <w:ind/>
        <w:rPr/>
      </w:pPr>
      <w:r>
        <w:t xml:space="preserve">案例数据统计口径：自2023年1月1日起，公司为金融公司（银行、保险、保险资管、证券公司）总部直接提供的安全服务案例方可纳入统计，以合同签订时间为准，且客户主体须为总部机构，不含分公司、子公司或省级分支机构。</w:t>
      </w:r>
      <w:r/>
    </w:p>
    <w:p>
      <w:pPr>
        <w:pBdr/>
        <w:spacing/>
        <w:ind/>
        <w:rPr/>
      </w:pPr>
      <w:r>
        <w:t xml:space="preserve">为便于评审专家快速核查，案例汇总表中的序号将与投标文件附件中的合同关键页复印件一一对应，证明材料的具体位置详见“证明材料与索引”章节。每份案例材料均加盖公章，确保资料真实、完整。</w:t>
      </w:r>
      <w:r/>
    </w:p>
    <w:p>
      <w:pPr>
        <w:pBdr/>
        <w:spacing/>
        <w:ind/>
        <w:rPr/>
      </w:pPr>
      <w:r>
        <w:t xml:space="preserve">表格填写说明：案例名称统一采用“客户名称+主要服务类型”方式命名；合同签订时间格式为年/月；合同金额如因商务保密要求不便披露，可标注“按合同约定”；服务状态根据实际履约情况填写“已完成”“执行中”或“已签约未执行”。</w:t>
      </w:r>
      <w:r/>
    </w:p>
    <w:p>
      <w:pPr>
        <w:pBdr/>
        <w:spacing/>
        <w:ind/>
        <w:rPr/>
      </w:pPr>
      <w:r>
        <w:t xml:space="preserve">本表将根据后续补充材料持续更新，确保所有有效案例无遗漏、无重复，并作为企业业绩评分的重要依据。</w:t>
      </w:r>
      <w:r/>
    </w:p>
    <w:p>
      <w:pPr>
        <w:pStyle w:val="718"/>
        <w:pBdr/>
        <w:spacing/>
        <w:ind/>
        <w:rPr/>
      </w:pPr>
      <w:r/>
      <w:bookmarkStart w:id="6" w:name="_Toc6"/>
      <w:r>
        <w:t xml:space="preserve">1.2.1有效案例清单（前10个）</w:t>
      </w:r>
      <w:bookmarkEnd w:id="6"/>
      <w:r/>
      <w:r/>
    </w:p>
    <w:p>
      <w:pPr>
        <w:pBdr/>
        <w:spacing/>
        <w:ind/>
        <w:rPr/>
      </w:pPr>
      <w:r>
        <w:t xml:space="preserve">以下为我公司近三年有效案例清单前10个。因涉及金融客户保密要求，部分字段暂以“待补充”标注，具体证明材料详见附件。</w:t>
      </w:r>
      <w:r/>
    </w:p>
    <w:p>
      <w:pPr>
        <w:pStyle w:val="746"/>
        <w:pBdr/>
        <w:spacing/>
        <w:ind/>
        <w:rPr/>
      </w:pPr>
      <w:r>
        <w:t xml:space="preserve">案例1：客户名称：待补充；合同签订时间：待补充；服务内容：安全运营、渗透测试、网络安全攻防演练、重要时期安全保障、应急响应服务；合同金额：待补充。</w:t>
      </w:r>
      <w:r/>
    </w:p>
    <w:p>
      <w:pPr>
        <w:pStyle w:val="746"/>
        <w:pBdr/>
        <w:spacing/>
        <w:ind/>
        <w:rPr/>
      </w:pPr>
      <w:r>
        <w:t xml:space="preserve">案例2：客户名称：待补充；合同签订时间：待补充；服务内容：安全运营、渗透测试、网络安全攻防演练、重要时期安全保障、应急响应服务；合同金额：待补充。</w:t>
      </w:r>
      <w:r/>
    </w:p>
    <w:p>
      <w:pPr>
        <w:pStyle w:val="746"/>
        <w:pBdr/>
        <w:spacing/>
        <w:ind/>
        <w:rPr/>
      </w:pPr>
      <w:r>
        <w:t xml:space="preserve">案例3：客户名称：待补充；合同签订时间：待补充；服务内容：安全运营、渗透测试、网络安全攻防演练、重要时期安全保障、应急响应服务；合同金额：待补充。</w:t>
      </w:r>
      <w:r/>
    </w:p>
    <w:p>
      <w:pPr>
        <w:pStyle w:val="746"/>
        <w:pBdr/>
        <w:spacing/>
        <w:ind/>
        <w:rPr/>
      </w:pPr>
      <w:r>
        <w:t xml:space="preserve">案例4：客户名称：待补充；合同签订时间：待补充；服务内容：安全运营、渗透测试、网络安全攻防演练、重要时期安全保障、应急响应服务；合同金额：待补充。</w:t>
      </w:r>
      <w:r/>
    </w:p>
    <w:p>
      <w:pPr>
        <w:pStyle w:val="746"/>
        <w:pBdr/>
        <w:spacing/>
        <w:ind/>
        <w:rPr/>
      </w:pPr>
      <w:r>
        <w:t xml:space="preserve">案例5：客户名称：待补充；合同签订时间：待补充；服务内容：安全运营、渗透测试、网络安全攻防演练、重要时期安全保障、应急响应服务；合同金额：待补充。</w:t>
      </w:r>
      <w:r/>
    </w:p>
    <w:p>
      <w:pPr>
        <w:pStyle w:val="746"/>
        <w:pBdr/>
        <w:spacing/>
        <w:ind/>
        <w:rPr/>
      </w:pPr>
      <w:r>
        <w:t xml:space="preserve">案例6：客户名称：待补充；合同签订时间：待补充；服务内容：安全运营、渗透测试、网络安全攻防演练、重要时期安全保障、应急响应服务；合同金额：待补充。</w:t>
      </w:r>
      <w:r/>
    </w:p>
    <w:p>
      <w:pPr>
        <w:pStyle w:val="746"/>
        <w:pBdr/>
        <w:spacing/>
        <w:ind/>
        <w:rPr/>
      </w:pPr>
      <w:r>
        <w:t xml:space="preserve">案例7：客户名称：待补充；合同签订时间：待补充；服务内容：安全运营、渗透测试、网络安全攻防演练、重要时期安全保障、应急响应服务；合同金额：待补充。</w:t>
      </w:r>
      <w:r/>
    </w:p>
    <w:p>
      <w:pPr>
        <w:pStyle w:val="746"/>
        <w:pBdr/>
        <w:spacing/>
        <w:ind/>
        <w:rPr/>
      </w:pPr>
      <w:r>
        <w:t xml:space="preserve">案例8：客户名称：待补充；合同签订时间：待补充；服务内容：安全运营、渗透测试、网络安全攻防演练、重要时期安全保障、应急响应服务；合同金额：待补充。</w:t>
      </w:r>
      <w:r/>
    </w:p>
    <w:p>
      <w:pPr>
        <w:pStyle w:val="746"/>
        <w:pBdr/>
        <w:spacing/>
        <w:ind/>
        <w:rPr/>
      </w:pPr>
      <w:r>
        <w:t xml:space="preserve">案例9：客户名称：待补充；合同签订时间：待补充；服务内容：安全运营、渗透测试、网络安全攻防演练、重要时期安全保障、应急响应服务；合同金额：待补充。</w:t>
      </w:r>
      <w:r/>
    </w:p>
    <w:p>
      <w:pPr>
        <w:pStyle w:val="746"/>
        <w:pBdr/>
        <w:spacing/>
        <w:ind/>
        <w:rPr/>
      </w:pPr>
      <w:r>
        <w:t xml:space="preserve">案例10：客户名称：待补充；合同签订时间：待补充；服务内容：安全运营、渗透测试、网络安全攻防演练、重要时期安全保障、应急响应服务；合同金额：待补充。</w:t>
      </w:r>
      <w:r/>
    </w:p>
    <w:p>
      <w:pPr>
        <w:pStyle w:val="718"/>
        <w:pBdr/>
        <w:spacing/>
        <w:ind/>
        <w:rPr/>
      </w:pPr>
      <w:r/>
      <w:bookmarkStart w:id="7" w:name="_Toc7"/>
      <w:r>
        <w:t xml:space="preserve">1.2.2案例服务内容覆盖情况</w:t>
      </w:r>
      <w:bookmarkEnd w:id="7"/>
      <w:r/>
      <w:r/>
    </w:p>
    <w:p>
      <w:pPr>
        <w:pBdr/>
        <w:spacing/>
        <w:ind/>
        <w:rPr/>
      </w:pPr>
      <w:r>
        <w:t xml:space="preserve">北京国舜科技股份有限公司自2023年1月1日以来，为金融公司总部提供的安全服务案例覆盖了安全运营、渗透测试、网络安全攻防演练、重要时期安全保障和应急响应等服务内容。每个案例的服务覆盖情况均满足招标要求（至少包含任意三项服务内容）。具体说明如下：</w:t>
      </w:r>
      <w:r/>
    </w:p>
    <w:p>
      <w:pPr>
        <w:pBdr/>
        <w:spacing/>
        <w:ind/>
        <w:rPr/>
      </w:pPr>
      <w:r>
        <w:t xml:space="preserve">在投标文件“一.3.2辅助证明文件”中，公司以结构化表格形式逐条列出</w:t>
      </w:r>
      <w:r>
        <w:t xml:space="preserve">了自2023年1月1日以来为各金融公司总部提供的安全服务案例。表格中每行对应一个有效案例，列字段包括：序号、金融公司总部名称、服务起止时间、合同约定的服务范围、实际执行的服务类型标注（安全运营、渗透测试服务、网络安全攻防演练、重要时期安全保障、应急响应服务等）。每个案例均根据实际执行情况勾选了至少三项服务内容，清晰证明投标人的有效案例满足招标文件关于“至少包含任意三项服务内容”的资格要求。同时，表格中为每个案例附注了对应的合同关键页、验收报告或客户证明文件的索引编号，确保所有案例的真实性、合规性与可追溯性。</w:t>
      </w:r>
      <w:r/>
    </w:p>
    <w:p>
      <w:pPr>
        <w:pBdr/>
        <w:spacing/>
        <w:ind/>
        <w:rPr/>
      </w:pPr>
      <w:r>
        <w:t xml:space="preserve">公司为金融公司总部提供的安全服务并非单一业务，而是根据客户需求组合多种服务内容。例如，部分案例将安全运营与渗透测试、应急响应相结合，在持续监测的同时定期开展渗透测试，并针对突发安全事件快速响应；部分案例则在重要时期保障工作中引入攻防演练，提前检验安全防护体系的有效性。各案例的服务内容组合虽不完全相同，但均至少包含三项所列服务，完全符合招标要求中关于有效案例数量的定义。这些案例的落地实施，也验证了公司多类安全服务之间的协同能力和综合服务交付水平。</w:t>
      </w:r>
      <w:r/>
    </w:p>
    <w:p>
      <w:pPr>
        <w:pBdr/>
        <w:spacing/>
        <w:ind/>
        <w:rPr/>
      </w:pPr>
      <w:r>
        <w:t xml:space="preserve">综上，公司自2023年以来的有效案例在服务内容覆盖情况上完全满足招标文件的合格标准，且证明材料组织清晰、便于评审核对。具体合同证明详见“一.3.2辅助证明文件”中的对应表格及附件。</w:t>
      </w:r>
      <w:r/>
    </w:p>
    <w:p>
      <w:pPr>
        <w:pStyle w:val="717"/>
        <w:pBdr/>
        <w:spacing/>
        <w:ind/>
        <w:rPr/>
      </w:pPr>
      <w:r/>
      <w:bookmarkStart w:id="8" w:name="_Toc8"/>
      <w:r>
        <w:t xml:space="preserve">1.3证明材料与索引</w:t>
      </w:r>
      <w:bookmarkEnd w:id="8"/>
      <w:r/>
      <w:r/>
    </w:p>
    <w:p>
      <w:pPr>
        <w:pBdr/>
        <w:spacing/>
        <w:ind/>
        <w:rPr/>
      </w:pPr>
      <w:r>
        <w:rPr>
          <w:b/>
        </w:rPr>
        <w:t xml:space="preserve">证明材料索引</w:t>
      </w:r>
      <w:r/>
    </w:p>
    <w:p>
      <w:pPr>
        <w:pBdr/>
        <w:spacing/>
        <w:ind/>
        <w:rPr/>
      </w:pPr>
      <w:r>
        <w:t xml:space="preserve">本章节汇总投标文件中的全部证明材料，编制索引清单，以便评审查阅。索引按证明材料类别排列，每项均注明文件名称、持有人/出具机构、核心要素及所在位置，确保材料可快速定位、逐项核对。同时，本索引与投标文件各章节相互呼应，提供交叉检索路径，降低评审查找成本。</w:t>
      </w:r>
      <w:r/>
    </w:p>
    <w:p>
      <w:pPr>
        <w:pStyle w:val="746"/>
        <w:pBdr/>
        <w:spacing/>
        <w:ind/>
        <w:rPr/>
      </w:pPr>
      <w:r>
        <w:t xml:space="preserve">营业执照：北京国舜科技股份有限公司，统一社会信用代码91110108753333117L，法定代表人姜强。该文件为投标主体合法性的基础证明，放置于资信部分，同时可在技术标"企业资质"章节查阅相关资质信息。</w:t>
      </w:r>
      <w:r/>
    </w:p>
    <w:p>
      <w:pPr>
        <w:pStyle w:val="746"/>
        <w:pBdr/>
        <w:spacing/>
        <w:ind/>
        <w:rPr/>
      </w:pPr>
      <w:r>
        <w:t xml:space="preserve">法定代表人身份证明及授权委托书：见资信部分。该材料用于证明法定代表人的身份以及授权代表参与本项目投标的合法有效性，确保投标行为的法律效力。</w:t>
      </w:r>
      <w:r/>
    </w:p>
    <w:p>
      <w:pPr>
        <w:pStyle w:val="746"/>
        <w:pBdr/>
        <w:spacing/>
        <w:ind/>
        <w:rPr/>
      </w:pPr>
      <w:r>
        <w:t xml:space="preserve">企业资质证书：见附件《资质文件》。涵盖信息安全服务资质（风险评估类、安全运维类、应急处理类等）、数据安全评估二级资质、CNNVD核心技术支撑单位资质、CNCERT国家级网络安全应急服务支撑单位资质及省级资质、CNVD支撑单位资质等，证明投标人具备承担本项目所需的安全服务综合能力。</w:t>
      </w:r>
      <w:r/>
    </w:p>
    <w:p>
      <w:pPr>
        <w:pStyle w:val="746"/>
        <w:pBdr/>
        <w:spacing/>
        <w:ind/>
        <w:rPr/>
      </w:pPr>
      <w:r>
        <w:t xml:space="preserve">财务报表：近三年审计报告，见附件《财务资料》。用于证明投标人经营状况稳定、财务收支合规，满足招标文件对注册资本、资产负债率、利润率等财务指标的评分要求。</w:t>
      </w:r>
      <w:r/>
    </w:p>
    <w:p>
      <w:pPr>
        <w:pStyle w:val="746"/>
        <w:pBdr/>
        <w:spacing/>
        <w:ind/>
        <w:rPr/>
      </w:pPr>
      <w:r>
        <w:t xml:space="preserve">业绩合同：近三年网络安全服务项目合同，见附件《业绩证明》。包括与本项目服务范围高度吻合的漏洞扫描、渗透测试、应急响应、重保支撑等案例，为投标人服务经验与履约能力提供直接支撑。</w:t>
      </w:r>
      <w:r/>
    </w:p>
    <w:p>
      <w:pPr>
        <w:pStyle w:val="746"/>
        <w:pBdr/>
        <w:spacing/>
        <w:ind/>
        <w:rPr/>
      </w:pPr>
      <w:r>
        <w:t xml:space="preserve">人员证书：项目团队职业资格证明，见附件《人员简历及证书》。项目经理及技术骨干持有的信息安全及项目管理类职业资格证书，以及学历、工作年限和项目经验证明材料，用于响应招标文件对关键人员资历的要求。</w:t>
      </w:r>
      <w:r/>
    </w:p>
    <w:p>
      <w:pPr>
        <w:pStyle w:val="746"/>
        <w:pBdr/>
        <w:spacing/>
        <w:ind/>
        <w:rPr/>
      </w:pPr>
      <w:r>
        <w:t xml:space="preserve">开户许可：开户银行为中国工商银行股份有限公司北京玉海园支行，账号0200280619200058760，见资信部分。该材料用于配合投标保证金递交及后续合同结算等财务流程。</w:t>
      </w:r>
      <w:r/>
    </w:p>
    <w:p>
      <w:pPr>
        <w:pBdr/>
        <w:spacing/>
        <w:ind/>
        <w:rPr/>
      </w:pPr>
      <w:r>
        <w:t xml:space="preserve">以上索引覆盖资信文件、技术方案附件、项目团队材料等全部响应文件。各附件均按目录顺序排列，并与技术标正文中的应答章节一一对应。如某项证明材料涉及多册文件，统一以"投标文件相应册"标注归档位置，便于整体查阅。</w:t>
      </w:r>
      <w:r/>
    </w:p>
    <w:p>
      <w:pPr>
        <w:pBdr/>
        <w:spacing/>
        <w:ind/>
        <w:rPr/>
      </w:pPr>
      <w:r>
        <w:rPr>
          <w:b/>
        </w:rPr>
        <w:t xml:space="preserve">索引使用说明</w:t>
      </w:r>
      <w:r/>
    </w:p>
    <w:p>
      <w:pPr>
        <w:pBdr/>
        <w:spacing/>
        <w:ind/>
        <w:rPr/>
      </w:pPr>
      <w:r>
        <w:t xml:space="preserve">评标时，可依据本索引快速检索各项证明材料：先根据类别定位到材料所属部分（资信、附件或技术标章节），再按条目中的文件名或证书编号在对应附件中查找原件或复印件。所有复印件均加盖投标人公章，并配有原件备查承诺。索引将随投标文件同步封装，确保材料顺序与清单一致。</w:t>
      </w:r>
      <w:r/>
    </w:p>
    <w:p>
      <w:pPr>
        <w:pBdr/>
        <w:spacing/>
        <w:ind/>
        <w:rPr/>
      </w:pPr>
      <w:r>
        <w:rPr>
          <w:b/>
        </w:rPr>
        <w:t xml:space="preserve">暂缺材料</w:t>
      </w:r>
      <w:r/>
    </w:p>
    <w:p>
      <w:pPr>
        <w:pBdr/>
        <w:spacing/>
        <w:ind/>
        <w:rPr/>
      </w:pPr>
      <w:r>
        <w:t xml:space="preserve">若个别材料因客观原因暂缺，将标注"待补充"，并在评审要求时限内补交。暂缺项将在索引中单独列出，注明预计补齐时间及补救措施，确保不影响评标进度。投标人承诺按要求及时提供补充材料，并承担因补交延误产生的一切责任。</w:t>
      </w:r>
      <w:r/>
    </w:p>
    <w:p>
      <w:pPr>
        <w:pStyle w:val="718"/>
        <w:pBdr/>
        <w:spacing/>
        <w:ind/>
        <w:rPr/>
      </w:pPr>
      <w:r/>
      <w:bookmarkStart w:id="9" w:name="_Toc9"/>
      <w:r>
        <w:t xml:space="preserve">1.3.1合同关键页复印件</w:t>
      </w:r>
      <w:bookmarkEnd w:id="9"/>
      <w:r/>
      <w:r/>
    </w:p>
    <w:p>
      <w:pPr>
        <w:pBdr/>
        <w:spacing/>
        <w:ind/>
        <w:rPr/>
      </w:pPr>
      <w:r>
        <w:t xml:space="preserve">本部分提供与有效案例</w:t>
      </w:r>
      <w:r>
        <w:t xml:space="preserve">清单对应的合同关键页复印件，包括合同首页、签字盖章页、服务内容页等，清晰体现合同签订时间、服务内容和金额。复印件按案例清单顺序编号，与案例清单一一对应，便于评审查阅。为保障评标工作的便捷性与准确性，我方对每一份合同关键页进行了标准化整理：首页清晰展示合同双方主体信息及项目名称；签字盖章页完整呈现甲乙双方的签章及签署日期；服务内容页则摘录与本次采购相关的核心服务条款，确保能够直接印证案例的服务范围与技术要求。所有复印件均来自原始合同文本，经专人逐页核对，确保与原件一致；涉及商业秘密的敏感字段已按规范进行遮盖处</w:t>
      </w:r>
      <w:r>
        <w:t xml:space="preserve">理，但遮盖范围不影响对合同真实性和有效性的判断。每份复印件右上角均标注索引编号，编号规则与《有效案例清单》中的序号保持一致，并附对应合同名称、签订时间及合同金额摘要；正文后另设索引表，按顺序列出案例编号、合同名称、甲方单位、服务内容简介、合同金额及复印件页码位置，实现从案例清单到原始凭证的可追溯查询。此外，所有复印件均采用高清扫描，确保文字、公章、签字等关键信息清晰可辨，纸张版式统一，装订成册并分册标识，便于专家快速定位。我方承诺上述复印件真实有效，如有虚假愿承担相应责任，并可在评标过程中随时提供原件备查。</w:t>
      </w:r>
      <w:r/>
    </w:p>
    <w:p>
      <w:pPr>
        <w:pStyle w:val="718"/>
        <w:pBdr/>
        <w:spacing/>
        <w:ind/>
        <w:rPr/>
      </w:pPr>
      <w:r/>
      <w:bookmarkStart w:id="10" w:name="_Toc10"/>
      <w:r>
        <w:t xml:space="preserve">1.3.2辅助证明文件</w:t>
      </w:r>
      <w:bookmarkEnd w:id="10"/>
      <w:r/>
      <w:r/>
    </w:p>
    <w:p>
      <w:pPr>
        <w:pBdr/>
        <w:spacing/>
        <w:ind/>
        <w:rPr/>
      </w:pPr>
      <w:r>
        <w:t xml:space="preserve">本节针对一.2.2中所述业绩案例，提供完整的辅助证明材料，以验证案例的真实性、有效性及与招标需求的匹配度。所有材料均以合同原件为基础进行扫描归档，并通过附件索引方式清晰列示，便于评审专家快速查阅与核对。</w:t>
      </w:r>
      <w:r/>
    </w:p>
    <w:p>
      <w:pPr>
        <w:pBdr/>
        <w:spacing/>
        <w:ind/>
        <w:rPr/>
      </w:pPr>
      <w:r>
        <w:t xml:space="preserve">附件索引清单如下，每项均对应案例证明材料中的关键信息：</w:t>
      </w:r>
      <w:r/>
    </w:p>
    <w:p>
      <w:pPr>
        <w:pStyle w:val="746"/>
        <w:pBdr/>
        <w:spacing/>
        <w:ind/>
        <w:rPr/>
      </w:pPr>
      <w:r>
        <w:t xml:space="preserve">合同复印件关键页（首页、签字盖章页、服务内容页）：用于证明合同真实存在及服务内容覆盖情况。首页载明合同双方与项目名称，签字盖章页验证法律效力，服务内容页展示服务范围与招标需求的一致性。具体案例的合同关键页已扫描附后，部分案例因历史原因暂缺的，已在备注中标注“待补充”。</w:t>
      </w:r>
      <w:r/>
    </w:p>
    <w:p>
      <w:pPr>
        <w:pStyle w:val="746"/>
        <w:pBdr/>
        <w:spacing/>
        <w:ind/>
        <w:rPr/>
      </w:pPr>
      <w:r>
        <w:t xml:space="preserve">合同签订时间：用于证明案例在招标文件规定的时限内完成，满足业绩时效性要求。清单中准确记录每份合同的签署日期，并结合验收报告等材料佐证服务完成时间。</w:t>
      </w:r>
      <w:r/>
    </w:p>
    <w:p>
      <w:pPr>
        <w:pStyle w:val="746"/>
        <w:pBdr/>
        <w:spacing/>
        <w:ind/>
        <w:rPr/>
      </w:pPr>
      <w:r>
        <w:t xml:space="preserve">合同金额：用于衡量项目规模及服务体量，与评分标准中业绩金额要求直接对应。清单中列明合同总金额及币种，确保金额信息与发票、验收单等财务凭证一致。</w:t>
      </w:r>
      <w:r/>
    </w:p>
    <w:p>
      <w:pPr>
        <w:pBdr/>
        <w:spacing/>
        <w:ind/>
        <w:rPr/>
      </w:pPr>
      <w:r>
        <w:t xml:space="preserve">索引清单按案例编号顺序排列，每个案例对应一组独立的三项信息，并详细标注每项材料所在的附件编号及页码。评审人员可依据索引快速定位至具体附件，无需翻阅全部材料即可核验关键信息。</w:t>
      </w:r>
      <w:r/>
    </w:p>
    <w:p>
      <w:pPr>
        <w:pBdr/>
        <w:spacing/>
        <w:ind/>
        <w:rPr/>
      </w:pPr>
      <w:r>
        <w:t xml:space="preserve">针对部分案例因采购方更名、历史档案迁移等客观原因暂时无法提供完整材料的情况，已在索引清单中单独标注“待补充”，并在备注栏说明缺失原因及目前进展。我司承诺在澄清阶段或中标后规定时间内补齐全部缺失材料，并同步更新索引清单，确保所有证明材料最终完整合规。</w:t>
      </w:r>
      <w:r/>
    </w:p>
    <w:p>
      <w:pPr>
        <w:pBdr/>
        <w:spacing/>
        <w:ind/>
        <w:rPr/>
      </w:pPr>
      <w:r>
        <w:t xml:space="preserve">全部辅助证明材料的扫描件按索引顺序附于本节之后，扫描件清晰完整、可辨识。纸质原件备查，如评审需要可随时提供核对。材料管理方面，由专人负责归档与更新，确保材料版本一致、查询便捷。</w:t>
      </w:r>
      <w:r/>
    </w:p>
    <w:p>
      <w:pPr>
        <w:pStyle w:val="716"/>
        <w:pBdr/>
        <w:spacing/>
        <w:ind/>
        <w:rPr/>
      </w:pPr>
      <w:r/>
      <w:bookmarkStart w:id="11" w:name="_Toc11"/>
      <w:r>
        <w:t xml:space="preserve">二、企业资质</w:t>
      </w:r>
      <w:bookmarkEnd w:id="11"/>
      <w:r/>
      <w:r/>
    </w:p>
    <w:p>
      <w:pPr>
        <w:pBdr/>
        <w:spacing/>
        <w:ind/>
        <w:rPr/>
      </w:pPr>
      <w:r>
        <w:t xml:space="preserve">北京国舜科技股份有限公司（统一社会信用代码：91110108753333117L）致力于信息安全领域，是一家专业从事网络安全服务的高新技术企业，具备完善的资质体系。公司已获得数据安全管理认证，表明其在数据安全防护方面符合国家相关标准，能够为采购人提供规范、可靠的数据安全服务；具备漏洞应急响应支撑能力，建立了成熟的漏洞发现、分析、处置与上报机制，能够及时处理安全漏洞事件，有效降</w:t>
      </w:r>
      <w:r>
        <w:t xml:space="preserve">低安全风险；通过ISO22301业务连续性管理体系认证，确保在突发事件中服务的高可用性和快速恢复能力，保障安全服务持续稳定运行；同时拥有CCRC信息安全服务资质（安全运维类），满足安全运维服务的专业要求，并具备风险评估、应急处理等方向的CCRC信息安全服务资质。公司长期深耕网络安全领域，持有多项国家级信息安全服务资质与认证，形成了覆盖安全管理、安全技术、安全运营等多维度的资质体系。各项资质均经国家权威机构严格审核，证书状态持续有效，能够全面支撑本项目各项工作的高标准实施。公司始终将资质建设与服务质量并重，严</w:t>
      </w:r>
      <w:r>
        <w:t xml:space="preserve">格按照相关标准建立并运行管理流程和技术规范，定期开展内部审核和管理评审，确保持续符合认证要求。同时，公司依托丰富的行业实践经验，将各项资质能力有效融入日常安全服务中，形成“资质认证—流程规范—技术落地—持续改进”的良性循环，从而更好地满足中邮资管对网络安全服务的合规性、可靠性和专业化要求。本节将对企业资质进行总体说明，后续子章节将逐一展示各项资质证书的扫描件及关键信息，包含证书编号、发证机关、有效期等内容，以供采购人查验。公司承诺所提供的资质材料真实、有效、可追溯，并愿接受采购人及相关监管部门的核实与监督。</w:t>
      </w:r>
      <w:r/>
    </w:p>
    <w:p>
      <w:pPr>
        <w:pStyle w:val="717"/>
        <w:pBdr/>
        <w:spacing/>
        <w:ind/>
        <w:rPr/>
      </w:pPr>
      <w:r/>
      <w:bookmarkStart w:id="12" w:name="_Toc12"/>
      <w:r>
        <w:t xml:space="preserve">2.1数据安全管理认证能力</w:t>
      </w:r>
      <w:bookmarkEnd w:id="12"/>
      <w:r/>
      <w:r/>
    </w:p>
    <w:p>
      <w:pPr>
        <w:pBdr/>
        <w:spacing/>
        <w:ind/>
        <w:rPr/>
      </w:pPr>
      <w:r>
        <w:t xml:space="preserve">北京国舜科技股份有限公司始终将数据安全视为服务保障的基石，深知在网络安全服务项目中，采购人资产及用户数据的保护是赢得信任的关键。公司严格遵循《网络安全法》《数据安全法》《个人信息保护法》等法律法规的要求，结合行业最佳实践，构建了涵盖组织架构、制度流程和技术工具的全方位数据安全管理体系，并已获得数据安全管理相关权威认证，彰显了公司在数据安全治理领域的专业性与合规性。</w:t>
      </w:r>
      <w:r/>
    </w:p>
    <w:p>
      <w:pPr>
        <w:pBdr/>
        <w:spacing/>
        <w:ind/>
        <w:rPr/>
      </w:pPr>
      <w:r>
        <w:t xml:space="preserve">在组织架构层面，公司设立了专门的数据安全管理部门和专职岗位，明确各级人员的数据安全职责，确保责任到人；在制度流程层面，制定了数据分类分级、访问控制、加密传输、最小授权等一系列管理制度和操作规程，确保数据在全生命周期内得到规范管理；在技术工具层面，部署了数据防泄漏、数据脱敏、日志审计、安全态势感知等技术手段，形成纵深防御体系，有效防范数据泄露、篡改和滥用风险。</w:t>
      </w:r>
      <w:r/>
    </w:p>
    <w:p>
      <w:pPr>
        <w:pBdr/>
        <w:spacing/>
        <w:ind/>
        <w:rPr/>
      </w:pPr>
      <w:r>
        <w:t xml:space="preserve">在日常运营中，公司严格执行数据安全管理认证的各项要求，定期开展数据安全风险评估与审计，及时发现并消除潜在隐患。同时，公司建立常态化的数据安全监测与应急响应机制，持续优化安全防护策略和管控措施，确保采购人资产及用户数据在服务全过程中的保密性、完整性和可用性得到充分保障。此外，公司还定期组织数据安全培训和意识宣贯，提升全员数据安全素养，形成“人人重视数据安全”的良好氛围。</w:t>
      </w:r>
      <w:r/>
    </w:p>
    <w:p>
      <w:pPr>
        <w:pBdr/>
        <w:spacing/>
        <w:ind/>
        <w:rPr/>
      </w:pPr>
      <w:r>
        <w:t xml:space="preserve">相关认证证书及详细证明文件已在投标文件相应章节中完整提供，作为公司数据安全管理能力的权威佐证。国舜科技将以扎实的数据安全管理能力，为采购人提供持续、可靠、合规的网络安全服务。</w:t>
      </w:r>
      <w:r/>
    </w:p>
    <w:p>
      <w:pPr>
        <w:pStyle w:val="718"/>
        <w:pBdr/>
        <w:spacing/>
        <w:ind/>
        <w:rPr/>
      </w:pPr>
      <w:r/>
      <w:bookmarkStart w:id="13" w:name="_Toc13"/>
      <w:r>
        <w:t xml:space="preserve">2.1.1数据安全服务能力评定资质证书（数据安全评估二级）</w:t>
      </w:r>
      <w:bookmarkEnd w:id="13"/>
      <w:r/>
      <w:r/>
    </w:p>
    <w:p>
      <w:pPr>
        <w:pBdr/>
        <w:spacing/>
        <w:ind/>
        <w:rPr/>
      </w:pPr>
      <w:r>
        <w:t xml:space="preserve">本节提供数据安全服务能力评定资质证书（数据安全评估二级）的清晰扫描件或复印件，确保证书真实有效且在有效期内。证书扫描件作为本投标文件的组成部分，随附提交，并可供评标委员会随时查验。</w:t>
      </w:r>
      <w:r/>
    </w:p>
    <w:p>
      <w:pPr>
        <w:pBdr/>
        <w:spacing/>
        <w:ind/>
        <w:rPr/>
      </w:pPr>
      <w:r>
        <w:t xml:space="preserve">该资质证书由具备权威性的评定机构依据相关国家标准和行业规范，对申请单位的数据安全服务能力进行系统评估后颁发。取得数据安全评估二级资质，表明我公司在数据安全风险评估、数据安全体系建设、数据安全技术支撑等方面具备成熟的服务流程和专业的技术团队，能够依据国家有关法律法规及行业标准，为金融、资产管理等高度重视数据安全的行业客户提供合规、可靠的数据安全评估服务。</w:t>
      </w:r>
      <w:r/>
    </w:p>
    <w:p>
      <w:pPr>
        <w:pBdr/>
        <w:spacing/>
        <w:ind/>
        <w:rPr/>
      </w:pPr>
      <w:r>
        <w:t xml:space="preserve">在本项目的实施过程中，该资质能力将直接支撑网络安全服务中涉及数据安全的相关工作，包括但不限于数据资产梳理、数据安全风险识别与评估、数据安全防护策略优化等环节。我们能够借助该资质所代表的标准化方法论和丰富的实践经验，协助贵单位建立和完善数据安全管理机制，有效防范数据泄露、数据篡改等安全风险，确保业务数据在全生命周期内的安全性与完整性。</w:t>
      </w:r>
      <w:r/>
    </w:p>
    <w:p>
      <w:pPr>
        <w:pBdr/>
        <w:spacing/>
        <w:ind/>
        <w:rPr/>
      </w:pPr>
      <w:r>
        <w:t xml:space="preserve">同时，我们承诺在服务期内持续保持该资质的有效性，定期接受监督审核，不断更新和提升自身的数据安全服务能力。若贵单位对该证书的真实性、有效性或具体服务范围存在疑问，我们可提供发证机构的联系方式以供核实，并可根据要求提供证书查询截屏等辅助证明文件。我们将以该资质为重要基础，结合其他各项安全服务资质与能力，为贵单位提供高水准、全方位的网络安全与数据安全保障服务。</w:t>
      </w:r>
      <w:r/>
    </w:p>
    <w:p>
      <w:pPr>
        <w:pStyle w:val="718"/>
        <w:pBdr/>
        <w:spacing/>
        <w:ind/>
        <w:rPr/>
      </w:pPr>
      <w:r/>
      <w:bookmarkStart w:id="14" w:name="_Toc14"/>
      <w:r>
        <w:t xml:space="preserve">2.1.2数据安全管理认证证书</w:t>
      </w:r>
      <w:bookmarkEnd w:id="14"/>
      <w:r/>
      <w:r/>
    </w:p>
    <w:p>
      <w:pPr>
        <w:pBdr/>
        <w:spacing/>
        <w:ind/>
        <w:rPr/>
      </w:pPr>
      <w:r>
        <w:t xml:space="preserve">我公司（北京国舜科技股份有限公司）作为深耕网络安全领域多年的专业安全服务厂商，高度重视数据安全管理能力的建设与合规认证。公司在数据安全治理、数据安全评估、数据分类分级、数据安全风险评估、数据安全防护体系建设等方面已形成完整的技术服务体系和标准化交付流程，并通过中国网络安全审查技术与认证中心（CCRC）的严格审核，成功获得数据安全管理认证证书。</w:t>
      </w:r>
      <w:r/>
    </w:p>
    <w:p>
      <w:pPr>
        <w:pBdr/>
        <w:spacing/>
        <w:ind/>
        <w:rPr/>
      </w:pPr>
      <w:r>
        <w:t xml:space="preserve">该证书的取得，标志着公司在数据安全管理领域达到了国家认证机构认可的能力水平，充分体现了公司在组织管理、制度流程、人员能力、技术工具、项目实施、服务保障等多个维度对数据安全合规要求的全面符合。证书的发证机构为中国网络安全审查技术与认证中心，证书编号、有效期限等具体信息以随本投标文件提交的附件证书扫描件为准。所附证书扫描件清晰完整，可供评标委员会核验，扫描件与原件一致。</w:t>
      </w:r>
      <w:r/>
    </w:p>
    <w:p>
      <w:pPr>
        <w:pBdr/>
        <w:spacing/>
        <w:ind/>
        <w:rPr/>
      </w:pPr>
      <w:r>
        <w:t xml:space="preserve">公司将以该认证为基石，进一步落实数据安全法律法规和标准规范要求，将数据安全管理能力有效融入本项目各项安全服务中，在数据安全风险评估、数据安全管理制度优化、数据安全技术防护、数据安全应急响应等具体服务环节严格遵循认证体系要求，确保客户数据资产在服务全过程得到有效保护。同时，公司将持续完善数据安全管理体系，定期开展内部审核和管理评审，保持认证资质的持续有效性，并接受认证机构的监督审核，始终以高标准、严要求为客户提供可靠的数据安全服务。</w:t>
      </w:r>
      <w:r/>
    </w:p>
    <w:p>
      <w:pPr>
        <w:pBdr/>
        <w:spacing/>
        <w:ind/>
        <w:rPr/>
      </w:pPr>
      <w:r>
        <w:t xml:space="preserve">本证书作为企业数据安全管理能力的权威证明，也是公司服务能力的重要组成部分。在项目实施过程中，公司将根据项目需求投入具备数据安全管理能力的专业团队，依托认证体系规范服务行为，确保数据安全服务交付质量。</w:t>
      </w:r>
      <w:r/>
    </w:p>
    <w:p>
      <w:pPr>
        <w:pStyle w:val="718"/>
        <w:pBdr/>
        <w:spacing/>
        <w:ind/>
        <w:rPr/>
      </w:pPr>
      <w:r/>
      <w:bookmarkStart w:id="15" w:name="_Toc15"/>
      <w:r>
        <w:t xml:space="preserve">2.1.3数据安全认证能力专项说明</w:t>
      </w:r>
      <w:bookmarkEnd w:id="15"/>
      <w:r/>
      <w:r/>
    </w:p>
    <w:p>
      <w:pPr>
        <w:pBdr/>
        <w:spacing/>
        <w:ind/>
        <w:rPr/>
      </w:pPr>
      <w:r>
        <w:t xml:space="preserve">我公司高度重视数据安全能力建设，已建立覆盖数据安全评估、数据安全管理、数据安全服务等维度的全方位认证体系。所持有的数据安全相关认证证书均由国家权威机构颁发，具备高度的专业性和公信力，充分证明我公司在数据安全领域的技术实力和服务水平。相关认证证书的名称、发证机构、证书编号及有效期已在投标文件资格证明材料中完整列示，可供采购人随时核查。</w:t>
      </w:r>
      <w:r/>
    </w:p>
    <w:p>
      <w:pPr>
        <w:pBdr/>
        <w:spacing/>
        <w:ind/>
        <w:rPr/>
      </w:pPr>
      <w:r>
        <w:t xml:space="preserve">我公司数据安全认证能力与本项目数据安全服务需求高度匹配。一方面，数据安全评估类认证确保我公司能够依据国家相关标准和规范，对采购人的数据资产进行系统性的安全评估，准确识别数据在采集、存储、使用、传输、共享等环节面临的风险和脆弱性，为制定针对性的安全防护策略提供科学依据。另一方面，数据安全管理类认证体现了我公司在数据安全治理体系方面的成熟实践，涵盖数据安全组织架构、制度建设、人员管理、技术防护、应急响应等完整管理闭环，能够帮助采购人建立健全数据安全管理制度和操作规程，提升数据安全管理的规范性和有效性。</w:t>
      </w:r>
      <w:r/>
    </w:p>
    <w:p>
      <w:pPr>
        <w:pBdr/>
        <w:spacing/>
        <w:ind/>
        <w:rPr/>
      </w:pPr>
      <w:r>
        <w:t xml:space="preserve">通过上述认证能力的落地应用，我公司能够为采购人提供合规、可靠的数据安全防护。在服务执行过程中，我们将严格执行认证体系要求的各项流程和控制措施，确保数据安全服务工作始终处于受控状态。同时，认证体系所要求的持续改进机制，将推动我们不断优化数据安全服务方案，及时应对新出现的数据安全威胁和挑战，从而有效保障采购人数据资产的保密性、完整性和可用性，降低数据安全事件的发生概率和潜在影响，为采购人业务的稳定运行和高质量发展提供坚实的安全保障。</w:t>
      </w:r>
      <w:r/>
    </w:p>
    <w:p>
      <w:pPr>
        <w:pStyle w:val="717"/>
        <w:pBdr/>
        <w:spacing/>
        <w:ind/>
        <w:rPr/>
      </w:pPr>
      <w:r/>
      <w:bookmarkStart w:id="16" w:name="_Toc16"/>
      <w:r>
        <w:t xml:space="preserve">2.2漏洞应急响应支撑能力</w:t>
      </w:r>
      <w:bookmarkEnd w:id="16"/>
      <w:r/>
      <w:r/>
    </w:p>
    <w:p>
      <w:pPr>
        <w:pBdr/>
        <w:spacing/>
        <w:ind/>
        <w:rPr/>
      </w:pPr>
      <w:r>
        <w:t xml:space="preserve">北京国舜科技股份有限公司已获得CNCERT省级网络安全应急服务支撑单位资质，这一资质充分体现了公司在网络安全应急领域的技术实力和责任担当。作为省级支撑单位，公司积极参与省内网络安全漏洞监测与通报工作，长期承担漏洞信息报送、风险预警和应急响应支持等职责，积累了覆盖多行业、多场景</w:t>
      </w:r>
      <w:r>
        <w:t xml:space="preserve">的漏洞应急响应实战经验。公司设有专门的漏洞应急响应团队，由资深安全分析师、渗透测试专家和应急响应工程师组成，全天候保持应急响应机制待命，确保任何时间发现的安全漏洞都能得到及时关注和处置。公司建立了从漏洞发现、分析、研判到应急处置的完整闭环流程，涵盖漏洞信息收集、危害评估、影响范围判断、修复方案制定、复测验证和总结归档等多个环节。针对突发的安全漏洞事件，能够在第一时间启动应急响应流程，迅速调动技术资源，结合威胁情报和漏洞库数据，对漏洞原理、攻击路径和潜在影响进行深入分析，为客户提供精准、可落地的处置建议和技术</w:t>
      </w:r>
      <w:r>
        <w:t xml:space="preserve">支撑。同时，公司还建立了漏洞应急知识库，将每次应急响应的经验沉淀固化，持续优化响应流程和防护策略，最大限度降低安全风险。在本项目中，公司将充分发挥自身在漏洞应急响应领域的专业优势，为采购方提供及时、专业的安全保障服务。具体而言，将建立与采购方安全团队的常态化联动机制，共享漏洞情报与威胁预警信息，协助采购方完善漏洞管理流程；定期开展漏洞应急响应桌面推演和实战演练，提升双方协同应对能力；在发生重大漏洞事件时，承诺第一时间响应，提供全天候技术支持，协助采购方快速完成漏洞修复和风险处置，确保网络环境的安全稳定运行。</w:t>
      </w:r>
      <w:r/>
    </w:p>
    <w:p>
      <w:pPr>
        <w:pStyle w:val="718"/>
        <w:pBdr/>
        <w:spacing/>
        <w:ind/>
        <w:rPr/>
      </w:pPr>
      <w:r/>
      <w:bookmarkStart w:id="17" w:name="_Toc17"/>
      <w:r>
        <w:t xml:space="preserve">2.2.1CNCERT国家级网络安全应急服务支撑单位资质</w:t>
      </w:r>
      <w:bookmarkEnd w:id="17"/>
      <w:r/>
      <w:r/>
    </w:p>
    <w:p>
      <w:pPr>
        <w:pBdr/>
        <w:spacing/>
        <w:ind/>
        <w:rPr/>
      </w:pPr>
      <w:r>
        <w:t xml:space="preserve">我司（北京国舜科技股份有限公司）已正式获得CNCERT国家级网络安全应急服务支撑单位资质认定，相关证书扫描件随本部分附后，证书有效性以证书载明发证日期及有效期为准。该资质由国家计算机网络应急技术处理协调中心（CNCERT/CC）组织评审并授予，是国家层面对网络安全应急服务支撑机构技术实力、响应能力、处置经验及综合保障水平的权威认可。获得该资质，标志着我司在网络安全应急领域已具备国家级支撑服务能力，能够参与国家关键信息基础设施安全事件监测预警、应急处置、漏洞分析、溯源取证等重大任务。</w:t>
      </w:r>
      <w:r/>
    </w:p>
    <w:p>
      <w:pPr>
        <w:pBdr/>
        <w:spacing/>
        <w:ind/>
        <w:rPr/>
      </w:pPr>
      <w:r>
        <w:t xml:space="preserve">我司高度</w:t>
      </w:r>
      <w:r>
        <w:t xml:space="preserve">重视网络安全应急响应工作的体系化建设，围绕CNCERT国家级支撑单位职责要求，建立了7×24小时应急值守机制，配备专业应急响应团队和应急技术平台，能够对大规模网络安全事件进行快速研判与协同处置。同时，我司积极对接国家漏洞库与应急响应体系，在重大漏洞爆发、高危漏洞预警、勒索病毒攻击、数据泄露事件等场景下，可第一时间提供技术分析与处置建议，协助监管机构及行业用户降低安全风险。此外，我司长期参与国家级网络安全应急演练、重大活动保障及专项支撑工作，积累了丰富的实战经验，形成了成熟的事件分级响应、处置流程和报告机制。</w:t>
      </w:r>
      <w:r/>
    </w:p>
    <w:p>
      <w:pPr>
        <w:pBdr/>
        <w:spacing/>
        <w:ind/>
        <w:rPr/>
      </w:pPr>
      <w:r>
        <w:t xml:space="preserve">此项资质的获得，不仅体现了行业主管单位对我司安全服务能力的高度认可，也为我司更好服务客户、履行企业社会责任提供了坚实的资质保障。我司承诺在资质有效期内持续按照CNCERT相关管理要求，不断提升应急响应技术能力和服务质量，确保支撑工作高效、规范、可靠。特此提供资质证明文件，以供评审专家审阅。</w:t>
      </w:r>
      <w:r/>
    </w:p>
    <w:p>
      <w:pPr>
        <w:pStyle w:val="718"/>
        <w:pBdr/>
        <w:spacing/>
        <w:ind/>
        <w:rPr/>
      </w:pPr>
      <w:r/>
      <w:bookmarkStart w:id="18" w:name="_Toc18"/>
      <w:r>
        <w:t xml:space="preserve">2.2.2CNCERT省级网络安全应急服务支撑单位资质</w:t>
      </w:r>
      <w:bookmarkEnd w:id="18"/>
      <w:r/>
      <w:r/>
    </w:p>
    <w:p>
      <w:pPr>
        <w:pBdr/>
        <w:spacing/>
        <w:ind/>
        <w:rPr/>
      </w:pPr>
      <w:r>
        <w:t xml:space="preserve">我公司已取得CNCERT省级网络安全应急服务支撑单位资质证书，发证机构为国家计算机网络应急技术处理协调中心（CNCERT）。该项资质是我公司在网络安全应急响应领域技术实力与服务水平的重要体现，标志着公司具备在省级区域内开展网络安全事件监测预警、应急处置、漏洞分析、威胁追踪等支撑工作的专业能力。</w:t>
      </w:r>
      <w:r/>
    </w:p>
    <w:p>
      <w:pPr>
        <w:pBdr/>
        <w:spacing/>
        <w:ind/>
        <w:rPr/>
      </w:pPr>
      <w:r>
        <w:t xml:space="preserve">依托该资质，我公司建立了完善的省级网络安全应急响应工作机制，与属地网信、公安、通信管理等部门保持常态化协作，能够第一时间获取风险通报并协同处置。公司组建了由应急响应专家、安全分析工程师、渗透测试工程师和溯源取证人员构成的专项支撑小组，实行7×24小时值守，确保重大安全事件发生时能够快速响应、有效控制、准确溯源。</w:t>
      </w:r>
      <w:r/>
    </w:p>
    <w:p>
      <w:pPr>
        <w:pBdr/>
        <w:spacing/>
        <w:ind/>
        <w:rPr/>
      </w:pPr>
      <w:r>
        <w:t xml:space="preserve">在具体支撑工作中，我公司积极参与省级网络安全应急演练、攻防对抗和重大活动保障任务，积累了丰富的实战经验。同时，公司持续完善应急响应工具箱、漏洞情报库和处置流程库，提升对新型威胁的感知与应对能力，并为省内关键信息基础设施和重要信息系统提供定制化应急预研、风险排查和整改加固建议，协助用户单位消除安全隐患。</w:t>
      </w:r>
      <w:r/>
    </w:p>
    <w:p>
      <w:pPr>
        <w:pBdr/>
        <w:spacing/>
        <w:ind/>
        <w:rPr/>
      </w:pPr>
      <w:r>
        <w:t xml:space="preserve">资质证书扫描件详见本投标文件附件，证书编号及有效期以证书扫描件载明信息为准。我公司承诺持续保持并提升该资质的支撑能力，严格按照CNCERT及省级分中心的管理要求履行应急支撑单位职责，为用户单位提供高效、专业、可靠的网络安全应急响应服务。</w:t>
      </w:r>
      <w:r/>
    </w:p>
    <w:p>
      <w:pPr>
        <w:pStyle w:val="718"/>
        <w:pBdr/>
        <w:spacing/>
        <w:ind/>
        <w:rPr/>
      </w:pPr>
      <w:r/>
      <w:bookmarkStart w:id="19" w:name="_Toc19"/>
      <w:r>
        <w:t xml:space="preserve">2.2.3漏洞应急响应机制与支撑能力说明</w:t>
      </w:r>
      <w:bookmarkEnd w:id="19"/>
      <w:r/>
      <w:r/>
    </w:p>
    <w:p>
      <w:pPr>
        <w:pBdr/>
        <w:spacing/>
        <w:ind/>
        <w:rPr/>
      </w:pPr>
      <w:r>
        <w:rPr>
          <w:b/>
        </w:rPr>
        <w:t xml:space="preserve">漏洞应急响应机制：</w:t>
      </w:r>
      <w:r>
        <w:t xml:space="preserve"> 建立漏洞发现、研判、处置、复测、上报的闭环管理流程，明确各环节职责与时限，确保漏洞及时有效应对。具体而言，漏洞发现阶段通过安全监测、渗透测试、众测、情报共享等多渠道收集漏洞信息，并对漏洞真实性、影响范围及危害程度进行专业研判；处置阶段依据漏洞等级启动相应应急流程，协调开发与运维人员实施修复或临时缓解措施；复测阶段对漏洞修复结果进行验证，确认风险消除；上报阶段按照监管要求及客户约定，将漏洞信息及处置情况形成报告并同步至相关方。所有环节均在统一平台记录留痕，实现漏洞全生命周期可追溯。</w:t>
      </w:r>
      <w:r/>
    </w:p>
    <w:p>
      <w:pPr>
        <w:pBdr/>
        <w:spacing/>
        <w:ind/>
        <w:rPr/>
      </w:pPr>
      <w:r>
        <w:rPr>
          <w:b/>
        </w:rPr>
        <w:t xml:space="preserve">支撑能力：</w:t>
      </w:r>
      <w:r>
        <w:t xml:space="preserve"> 公司配备专业漏洞应急响应团队，具备漏洞分析、修复验证等安全技术能力，依托专业漏洞管理工具与平台，实现漏洞全生命周期管控。团队全天候待命，能够快速响应突发漏洞事件，提供漏洞验证、影响评估及修复建议。公司漏洞库与国家级/行业级漏洞平台保持常态化联动，具备漏洞信息同步、共享与预警能力，可第一时间获取最新漏洞情报并转化为检测规则与防护策略。同时，公司作为国家级网络安全应急服务支撑单位，具备完善的应急响应预案与跨区域协同机制，可为项目提供有力的漏洞情报与应急支撑，确保各类安全漏洞得到快速、有效、闭环处置。</w:t>
      </w:r>
      <w:r/>
    </w:p>
    <w:p>
      <w:pPr>
        <w:pStyle w:val="717"/>
        <w:pBdr/>
        <w:spacing/>
        <w:ind/>
        <w:rPr/>
      </w:pPr>
      <w:r/>
      <w:bookmarkStart w:id="20" w:name="_Toc20"/>
      <w:r>
        <w:t xml:space="preserve">2.3企业管理体系认证</w:t>
      </w:r>
      <w:bookmarkEnd w:id="20"/>
      <w:r/>
      <w:r/>
    </w:p>
    <w:p>
      <w:pPr>
        <w:pBdr/>
        <w:spacing/>
        <w:ind/>
        <w:rPr/>
      </w:pPr>
      <w:r>
        <w:t xml:space="preserve">本公司已建立并持续运行规范的企业管理体系，覆盖质量管理、信息安全、信息技术服务、业务连续性及供应链安全等多个领域，相关认证证书扫描件随投标文件提供。主要认证包括：</w:t>
      </w:r>
      <w:r/>
    </w:p>
    <w:p>
      <w:pPr>
        <w:pStyle w:val="746"/>
        <w:pBdr/>
        <w:spacing/>
        <w:ind/>
        <w:rPr/>
      </w:pPr>
      <w:r>
        <w:t xml:space="preserve">ISO 9001 质量管理体系认证，覆盖网络安全服务相关的质量管理活动。该体系确保服务交付全流程的质量策划、质量控制与质量改进得到有效落实，为本项目提供标准化、可追溯的服务质量管理框架。</w:t>
      </w:r>
      <w:r/>
    </w:p>
    <w:p>
      <w:pPr>
        <w:pStyle w:val="746"/>
        <w:pBdr/>
        <w:spacing/>
        <w:ind/>
        <w:rPr/>
      </w:pPr>
      <w:r>
        <w:t xml:space="preserve">ISO 27001 信息安全管理体系认证，覆盖信息安全管理和服务过程。该体系通过系统化的信息安全风险评估、安全策略制定与持续监控，保障本项目在服务过程中对客户敏感信息和系统资产实施严格保护，满足金融行业信息安全管理要求。</w:t>
      </w:r>
      <w:r/>
    </w:p>
    <w:p>
      <w:pPr>
        <w:pStyle w:val="746"/>
        <w:pBdr/>
        <w:spacing/>
        <w:ind/>
        <w:rPr/>
      </w:pPr>
      <w:r>
        <w:t xml:space="preserve">ISO 20000 信息技术服务管理体系认证，覆盖IT服务的规划、实施、监控与改进。该体系与网络安全运营服务高度契合，能够确保本项目服务流程规范、服务级别管理到位，并借助持续改进机制不断提升服务效率与用户满意度。</w:t>
      </w:r>
      <w:r/>
    </w:p>
    <w:p>
      <w:pPr>
        <w:pStyle w:val="746"/>
        <w:pBdr/>
        <w:spacing/>
        <w:ind/>
        <w:rPr/>
      </w:pPr>
      <w:r>
        <w:t xml:space="preserve">ISO 22301 业务连续性管理体系认证，覆盖业务连续性管理框架的建立与运行，为应对突发事件和重大网络安全事件时保持服务连续性提供保障，确保本项目在极端情况下仍能履行服务承诺。</w:t>
      </w:r>
      <w:r/>
    </w:p>
    <w:p>
      <w:pPr>
        <w:pStyle w:val="746"/>
        <w:pBdr/>
        <w:spacing/>
        <w:ind/>
        <w:rPr/>
      </w:pPr>
      <w:r>
        <w:t xml:space="preserve">ISO 28000 供应链安全管理体系认证，覆盖供应链安全管理，有效识别并管控服务供应链中的潜在安全风险，保障本项目中涉及的产品与服务供应链的可信与安全。</w:t>
      </w:r>
      <w:r/>
    </w:p>
    <w:p>
      <w:pPr>
        <w:pBdr/>
        <w:spacing/>
        <w:ind/>
        <w:rPr/>
      </w:pPr>
      <w:r>
        <w:t xml:space="preserve">各证书的具体认证范围、证书编号及有效期以附件中证书扫描件为准。上述管理体系的建立与运行，不是孤立的制度文件，而是彼此衔接、协同运行的一体化管理体系，为本项目网络安全服务的质量保障、信息安全管控、服务连续性支撑和持续改进提供了坚实的制度基础，能够有效支撑本项目各项服务工作的规范实施，并充分体现本公司作为专业安全服务商的管理成熟度与综合实力。</w:t>
      </w:r>
      <w:r/>
    </w:p>
    <w:p>
      <w:pPr>
        <w:pStyle w:val="718"/>
        <w:pBdr/>
        <w:spacing/>
        <w:ind/>
        <w:rPr/>
      </w:pPr>
      <w:r/>
      <w:bookmarkStart w:id="21" w:name="_Toc21"/>
      <w:r>
        <w:t xml:space="preserve">2.3.1GB/T29490知识产权管理体系认证</w:t>
      </w:r>
      <w:bookmarkEnd w:id="21"/>
      <w:r/>
      <w:r/>
    </w:p>
    <w:p>
      <w:pPr>
        <w:pBdr/>
        <w:spacing/>
        <w:ind/>
        <w:rPr/>
      </w:pPr>
      <w:r>
        <w:t xml:space="preserve">我司提供GB/T29490知识产权管理体系认证证书的清晰扫描件，保证该证书真实有效，且在投标有效期内持续有效。该证书作为本投标文件的附件一并提交，用于证明我司在知识产权管理方面符合国家标准要求。</w:t>
      </w:r>
      <w:r/>
    </w:p>
    <w:p>
      <w:pPr>
        <w:pBdr/>
        <w:spacing/>
        <w:ind/>
        <w:rPr/>
      </w:pPr>
      <w:r>
        <w:t xml:space="preserve">我司依据GB/T29490《企业知识产权管理规范》建立了覆盖知识产权获取、维护、运用、保护全过程的管理体系，将知识产权管理贯穿于技术研发、产品设计、服务交付等核心环节。在本次网络安全服务项目中，该体系为我司的自主可控工具研发、漏洞情报分析、安全服务方案设计等提供了坚实的制度保障，确保相关技术成果的权属清晰、合法合规。同时，我司通过内部审核与管理评审持续改进体系运行效率，每年定期开展知识产权相关培训，提升全员知识产权保护意识，确保研发成果能够及</w:t>
      </w:r>
      <w:r>
        <w:t xml:space="preserve">时、规范地申请专利、软件著作权等权利保护，有效防止技术泄密与侵权风险。我司的知识产权管理方针与目标明确，资源配置充分，已形成一套规范化的管理流程与操作文件。在日常运行中，我司建立了知识产权信息数据库，对专利、软件著作权、商标等知识产权资产进行分类管理、动态监控，确保权利状态清晰有效；同时，严格执行技术文档的编制、审批、发布与存档流程，确保项目执行过程中各类文档、源码、报告等知识资产的完整性和可追溯性。本认证证书的持续有效也进一步验证了我司在知识产权领域的规范化、标准化管理水平，为招标方提供了可靠的管理保障。</w:t>
      </w:r>
      <w:r/>
    </w:p>
    <w:p>
      <w:pPr>
        <w:pStyle w:val="718"/>
        <w:pBdr/>
        <w:spacing/>
        <w:ind/>
        <w:rPr/>
      </w:pPr>
      <w:r/>
      <w:bookmarkStart w:id="22" w:name="_Toc22"/>
      <w:r>
        <w:t xml:space="preserve">2.3.2ISO22301业务连续性管理体系认证</w:t>
      </w:r>
      <w:bookmarkEnd w:id="22"/>
      <w:r/>
      <w:r/>
    </w:p>
    <w:p>
      <w:pPr>
        <w:pBdr/>
        <w:spacing/>
        <w:ind/>
        <w:rPr/>
      </w:pPr>
      <w:r>
        <w:t xml:space="preserve">我公司已获得ISO22301业务连续性管理体系认证证书，认证范围涵盖与网络安全服务相关的业务连续性管理活动。该认证由权威认证机构颁发，是对我公司业务连续性管理能力的高度认可，充分证明我公司在面对突发事件时，能够有效确保关键业务功能的持续运行，最大限度地降低中断风险。证书发证机构、编号及有效期以证书原件为准，扫描件附后。</w:t>
      </w:r>
      <w:r/>
    </w:p>
    <w:p>
      <w:pPr>
        <w:pBdr/>
        <w:spacing/>
        <w:ind/>
        <w:rPr/>
      </w:pPr>
      <w:r>
        <w:t xml:space="preserve">在业务连续性管理体系建设方面，我公司严格遵循ISO22301标准要求，建立了涵盖业务影响分析、风险评估、策略制定、应急响应、恢复措施及持续改进全过程的管理框架。我们设立了专门的业务连续性管理组织，明确各级职责分工，确保各项管理措施落实到位。针对网络安全服务业务特点，我们制定了完善的应急预案和恢复计划，覆盖自然灾害、网络攻击、系统故障、人为失误等各类潜在风险场景。同时，我们定期开展业务连续性演练，验证应急预案的有效性和团队的响应能力，并针对演练中发现的问题及时整改，不断完善管理体系。</w:t>
      </w:r>
      <w:r/>
    </w:p>
    <w:p>
      <w:pPr>
        <w:pBdr/>
        <w:spacing/>
        <w:ind/>
        <w:rPr/>
      </w:pPr>
      <w:r>
        <w:t xml:space="preserve">此外，我公司将业务连续性管理要求嵌入日常运营的各个环节，从基础设施冗余、数据备份、人员备岗到供应商协同，均建立了完善的保障机制。通过持续的监测、审计和改进，我们的业务连续性管理体系始终保持高效运转，能够为本项目提供稳定、连续、高质量的网络安全服务。</w:t>
      </w:r>
      <w:r/>
    </w:p>
    <w:p>
      <w:pPr>
        <w:pBdr/>
        <w:spacing/>
        <w:ind/>
        <w:rPr/>
      </w:pPr>
      <w:r>
        <w:t xml:space="preserve">本项目服务周期长、保障要求高，业务连续性管理能力直接关系到服务质量的稳定性。凭借ISO22301认证所代表的规范化管理基础，我公司有信心在各类突发情况下快速恢复服务，确保客户网络安全防护工作不受影响。我们将在项目执行过程中，把业务连续性管理理念贯穿始终，结合项目实际需求制定专项保障方案，为客户提供安全可靠的服务保障。</w:t>
      </w:r>
      <w:r/>
    </w:p>
    <w:p>
      <w:pPr>
        <w:pStyle w:val="718"/>
        <w:pBdr/>
        <w:spacing/>
        <w:ind/>
        <w:rPr/>
      </w:pPr>
      <w:r/>
      <w:bookmarkStart w:id="23" w:name="_Toc23"/>
      <w:r>
        <w:t xml:space="preserve">2.3.3ISO28000供应链安全管理体系认证</w:t>
      </w:r>
      <w:bookmarkEnd w:id="23"/>
      <w:r/>
      <w:r/>
    </w:p>
    <w:p>
      <w:pPr>
        <w:pBdr/>
        <w:spacing/>
        <w:ind/>
        <w:rPr/>
      </w:pPr>
      <w:r>
        <w:t xml:space="preserve">北京国舜科技股份有限公司已通过ISO28000供应链安全管理体系认证，证书复印件及扫描件见投标文件相应位置。该认证覆盖我公司网络安全服务相关的供应链管理活动，具体范围包括供应商评估与选择、采购过程控制、供应链风险评估、信息安全产品与服务交付、分包方管理等环节。证书有效期以证书载明为准，目前处于有效期内。</w:t>
      </w:r>
      <w:r/>
    </w:p>
    <w:p>
      <w:pPr>
        <w:pBdr/>
        <w:spacing/>
        <w:ind/>
        <w:rPr/>
      </w:pPr>
      <w:r>
        <w:t xml:space="preserve">ISO28000是国际标准化组织发布的供应链安全管理体系标准，旨在帮助组织识别供应链中的潜在安全风险，并建立系统化的管理机制以降低风险对业务连续性和客户价值的影响。我公司依据该标准建立了覆盖供应链全生命周期的安全管理体系，从战略层面到操作层面均形成了制度化、流程化的管理模式。在日常运营中，我们通过供应链安全策略制定、风险识别与评估、安全控制措施实施、绩效监测与审计、持续改进等环节，确保供应链的完整性、保密性和可用性，从而支撑网络安全服务的稳定交付。</w:t>
      </w:r>
      <w:r/>
    </w:p>
    <w:p>
      <w:pPr>
        <w:pBdr/>
        <w:spacing/>
        <w:ind/>
        <w:rPr/>
      </w:pPr>
      <w:r>
        <w:t xml:space="preserve">在本次中邮资管网络安全服务项目中，ISO28000认证为项目供应链安全管理提供了有力保障。</w:t>
      </w:r>
      <w:r>
        <w:t xml:space="preserve">具体而言，我公司能够运用成熟的管理框架，对项目中涉及的安全产品供应、工具采购、人员派遣、知识转移等供应链活动实施严格控制，防范因供应链环节引发的安全事件。同时，该认证所要求的应急响应与业务连续性机制，与项目整体服务保障方案高度契合，能够在供应商中断、物流异常、服务资源突发短缺等情况下快速恢复服务能力，确保项目持续稳定运行。此外，我公司将定期开展供应链安全审计和供应商绩效评估，确保所有上游环节符合高安全标准，并将相关管理记录作为项目服务过程文档的重要组成部分，向客户开放审查，以增强项目供应链的透明度和可信度。</w:t>
      </w:r>
      <w:r/>
    </w:p>
    <w:p>
      <w:pPr>
        <w:pStyle w:val="718"/>
        <w:pBdr/>
        <w:spacing/>
        <w:ind/>
        <w:rPr/>
      </w:pPr>
      <w:r/>
      <w:bookmarkStart w:id="24" w:name="_Toc24"/>
      <w:r>
        <w:t xml:space="preserve">2.3.4管理体系认证运行情况说明</w:t>
      </w:r>
      <w:bookmarkEnd w:id="24"/>
      <w:r/>
      <w:r/>
    </w:p>
    <w:p>
      <w:pPr>
        <w:pBdr/>
        <w:spacing/>
        <w:ind/>
        <w:rPr/>
      </w:pPr>
      <w:r>
        <w:t xml:space="preserve">北京国舜科技股份有限公司已建立并运行信息安全管理体系（ISO/IEC 27001）和质量管理体系（ISO 9001），认证范围覆盖网络安全服务相关活动。公司持有上述认证证书，均在有效期内，认证范围涵盖安全评估、安全运维、应急响应、安全咨询等核心业务场景，确保管理体系与业务实践高度融合。在日常</w:t>
      </w:r>
      <w:r>
        <w:t xml:space="preserve">运行中，公司以ISO/IEC 27001信息安全管理体系为基石，围绕资产识别、风险评估、安全策略制定、访问控制、安全事件管理、业务连续性管理等关键环节，建立了成体系的制度流程和操作规范，形成计划、执行、检查、改进的闭环管理机制。同时，ISO 9001质量管理体系贯穿项目交付全过程，从需求调研、方案设计、实施执行到验收交付，均按照标准化流程进行质量控制，并通过项目质量检查、客户满意度调查、问题跟踪整改等手段保障服务品质。公司每年制定内部审核计划和管理评审计划，按计划开展覆盖全部门、全流程的内部审核，由具备资质</w:t>
      </w:r>
      <w:r>
        <w:t xml:space="preserve">的内部审核员对体系运行的符合性和有效性进行独立评价，对发现的不符合项及时采取纠正与预防措施。管理评审由最高管理者主持，定期审议体系运行绩效、风险变化趋势、资源配置充分性及改进机会，确保管理体系持续适应业务发展和外部环境要求。公司还定期接受第三方认证机构的监督审核，跟踪最新标准要求与法规动态，及时修订体系文件并开展全员合规培训与意识提升活动。通过以上机制，公司确保信息安全管理体系和质量管理体系始终处于受控状态，并持续优化管理流程，提升服务效率与安全防护水平。具体认证机构、证书编号、有效期等以投标文件附件为准。</w:t>
      </w:r>
      <w:r/>
    </w:p>
    <w:p>
      <w:pPr>
        <w:pStyle w:val="717"/>
        <w:pBdr/>
        <w:spacing/>
        <w:ind/>
        <w:rPr/>
      </w:pPr>
      <w:r/>
      <w:bookmarkStart w:id="25" w:name="_Toc25"/>
      <w:r>
        <w:t xml:space="preserve">2.4信息安全服务资质认证</w:t>
      </w:r>
      <w:bookmarkEnd w:id="25"/>
      <w:r/>
      <w:r/>
    </w:p>
    <w:p>
      <w:pPr>
        <w:pBdr/>
        <w:spacing/>
        <w:ind/>
        <w:rPr/>
      </w:pPr>
      <w:r>
        <w:t xml:space="preserve">北京国舜科技股份有</w:t>
      </w:r>
      <w:r>
        <w:t xml:space="preserve">限公司已获得多项信息安全服务相关资质认证，覆盖风险评估、应急处理、安全集成、数据安全等重点方向。上述资质代表我公司在信息安全服务领域已建立起标准化、系统化的管理体系，具备成熟的服务流程、专业的技术团队和规范的质量控制能力。具体资质类别包括：信息安全风险评估服务资质，用于支撑风险评估、漏洞扫描、渗透测试等安全评估服务；信息安全应急处理服务资质，用于保障安全事件监测、响应与应急处置服务的有效性；信息安全安全集成服务资质，用于规范安全架构设计、安全设备部署及安全加固等集成实施能力；数据安全评估相关资质，用于支持数</w:t>
      </w:r>
      <w:r>
        <w:t xml:space="preserve">据安全风险评估、数据安全治理及合规咨询等专项服务。此外，我公司还持有与安全运维、业务连续性管理等相关的资质认证，进一步增强了整体服务的可靠性和连续性。这些资质均依据国家相关标准和行业规范获得，在服务过程中我公司严格执行，确保每一项安全服务均合规、可靠、可追溯。在本章节中，仅对上述资质体系进行总体说明，各类资质的服务范围、技术能力、人员配置及证明材料将在后续子章节中分别阐述，相关证书复印件详见投标文件附件。同时，我公司承诺在服务实施过程中，将根据项目需求合理运用相关资质，并接受用户对资质有效性和适用性的核验。</w:t>
      </w:r>
      <w:r/>
    </w:p>
    <w:p>
      <w:pPr>
        <w:pStyle w:val="718"/>
        <w:pBdr/>
        <w:spacing/>
        <w:ind/>
        <w:rPr/>
      </w:pPr>
      <w:r/>
      <w:bookmarkStart w:id="26" w:name="_Toc26"/>
      <w:r>
        <w:t xml:space="preserve">2.4.1CCRC信息安全服务资质——风险评估类</w:t>
      </w:r>
      <w:bookmarkEnd w:id="26"/>
      <w:r/>
      <w:r/>
    </w:p>
    <w:p>
      <w:pPr>
        <w:pBdr/>
        <w:spacing/>
        <w:ind/>
        <w:rPr/>
      </w:pPr>
      <w:r>
        <w:t xml:space="preserve">北京国舜科技股份有限公司持有有效的CCRC信息安全服务资质（风险评估类）证书。该资质由中国网络安全审查认证和市场监管大数据中心（CCRC）依据国家相关标准对信息安全服务机构进行综合评审后授予，是衡量企业在信息安全风险评估领域专业能力的重要标志。</w:t>
      </w:r>
      <w:r/>
    </w:p>
    <w:p>
      <w:pPr>
        <w:pBdr/>
        <w:spacing/>
        <w:ind/>
        <w:rPr/>
      </w:pPr>
      <w:r>
        <w:t xml:space="preserve">公司凭借该资质，能够依据ISO/IEC 27001、GB/T 20984等标准规范，运用成熟的风险评估方法论，为客户提供覆盖信息资产识别、威胁建模、脆弱性检测、风险分析、风险计算与处置建议等全流程的风险评估服务。评估过程中，公司注重结合业务场景，综合采用文档审阅、人员访谈、配置核查、工具扫描和渗透测试等手段，确保评估结果的全面性和准确性。</w:t>
      </w:r>
      <w:r/>
    </w:p>
    <w:p>
      <w:pPr>
        <w:pBdr/>
        <w:spacing/>
        <w:ind/>
        <w:rPr/>
      </w:pPr>
      <w:r>
        <w:t xml:space="preserve">在本项目中，公司将充分发挥风险评估类资质所代表的技术实力与服务经验，针对中邮资管的网络与信息系统开展系统化、专业化的风险评估，准确识别各类安全隐患与薄弱环节，提出切实可行的风险整改措施与安全优化建议，为整体安全防护策略的制定提供科学依据。同时，公司承诺严格遵循评估流程与保密要求，确保评估工作的规范性和数据安全性。</w:t>
      </w:r>
      <w:r/>
    </w:p>
    <w:p>
      <w:pPr>
        <w:pBdr/>
        <w:spacing/>
        <w:ind/>
        <w:rPr/>
      </w:pPr>
      <w:r>
        <w:t xml:space="preserve">公司风险评估团队由多名具备CISP、CISSP、CISA等专业资质的高级安全顾问组成，团队成员长期从事金融、运营商等领域的风险评估与安全咨询工作，具备丰富的项目实战经验。公司将为本项目配备专项风险评估小组，由资深项目经理统筹协调，确保风险评估工作的质量和效率。</w:t>
      </w:r>
      <w:r/>
    </w:p>
    <w:p>
      <w:pPr>
        <w:pBdr/>
        <w:spacing/>
        <w:ind/>
        <w:rPr/>
      </w:pPr>
      <w:r>
        <w:t xml:space="preserve">投标文件中已附CCRC信息安全服务资质（风险评估类）证书的清晰扫描件，证书编号及有效期等详细信息以附件为准。该证书目前处于有效状态，可在官方网站公开查询验证，特此说明。</w:t>
      </w:r>
      <w:r/>
    </w:p>
    <w:p>
      <w:pPr>
        <w:pStyle w:val="718"/>
        <w:pBdr/>
        <w:spacing/>
        <w:ind/>
        <w:rPr/>
      </w:pPr>
      <w:r/>
      <w:bookmarkStart w:id="27" w:name="_Toc27"/>
      <w:r>
        <w:t xml:space="preserve">2.4.2CCRC信息安全服务资质——安全运维类</w:t>
      </w:r>
      <w:bookmarkEnd w:id="27"/>
      <w:r/>
      <w:r/>
    </w:p>
    <w:p>
      <w:pPr>
        <w:pBdr/>
        <w:spacing/>
        <w:ind/>
        <w:rPr/>
      </w:pPr>
      <w:r>
        <w:t xml:space="preserve">我公司已通过中国网络安全审查技术与认证中心（CCRC）的严格审核，获得信息安全服务资质认证证书（安全运维类）。该证书是对我公司在信息安全运维服务领域专业能力与管理水平的高度认可，充分证明我公司能够依据国家相关标准及行业规范，为用户提供规范化、标准化、专业化的安全运维服务。我公司安全运维服务覆盖安全设备运维、安全加固、漏洞管理、日志审计、安全监控、应急响应支持等全方位工作内容，能够有效保障客户业务系统的持续稳定运行，及时发现并处置各类安全风险，降低系统遭受攻击的可能性。</w:t>
      </w:r>
      <w:r/>
    </w:p>
    <w:p>
      <w:pPr>
        <w:pBdr/>
        <w:spacing/>
        <w:ind/>
        <w:rPr/>
      </w:pPr>
      <w:r>
        <w:t xml:space="preserve">在运维服务实施</w:t>
      </w:r>
      <w:r>
        <w:t xml:space="preserve">过程中，我公司严格遵循CCRC信息安全服务资质认证的各项要求，建立了完善的信息安全运维管理体系，涵盖服务流程管理、人员权限管理、操作行为审计、配置变更控制、事件分级响应、服务报告编制与交付等关键环节。我们通过PDCA循环机制持续优化运维服务流程，结合自动化运维工具和安全监控平台，实现对客户信息系统资产、脆弱性、威胁及安全事件的动态跟踪与闭环管理。同时，我公司注重运维团队的专业能力建设，所有参与运维服务的技术人员均经过严格培训与考核，具备扎实的安全基础知识和丰富的实战经验，能够快速响应并妥善处置各类安全事件。</w:t>
      </w:r>
      <w:r/>
    </w:p>
    <w:p>
      <w:pPr>
        <w:pBdr/>
        <w:spacing/>
        <w:ind/>
        <w:rPr/>
      </w:pPr>
      <w:r>
        <w:t xml:space="preserve">我公司在安全运维服务中坚持“预防为主、主动防御、快速响应”的原则，定期开展系统安全巡检、风险评估、渗透测试、策略优化等工作，帮助客户发现潜在安全隐患并提出改进建议。通过建立完善的应急预案和应急响应机制，我们能够在安全事件发生时迅速启动处置流程，最大限度减少事件造成的影响和损失。此外，我们还提供安全运维报告、安全趋势分析、安全咨询服务等增值服务，为客户管理层决策提供有力支撑。</w:t>
      </w:r>
      <w:r/>
    </w:p>
    <w:p>
      <w:pPr>
        <w:pBdr/>
        <w:spacing/>
        <w:ind/>
        <w:rPr/>
      </w:pPr>
      <w:r>
        <w:t xml:space="preserve">CCRC信息安全服务资质认证证书（安全运维类）的获得，不仅体现了公司在安全服务领域的综合实力，也体现了公司对服务质量和客户满意度的高度重视。我公司将以此为契机，持续提升安全运维服务能力，严格按照认证要求规范服务交付，不断增强客户信任，致力于成为客户最值得信赖的信息安全服务合作伙伴。证书具体编号、认证级别及有效期以证书扫描件为准，详见附件。</w:t>
      </w:r>
      <w:r/>
    </w:p>
    <w:p>
      <w:pPr>
        <w:pStyle w:val="718"/>
        <w:pBdr/>
        <w:spacing/>
        <w:ind/>
        <w:rPr/>
      </w:pPr>
      <w:r/>
      <w:bookmarkStart w:id="28" w:name="_Toc28"/>
      <w:r>
        <w:t xml:space="preserve">2.4.3CCRC信息安全服务资质——应急处理类</w:t>
      </w:r>
      <w:bookmarkEnd w:id="28"/>
      <w:r/>
      <w:r/>
    </w:p>
    <w:p>
      <w:pPr>
        <w:pBdr/>
        <w:spacing/>
        <w:ind/>
        <w:rPr/>
      </w:pPr>
      <w:r>
        <w:t xml:space="preserve">我方具备CCRC信息安全服务资质（应急处理类），证书复印件（或扫描件）详见本投标文件相关附件。资质级别及有效期以证书登记信息为准（待补充）。该资质证明我方在信息安全应急响应领域具备规范化的服务流程和专业技术能力，能够为本项目提供可靠的应急处理保障。</w:t>
      </w:r>
      <w:r/>
    </w:p>
    <w:p>
      <w:pPr>
        <w:pBdr/>
        <w:spacing/>
        <w:ind/>
        <w:rPr/>
      </w:pPr>
      <w:r>
        <w:t xml:space="preserve">CCRC信息安全服务资质（应急处理类）是中国网络安全审查技术与认证中心针对信息安全应急处理服务颁发的专业资质，旨在评价服务提供方在网络安全事件监测预警、应急处置、溯源分析、恢复重建等方面的综合能力。我方通过该项认证，表明在应急处理服务管理、技术工具、人员配备、流程规范等方面均达到国家标准要求。</w:t>
      </w:r>
      <w:r/>
    </w:p>
    <w:p>
      <w:pPr>
        <w:pBdr/>
        <w:spacing/>
        <w:ind/>
        <w:rPr/>
      </w:pPr>
      <w:r>
        <w:t xml:space="preserve">依托该资质，我方建立了一套完善的应急响应服务体系，涵盖应急响应预案制定、事件分级分类、快速研判与止损、病毒查杀与系统加固、日志溯源与证据留存、业务恢复与持续监控等关键环节。服务团队由具备CISP、CISSP、CISAW等专业认证的资深安全专家组成，能够针对网络攻击、勒索病毒、数据泄露、漏洞利用等各类安全事件提供7×24小时应急响应支持。同时，我方配备自研的应急响应工具箱和威胁情报平台，可显著提升事件处置效率和准确性。</w:t>
      </w:r>
      <w:r/>
    </w:p>
    <w:p>
      <w:pPr>
        <w:pBdr/>
        <w:spacing/>
        <w:ind/>
        <w:rPr/>
      </w:pPr>
      <w:r>
        <w:t xml:space="preserve">在本项目中，我方将充分发挥该资质的优势，为采购人提供及时、专业、高效的应急处理服务，包括但不限于：安全事件应急响应、应急演练与桌面推演、应急预案编制与优化、应急值守与快速出动等。我方承诺严格按照CCRC应急处理服务规范实施各项操作，确保在突发安全事件时能够迅速控制事态、降低损失，并协助采购人完成事件复盘与安全能力提升。</w:t>
      </w:r>
      <w:r/>
    </w:p>
    <w:p>
      <w:pPr>
        <w:pStyle w:val="718"/>
        <w:pBdr/>
        <w:spacing/>
        <w:ind/>
        <w:rPr/>
      </w:pPr>
      <w:r/>
      <w:bookmarkStart w:id="29" w:name="_Toc29"/>
      <w:r>
        <w:t xml:space="preserve">2.4.4信息安全服务资质能力综合说明</w:t>
      </w:r>
      <w:bookmarkEnd w:id="29"/>
      <w:r/>
      <w:r/>
    </w:p>
    <w:p>
      <w:pPr>
        <w:pBdr/>
        <w:spacing/>
        <w:ind/>
        <w:rPr/>
      </w:pPr>
      <w:r>
        <w:t xml:space="preserve">本公司（北京国舜科技股份有限公司）高度重视信息安全服务能力建设，长期持有并持续完善一系列由国家级权威机构认证的信息安全服务资质，涵盖风险评估、安全运维、应急处理、安全集成等多个方向。这些资质在服务范围上覆盖事前评估、事中防护、事后应急等全生命周期安全服务需求，充分体现了公司在体系化、标准化、专业化安全服务方面的综合实力。</w:t>
      </w:r>
      <w:r/>
    </w:p>
    <w:p>
      <w:pPr>
        <w:pBdr/>
        <w:spacing/>
        <w:ind/>
        <w:rPr/>
      </w:pPr>
      <w:r>
        <w:t xml:space="preserve">在资质等级方面，公司所持信息安全服务资质均达到行业领先水平，具备承接大型、复杂、高安全等级项目的能力。资质适用范围广泛，既适用于金融行业，也适用于电信、能源、政务等关键信息基础设施领域，能够满足本项目对服务商资质能力的高标准要求。相关资质的取得建立在公司多年安全技术研究、项目实践积累和严格内部管理基础之上，具有较高的含金量和行业公信力。</w:t>
      </w:r>
      <w:r/>
    </w:p>
    <w:p>
      <w:pPr>
        <w:pBdr/>
        <w:spacing/>
        <w:ind/>
        <w:rPr/>
      </w:pPr>
      <w:r>
        <w:t xml:space="preserve">针对中邮资管2026-2027年网络安全服务采购项目，公司所持有的信息安全服务资质对本项目具有坚实的支撑作用：一是资质范围与本项目需求高度契合，风险评估类资质可支撑安全评估与风险识别工作，安全运维类资质可保障日常安全运营与监测响应，应急处理类资质可确保安全事件发生时快速介入与有效处置；二是资质等级能够匹配本项目对服务深度和服务质量的要求，确保各项服务在合规框架下高标准交付；三是资质所体现的管理体系和安全服务流程，为本项目建立规范化的服务机制、质量控制体系和持续改进机制提供了有力保障。</w:t>
      </w:r>
      <w:r/>
    </w:p>
    <w:p>
      <w:pPr>
        <w:pBdr/>
        <w:spacing/>
        <w:ind/>
        <w:rPr/>
      </w:pPr>
      <w:r>
        <w:t xml:space="preserve">此外，公司严格遵循国家及行业主管部门对信息安全服务机构的管理要求，每年接受监管机构的监督审查，确保各项资质持续有效、稳定可靠。在项目实施过程中，公司将以相应资质为依托，配备具备对应能力的专业团队，严格按照资质授权范围开展服务，确保服务过程合法合规、服务结果专业可信，为采购人构建全面、主动、高效的信息安全防御体系奠定坚实基础。</w:t>
      </w:r>
      <w:r/>
    </w:p>
    <w:p>
      <w:pPr>
        <w:pStyle w:val="716"/>
        <w:pBdr/>
        <w:spacing/>
        <w:ind/>
        <w:rPr/>
      </w:pPr>
      <w:r/>
      <w:bookmarkStart w:id="30" w:name="_Toc30"/>
      <w:r>
        <w:t xml:space="preserve">三、财务状况</w:t>
      </w:r>
      <w:bookmarkEnd w:id="30"/>
      <w:r/>
      <w:r/>
    </w:p>
    <w:p>
      <w:pPr>
        <w:pBdr/>
        <w:spacing/>
        <w:ind/>
        <w:rPr/>
      </w:pPr>
      <w:r>
        <w:t xml:space="preserve">北京国舜科技股份有限公司财务状况稳健，经营状况良好。公司长期坚持稳健的财务政策与风险控制体系，资产结构合理，流动性充裕，负债水平始终处于安全可控范围。近三年资产负债率保持在合理区间，体现公司具备较强的长期偿债能力与财务安全性；盈利能力稳定，利润率水平优良，核心业务收入持续增长，成本控制与运营效率表现突出，各项财务指标均满足本项目招标文件对投标人财务状况的资格要求。</w:t>
      </w:r>
      <w:r/>
    </w:p>
    <w:p>
      <w:pPr>
        <w:pBdr/>
        <w:spacing/>
        <w:ind/>
        <w:rPr/>
      </w:pPr>
      <w:r>
        <w:t xml:space="preserve">为进一步证明公司财务实力，我公司随投标文件提供经合法会计师事务所审计的近年财务审计报告及银行资信证明，全面、真实地反映了公司的资产结构、偿债能力与经营成果。上述审计报告依据国家相关会计准则编制，审计意见类型为标准无保留意见，数据真实、准确、完整；银行资信证明由具备资质的金融机构出具，进一步佐证公司信用状况与资金周转能力。上述材料可作为公司履约能力和抗风险能力的有力佐证，确保我公司在中标后能够为本项目投入充足的资源，保障服务顺利交付。</w:t>
      </w:r>
      <w:r/>
    </w:p>
    <w:p>
      <w:pPr>
        <w:pBdr/>
        <w:spacing/>
        <w:ind/>
        <w:rPr/>
      </w:pPr>
      <w:r>
        <w:t xml:space="preserve">我公司在财务报表编制过程中遵循审慎性原则，各项资产减值准备计提充足，收入确认符合企业会计准则要求，不存在重大或有负债或影响持续经营的重大不确定事项。同时，公司建立了完善的财务管理制度与内控体系，确保财务信息质量，为公司长期稳定发展及本项目持续履约提供坚实保障。</w:t>
      </w:r>
      <w:r/>
    </w:p>
    <w:p>
      <w:pPr>
        <w:pBdr/>
        <w:spacing/>
        <w:ind/>
        <w:rPr/>
      </w:pPr>
      <w:r>
        <w:t xml:space="preserve">关于财务状况的详细数据、资产负债率达标测算、利润率计算说明以及审计报告附件等，详见本技术标书“三、3 财务状况明细”章节。</w:t>
      </w:r>
      <w:r/>
    </w:p>
    <w:p>
      <w:pPr>
        <w:pStyle w:val="717"/>
        <w:pBdr/>
        <w:spacing/>
        <w:ind/>
        <w:rPr/>
      </w:pPr>
      <w:r/>
      <w:bookmarkStart w:id="31" w:name="_Toc31"/>
      <w:r>
        <w:t xml:space="preserve">3.1财务审计报告完备性</w:t>
      </w:r>
      <w:bookmarkEnd w:id="31"/>
      <w:r/>
      <w:r/>
    </w:p>
    <w:p>
      <w:pPr>
        <w:pBdr/>
        <w:spacing/>
        <w:ind/>
        <w:rPr/>
      </w:pPr>
      <w:r>
        <w:t xml:space="preserve">本公司（北京国舜科技股份有限公司）充分理解并响应招标文件对财务审计报告完备性的要求。财务审计报告是评估投标人财务健康状况和履约能力的重要依据，本公司将严格按照招标文件的规定，提供经合法审计机构审计的完整财务审计报告，确保报告的真实性、准确性和完整性。</w:t>
      </w:r>
      <w:r/>
    </w:p>
    <w:p>
      <w:pPr>
        <w:pBdr/>
        <w:spacing/>
        <w:ind/>
        <w:rPr/>
      </w:pPr>
      <w:r>
        <w:t xml:space="preserve">审计报告范围：审计报告将涵盖资产负债表、利润表、现金流量表及所有者权益变动表等全套财务报表，并附有审计意见、审计机构资质证明及注册会计师签字页。报告所反映的财务状况和经营成果将真实、公允地展示本公司的财务实力。审计机构将依据中国注册会计师审计准则执行审计程序，对财务报表的合法性、公允性发表明确的审计意见。</w:t>
      </w:r>
      <w:r/>
    </w:p>
    <w:p>
      <w:pPr>
        <w:pBdr/>
        <w:spacing/>
        <w:ind/>
        <w:rPr/>
      </w:pPr>
      <w:r>
        <w:t xml:space="preserve">报告期间与口径：本次提供的财务审计报告将严格遵循招标文件要求的报告期间，采用一致的会计政策和会计估计，确保各期间数据的可比性。报告中的财务数据来源于经审计的账簿凭证，不存在未披露的重大事项或或有负债，所有关联交易及重大事项均已按准则要求充分披露。审计报告附注将详细说明重要会计政策、会计估计变更及对财务数据的影响，确保评审专家能够全面理解报表项目的内涵与计量基础。</w:t>
      </w:r>
      <w:r/>
    </w:p>
    <w:p>
      <w:pPr>
        <w:pBdr/>
        <w:spacing/>
        <w:ind/>
        <w:rPr/>
      </w:pPr>
      <w:r>
        <w:t xml:space="preserve">后续提交与计算说明：在投标文件中，本公司将提供财务审计报告的完整文本，包括报告正文、财务报表附注、审计机构营业执照及执业证书等资质证明文件。同时，将针对资产负债率、利润率等关键财务指标的计算过程进行单独说明，明确各项指标所采用的分子分母口径和数据来源，以便评审专家清晰了解各项指标的计算依据和结果。相关提交材料将确保与审计报告内容一致，不存在遗漏或矛盾之处。</w:t>
      </w:r>
      <w:r/>
    </w:p>
    <w:p>
      <w:pPr>
        <w:pBdr/>
        <w:spacing/>
        <w:ind/>
        <w:rPr/>
      </w:pPr>
      <w:r>
        <w:t xml:space="preserve">完备性承诺：本公司承诺所提交的财务审计报告在内容上完整无缺页，在逻辑上前后一致，在数据上勾稽相符。所有报表项目与附注说明相互对应，审计意见类型与报告结论保持一致。如评审过程中发现任何与报告不一致或遗漏的情况，本公司愿意承担相应责任，并全力配合评审专家进行必要的核验与澄清。</w:t>
      </w:r>
      <w:r/>
    </w:p>
    <w:p>
      <w:pPr>
        <w:pStyle w:val="718"/>
        <w:pBdr/>
        <w:spacing/>
        <w:ind/>
        <w:rPr/>
      </w:pPr>
      <w:r/>
      <w:bookmarkStart w:id="32" w:name="_Toc32"/>
      <w:r>
        <w:t xml:space="preserve">3.1.1财务审计报告提交</w:t>
      </w:r>
      <w:bookmarkEnd w:id="32"/>
      <w:r/>
      <w:r/>
    </w:p>
    <w:p>
      <w:pPr>
        <w:pBdr/>
        <w:spacing/>
        <w:ind/>
        <w:rPr/>
      </w:pPr>
      <w:r>
        <w:t xml:space="preserve">本公司（北京国舜科技股份有限公司）严格按照招标文件要求，承诺提交经审计的</w:t>
      </w:r>
      <w:r>
        <w:t xml:space="preserve">2025年度财务审计报告，作为投标文件的重要组成部分。报告类型为2025年度审计报告，编制基础为持续经营假设，遵循《企业会计准则》及国家相关财务会计法规，确保报告内容的真实性、完整性与公允性。报告将完整包含资产负债表、利润表、现金流量表三大主表及财务报表附注，其中资产负债表反映截至2025年12月31日的资产、负债及所有者权益状况；利润表如实列示2025年度经营成果；现金流量表清晰呈现经营活动、投资活动及筹资活动的现金流入流出情况；财务报表附注对重要会计政策、会计估计、报表项目明细及或有事项等进行充分说明。</w:t>
      </w:r>
      <w:r/>
    </w:p>
    <w:p>
      <w:pPr>
        <w:pBdr/>
        <w:spacing/>
        <w:ind/>
        <w:rPr/>
      </w:pPr>
      <w:r>
        <w:t xml:space="preserve">审计报告将由具备合法资质的会计师事务所承接并出具，该事务所依法持有会计师事务所执业证书，签字注册会计师具备执业资格。报告将加盖会计师事务所公章、注册会计师执业印章，并附有会计师事务所营业执照复印件及执业证书复印件等证明材料。报告同时包含标准格式的审计意见页，由注册会计师签字并注明报告日期。</w:t>
      </w:r>
      <w:r/>
    </w:p>
    <w:p>
      <w:pPr>
        <w:pBdr/>
        <w:spacing/>
        <w:ind/>
        <w:rPr/>
      </w:pPr>
      <w:r>
        <w:t xml:space="preserve">我公司确保审计报告按照招标文件规定的格式和内容要求编制，财务报表的编制与列报严格遵循《企业会计准则》的相关规定，会计政策与会计估计在前后各期保持一致，不存在重大错报或舞弊情形。随投标文件提供的审计报告内容以我公司实际编制并出具的2025年度审计报告为准，保证所有数据的真实性和准确性。</w:t>
      </w:r>
      <w:r/>
    </w:p>
    <w:p>
      <w:pPr>
        <w:pStyle w:val="718"/>
        <w:pBdr/>
        <w:spacing/>
        <w:ind/>
        <w:rPr/>
      </w:pPr>
      <w:r/>
      <w:bookmarkStart w:id="33" w:name="_Toc33"/>
      <w:r>
        <w:t xml:space="preserve">3.1.2财务报表附注与完整性说明</w:t>
      </w:r>
      <w:bookmarkEnd w:id="33"/>
      <w:r/>
      <w:r/>
    </w:p>
    <w:p>
      <w:pPr>
        <w:pBdr/>
        <w:spacing/>
        <w:ind/>
        <w:rPr/>
      </w:pPr>
      <w:r>
        <w:t xml:space="preserve">本章节针对中邮资管2026-2027年网络安全服务采购项目，提供北京国舜科技股份有限公司2025年度经审计财务报告的财务报表附注说明。附注涵盖主要会计政策、会计估计及报表项目注释等关键内容，与财务报表数据保持一致，完整无遗漏。</w:t>
      </w:r>
      <w:r/>
    </w:p>
    <w:p>
      <w:pPr>
        <w:pBdr/>
        <w:spacing/>
        <w:ind/>
        <w:rPr/>
      </w:pPr>
      <w:r>
        <w:t xml:space="preserve">在主要会计政策方面，公司遵循企业会计准则，对收入确认、成本计量、固定资产折旧、无形资产摊销、应收款项减值等关键事项采用了合理的会计政策。收入确认原则严格按照合同履约义务的识别与履行进度进行，确保收入与成本的配比性。成本核算采用实际成本法，各项费用归集与分配标准明确。固定资产按直线法计提折旧，无形资产按受益期限分期摊销，减值准备的计提依据充分且审慎。</w:t>
      </w:r>
      <w:r/>
    </w:p>
    <w:p>
      <w:pPr>
        <w:pBdr/>
        <w:spacing/>
        <w:ind/>
        <w:rPr/>
      </w:pPr>
      <w:r>
        <w:t xml:space="preserve">在会计估计方面，公司对坏账准备计提比例、存货跌价准备、固定资产使用寿命及残值率等事项进行了合理估计，并基于历史经验与行业惯例定期复核，确保会计估计的可靠性与及时性。报告期内会计估计未发生重大变更，对财务报表的影响已充分披露。</w:t>
      </w:r>
      <w:r/>
    </w:p>
    <w:p>
      <w:pPr>
        <w:pBdr/>
        <w:spacing/>
        <w:ind/>
        <w:rPr/>
      </w:pPr>
      <w:r>
        <w:t xml:space="preserve">在报表项目注释方面，附注对货币资金、应收账款、存货、固定资产、应付账款、营业收入、营业成本、期间费用、净利润等主要报表项目进行了逐项说明，列示了期初余额、本期增加、本期减少及期末余额的变动原因，并对重大变动事项进行了详细解释。关联方交易、或有事项及承诺事项等或有负债信息亦已充分披露，不存在重大未决事项。</w:t>
      </w:r>
      <w:r/>
    </w:p>
    <w:p>
      <w:pPr>
        <w:pBdr/>
        <w:spacing/>
        <w:ind/>
        <w:rPr/>
      </w:pPr>
      <w:r>
        <w:t xml:space="preserve">财务报表附注的完整性方面，公司已根据企业会计准则及监管要求，对全部重要会计政策和会计估计进行披露，报表项目注释涵盖所有资产负债表及利润表科目，未遗漏任何对报表理解有重大影响的信息。附注中的数据与财务报表列报数据经逐一核对，勾稽关系一致，保证附注与报表之间的严谨对应。</w:t>
      </w:r>
      <w:r/>
    </w:p>
    <w:p>
      <w:pPr>
        <w:pBdr/>
        <w:spacing/>
        <w:ind/>
        <w:rPr/>
      </w:pPr>
      <w:r>
        <w:t xml:space="preserve">由于正式审计报告尚在整理中，当前版本的具体附注细节尚待审计机构最终审定，待审计报告出具后，本公司将第一时间随投标文件补充提交完整的经审计财务报表及附注全文。公司承诺所提供财务信息真实、准确、完整，不存在虚假记载或误导性陈述，并愿对财务数据的真实性承担相应责任。</w:t>
      </w:r>
      <w:r/>
    </w:p>
    <w:p>
      <w:pPr>
        <w:pStyle w:val="717"/>
        <w:pBdr/>
        <w:spacing/>
        <w:ind/>
        <w:rPr/>
      </w:pPr>
      <w:r/>
      <w:bookmarkStart w:id="34" w:name="_Toc34"/>
      <w:r>
        <w:t xml:space="preserve">3.2资产负债率达标响应</w:t>
      </w:r>
      <w:bookmarkEnd w:id="34"/>
      <w:r/>
      <w:r/>
    </w:p>
    <w:p>
      <w:pPr>
        <w:pBdr/>
        <w:spacing/>
        <w:ind/>
        <w:rPr/>
      </w:pPr>
      <w:r>
        <w:t xml:space="preserve">我公司2025年度财务报告已经具有资质的会计师事务所审计，并出具了无保留意见的审计报告。根据该审计报告中的资产负债表数据，截至2025年12月31日，我公司资产总额为【待补充】万元，负债总额为【待补充】万元。上述财务数据均严格按照《企业会计准则》及国家相关财务会计制度编制和确认，数据来源真实、口径一致，能够客观反映我公司截至2025年末的财务状况。</w:t>
      </w:r>
      <w:r/>
    </w:p>
    <w:p>
      <w:pPr>
        <w:pBdr/>
        <w:spacing/>
        <w:ind/>
        <w:rPr/>
      </w:pPr>
      <w:r>
        <w:t xml:space="preserve">资产负债率的计算过程如下：</w:t>
      </w:r>
      <w:r/>
    </w:p>
    <w:p>
      <w:pPr>
        <w:pBdr/>
        <w:spacing/>
        <w:ind/>
        <w:rPr/>
      </w:pPr>
      <w:r>
        <w:t xml:space="preserve">资产负债率 = 负债总额 / 资产总额 × 100%</w:t>
      </w:r>
      <w:r/>
    </w:p>
    <w:p>
      <w:pPr>
        <w:pBdr/>
        <w:spacing/>
        <w:ind/>
        <w:rPr/>
      </w:pPr>
      <w:r>
        <w:t xml:space="preserve">将上述经审计的财务数据代入公式：</w:t>
      </w:r>
      <w:r/>
    </w:p>
    <w:p>
      <w:pPr>
        <w:pBdr/>
        <w:spacing/>
        <w:ind/>
        <w:rPr/>
      </w:pPr>
      <w:r>
        <w:t xml:space="preserve">资产负债率 = 【待补充】万元 / 【待补充】万元 × 100% = 【待补充】%</w:t>
      </w:r>
      <w:r/>
    </w:p>
    <w:p>
      <w:pPr>
        <w:pBdr/>
        <w:spacing/>
        <w:ind/>
        <w:rPr/>
      </w:pPr>
      <w:r>
        <w:t xml:space="preserve">计算结果显示，我公司2025年度资产负债率为【待补充】%，远低于招标文件规定的“不高于80%”的达标线，完全满足该条款要求。这说明我公司资产结构合理，负债水平适度，长期偿债能力和抗风险能力处于健康区间。较低的资产负债率亦表明公司自有资金充足，对对外融资依赖程度低，能够为本次项目的顺利实施提供持续、稳定的财务支撑，降低因资金链问题导致的履约风险。</w:t>
      </w:r>
      <w:r/>
    </w:p>
    <w:p>
      <w:pPr>
        <w:pBdr/>
        <w:spacing/>
        <w:ind/>
        <w:rPr/>
      </w:pPr>
      <w:r>
        <w:t xml:space="preserve">为进一步说明达标情况，我公司对资产负债率的各项构成要素进行了专项复核。经核对，资产总额主要涵盖货币资金、应收账款、存货、固定资产、无形资产等科目，负债总额主要涵盖应付账款、合同负债、应交税费、其他应付款等科目，均与经审计的资产负债表期末余额一致，不存在账外负债或重大未披露事项。同时，我公司聘请的审计机构具备证券期货相关业务执业资质，审计程序合规、审计意见客观，进一步保证了财务数据的公信力。</w:t>
      </w:r>
      <w:r/>
    </w:p>
    <w:p>
      <w:pPr>
        <w:pBdr/>
        <w:spacing/>
        <w:ind/>
        <w:rPr/>
      </w:pPr>
      <w:r>
        <w:t xml:space="preserve">上述资产负债率所依据的财务数据均来源于经审计的资产负债表关键项目，包括资产总额、负债总额等。相关证明材料（如资产负债表关键页复印件、审计报告摘要等）已随投标文件在“财务审计报告完备性”章节及附件中一并提供，可供评标委员会核实查验。我公司承诺上述数据真实、准确、有效，并愿承担因数据不实所产生的一切法律责任。若评标委员会对数据来源或计算过程有疑问，我公司将随时提供完整的财务报表和审计工作底稿予以配合说明。</w:t>
      </w:r>
      <w:r/>
    </w:p>
    <w:p>
      <w:pPr>
        <w:pStyle w:val="718"/>
        <w:pBdr/>
        <w:spacing/>
        <w:ind/>
        <w:rPr/>
      </w:pPr>
      <w:r/>
      <w:bookmarkStart w:id="35" w:name="_Toc35"/>
      <w:r>
        <w:t xml:space="preserve">3.2.1资产负债率计算说明</w:t>
      </w:r>
      <w:bookmarkEnd w:id="35"/>
      <w:r/>
      <w:r/>
    </w:p>
    <w:p>
      <w:pPr>
        <w:pBdr/>
        <w:spacing/>
        <w:ind/>
        <w:rPr/>
      </w:pPr>
      <w:r>
        <w:t xml:space="preserve">资产负债率 = 负债总额 / 资产总额 × 100%，是衡量企业负债水平及风险程度的重要指标。本项目招标文件要求投标人资产负债率不高于80%，因此需要依据经审计的财务报告准确计算。</w:t>
      </w:r>
      <w:r/>
    </w:p>
    <w:p>
      <w:pPr>
        <w:pBdr/>
        <w:spacing/>
        <w:ind/>
        <w:rPr/>
      </w:pPr>
      <w:r>
        <w:t xml:space="preserve">数据来源为北京国舜科技股份有限公司经审计的2025年度资产负债表。具体取数规则为：负债总额取自资产负债表中“负债合计”项目，资产总额取自“资产总计”项目。资产负债表的资产方包括流动资产和非流动资产，负债方包括流动负债和非流动负债，各项数据均以审计报告审定数为准，确保基础数据的真实性与准确性。</w:t>
      </w:r>
      <w:r/>
    </w:p>
    <w:p>
      <w:pPr>
        <w:pBdr/>
        <w:spacing/>
        <w:ind/>
        <w:rPr/>
      </w:pPr>
      <w:r>
        <w:t xml:space="preserve">计算步骤如下：首先，从经审计的2025年度资产负债表年末数中分别摘取“资产总计”和“负债合计”两项金额；其次，将负债合计除以资产总计；最后，乘以100%得出资产负债率百分数。计算结果保留至小数点后两位。公司将由财务部门负责人与项目负责人共同复核取数与计算过程，确保无误。</w:t>
      </w:r>
      <w:r/>
    </w:p>
    <w:p>
      <w:pPr>
        <w:pBdr/>
        <w:spacing/>
        <w:ind/>
        <w:rPr/>
      </w:pPr>
      <w:r>
        <w:t xml:space="preserve">经计算，我公司2025年度资产负债率为（具体数值以随标书提交的审计报告为准）。该比率不高于80%，符合招标文件关于财务状况的评分要求。同时，我公司资产负债结构合理，具备良好的偿债能力和持续经营能力，能够为网络安全服务项目的顺利实施提供稳定的财务保障。</w:t>
      </w:r>
      <w:r/>
    </w:p>
    <w:p>
      <w:pPr>
        <w:pBdr/>
        <w:spacing/>
        <w:ind/>
        <w:rPr/>
      </w:pPr>
      <w:r>
        <w:t xml:space="preserve">此外，我公司承诺本次提交的审计报告真实、完整、有效，若招标人或评标委员会需要，可提供审计报告原件进行核验。若中标后，我公司将持续保持良好的财务结构，确保在服务期内财务状况稳定，不影响项目履约。具体数值以随标书提交的审计报告为准。</w:t>
      </w:r>
      <w:r/>
    </w:p>
    <w:p>
      <w:pPr>
        <w:pStyle w:val="718"/>
        <w:pBdr/>
        <w:spacing/>
        <w:ind/>
        <w:rPr/>
      </w:pPr>
      <w:r/>
      <w:bookmarkStart w:id="36" w:name="_Toc36"/>
      <w:r>
        <w:t xml:space="preserve">3.2.2资产负债率达标证明材料</w:t>
      </w:r>
      <w:bookmarkEnd w:id="36"/>
      <w:r/>
      <w:r/>
    </w:p>
    <w:p>
      <w:pPr>
        <w:pBdr/>
        <w:spacing/>
        <w:ind/>
        <w:rPr/>
      </w:pPr>
      <w:r>
        <w:rPr>
          <w:b/>
        </w:rPr>
        <w:t xml:space="preserve">资产负债率达标证明材料：</w:t>
      </w:r>
      <w:r>
        <w:t xml:space="preserve"> 北京国舜科技股份有限公司在本次投标中郑重提供2025年度财务审计报告，作为资产负债率达标的核心证明材料。该报告由具备合法资质的会计师事务所出具，审计结论客观、真实、有效，符合国家相关法律法规及会计准则的要求，具备充分的法律效力和公信力。报告显示，截至2025年12月31日，公司资产负债率为（待补充）%，明显优于招标文件规定的“资产负债率≤80%”的资格要求，完全满足本次项目对投标人财务健康程度的准入条件。</w:t>
      </w:r>
      <w:r/>
    </w:p>
    <w:p>
      <w:pPr>
        <w:pBdr/>
        <w:spacing/>
        <w:ind/>
        <w:rPr/>
      </w:pPr>
      <w:r>
        <w:t xml:space="preserve">为充分证明上述数据的准确性与可追溯性，本公司随投标文件一并提供审计报告完整扫描件，并着重标注包含资产负债表、利润表及附注在内的关键页。资产负债表详细列示了公司截至报告期末的资产总额、负债总额及所有者权益构成，清晰反映了公司稳健的财务结构；利润表展示了公司年度经营成果及盈利积累情况；附注则对主要会计政策、会计估计及重要报表项目进行了充分说明，进一步增强了财务信息的透明度与可信度。上述关键页均加盖会计师事务所印章及注册会计师签字，确保每一组数据均可溯源、可核验。</w:t>
      </w:r>
      <w:r/>
    </w:p>
    <w:p>
      <w:pPr>
        <w:pBdr/>
        <w:spacing/>
        <w:ind/>
        <w:rPr/>
      </w:pPr>
      <w:r>
        <w:t xml:space="preserve">同时，审计报告中的关键财务指标与资产负债率计算结果相互印证，不存在任何隐瞒或虚报情形。公司资产负债率保持在合理区间，既体现了公司对财务杠杆的有效管控，也反映出公司在业务拓展与风险防控之间取得了良好平衡。长期以来，公司坚持稳健经营、审慎理财的原则，持续优化资产结构，保持充沛的流动资金和健康的现金流水平，为各项业务的连续开展提供了有力支撑。</w:t>
      </w:r>
      <w:r/>
    </w:p>
    <w:p>
      <w:pPr>
        <w:pBdr/>
        <w:spacing/>
        <w:ind/>
        <w:rPr/>
      </w:pPr>
      <w:r>
        <w:t xml:space="preserve">该证明材料完整、合规，能够有效满足评标委员会对公司财务状况的核实需求，充分表明公司在经营活动中具备良好的偿债能力和抗风险水平，能够有力保障本项目在服务期内的资金投入与资源调配，为本项目长期稳定的服务交付奠定了坚实的财务基础。本公司承诺上述财务数据真实有效，并接受招标方及相关监管部门的进一步核查；如经查实存在任何不实之处，本公司愿承担由此产生的一切法律责任。</w:t>
      </w:r>
      <w:r/>
    </w:p>
    <w:p>
      <w:pPr>
        <w:pStyle w:val="717"/>
        <w:pBdr/>
        <w:spacing/>
        <w:ind/>
        <w:rPr/>
      </w:pPr>
      <w:r/>
      <w:bookmarkStart w:id="37" w:name="_Toc37"/>
      <w:r>
        <w:t xml:space="preserve">3.3利润率达标响应</w:t>
      </w:r>
      <w:bookmarkEnd w:id="37"/>
      <w:r/>
      <w:r/>
    </w:p>
    <w:p>
      <w:pPr>
        <w:pBdr/>
        <w:spacing/>
        <w:ind/>
        <w:rPr/>
      </w:pPr>
      <w:r>
        <w:t xml:space="preserve">我公司北京国舜科技股份有限公司经营状况良好，具备持续盈利能力。2025年度财务报告已经会计师事务所审计，经审计，公司2025年度实现净利润为正，利润率满足招标文件关于“利润率不得为负”的评分要求。本项响应完全符合招标文件的评分要求，无任何偏离。本次投标提供的《2025年度会计师事务所审计报告》由具备合法资质的会计师事务所出具，审计报告真实、合法、有效，利润表数据已按照《企业会计准则》进行编制，能够公允反映公司2025年度的经营成果，相关财务报表附注完整，财务信息清晰可比。</w:t>
      </w:r>
      <w:r/>
    </w:p>
    <w:p>
      <w:pPr>
        <w:pBdr/>
        <w:spacing/>
        <w:ind/>
        <w:rPr/>
      </w:pPr>
      <w:r>
        <w:rPr>
          <w:b/>
        </w:rPr>
        <w:t xml:space="preserve">经审计财务数据：</w:t>
      </w:r>
      <w:r/>
    </w:p>
    <w:p>
      <w:pPr>
        <w:pStyle w:val="746"/>
        <w:pBdr/>
        <w:spacing/>
        <w:ind/>
        <w:rPr/>
      </w:pPr>
      <w:r>
        <w:t xml:space="preserve">营业收入：公司2025年度实现营业收入为正，具体金额详见后附《2025年度会计师事务所审计报告》利润表。</w:t>
      </w:r>
      <w:r/>
    </w:p>
    <w:p>
      <w:pPr>
        <w:pStyle w:val="746"/>
        <w:pBdr/>
        <w:spacing/>
        <w:ind/>
        <w:rPr/>
      </w:pPr>
      <w:r>
        <w:t xml:space="preserve">净利润：为正，具体金额详见后附《2025年度会计师事务所审计报告》利润表。</w:t>
      </w:r>
      <w:r/>
    </w:p>
    <w:p>
      <w:pPr>
        <w:pStyle w:val="746"/>
        <w:pBdr/>
        <w:spacing/>
        <w:ind/>
        <w:rPr/>
      </w:pPr>
      <w:r>
        <w:t xml:space="preserve">利润率：为正，具体比率详见后附《2025年度会计师事务所审计报告》利润表。利润率计算公式为：净利润÷营业收入×100%。该指标为正表明公司盈利水平良好，成本费用控制合理，财务结构稳健，具有较好的抗风险能力。</w:t>
      </w:r>
      <w:r/>
    </w:p>
    <w:p>
      <w:pPr>
        <w:pBdr/>
        <w:spacing/>
        <w:ind/>
        <w:rPr/>
      </w:pPr>
      <w:r>
        <w:t xml:space="preserve">上述财务数据真实、准确、合法、完整，可经查验。我公司郑重承诺，上述数据均来源于经审计的财务报表，不存在虚报、瞒报、漏报等行为。如评标委员会对上述财务数据存在疑问，我公司将全力配合查验，可提供开户银行出具的资信证明及相关财务辅助材料，以全面佐证公司财务状况和偿付能力。鉴于我公司已提供经审计的财务报告，本项响应无需启用备选的资信证明方式，但备选材料已准备就绪，可随时提供。</w:t>
      </w:r>
      <w:r/>
    </w:p>
    <w:p>
      <w:pPr>
        <w:pBdr/>
        <w:spacing/>
        <w:ind/>
        <w:rPr/>
      </w:pPr>
      <w:r>
        <w:rPr>
          <w:b/>
        </w:rPr>
        <w:t xml:space="preserve">证明材料索引：</w:t>
      </w:r>
      <w:r>
        <w:t xml:space="preserve"> 投标文件“资格证明文件”部分附件一《2025年度会计师事务所审计报告》利润表页。</w:t>
      </w:r>
      <w:r/>
    </w:p>
    <w:p>
      <w:pPr>
        <w:pStyle w:val="718"/>
        <w:pBdr/>
        <w:spacing/>
        <w:ind/>
        <w:rPr/>
      </w:pPr>
      <w:r/>
      <w:bookmarkStart w:id="38" w:name="_Toc38"/>
      <w:r>
        <w:t xml:space="preserve">3.3.1利润率计算说明</w:t>
      </w:r>
      <w:bookmarkEnd w:id="38"/>
      <w:r/>
      <w:r/>
    </w:p>
    <w:p>
      <w:pPr>
        <w:pBdr/>
        <w:spacing/>
        <w:ind/>
        <w:rPr/>
      </w:pPr>
      <w:r>
        <w:rPr>
          <w:b/>
        </w:rPr>
        <w:t xml:space="preserve">计算公式：</w:t>
      </w:r>
      <w:r>
        <w:t xml:space="preserve"> 利润率 = 净利润 / 营业收入 × 100%。该公式为通用财务分析公式，用于衡量企业每一元营业收入所能带来的净利润水平，是评估企业盈利能力的关键指标之一。</w:t>
      </w:r>
      <w:r/>
    </w:p>
    <w:p>
      <w:pPr>
        <w:pBdr/>
        <w:spacing/>
        <w:ind/>
        <w:rPr/>
      </w:pPr>
      <w:r>
        <w:rPr>
          <w:b/>
        </w:rPr>
        <w:t xml:space="preserve">数据来源：</w:t>
      </w:r>
      <w:r>
        <w:t xml:space="preserve"> 公式中的净利润与营业收入数据均取自公司2025年度审计报告利润表。其中，营业收入为利润表首行项目，反映公司期内销售商品、提供劳务等主营业务的收入总额；净利润为利润表末行项目，反映公司扣除所有成本、费用、税金及附加、所得税后的最终经营成果。数据已经具备证券期货业务资格的会计师事务所审计，并出具标准无保留意见，确保数据的真实性与合规性。</w:t>
      </w:r>
      <w:r/>
    </w:p>
    <w:p>
      <w:pPr>
        <w:pBdr/>
        <w:spacing/>
        <w:ind/>
        <w:rPr/>
      </w:pPr>
      <w:r>
        <w:rPr>
          <w:b/>
        </w:rPr>
        <w:t xml:space="preserve">计算过程：</w:t>
      </w:r>
      <w:r>
        <w:t xml:space="preserve"> 将2025年度审计报告利润表中的净利润数值除以营业收入数值，再乘以100%，即可得出利润率的百分比数值。具体计算步骤为：（1）从利润表中提取营业收入总额；（2）从利润表中提取净利润总额；（3）计算二者比值并换算为百分比。计算过程遵循企业会计准则及财务分析的一般规范，确保口径一致、结果准确。</w:t>
      </w:r>
      <w:r/>
    </w:p>
    <w:p>
      <w:pPr>
        <w:pBdr/>
        <w:spacing/>
        <w:ind/>
        <w:rPr/>
      </w:pPr>
      <w:r>
        <w:rPr>
          <w:b/>
        </w:rPr>
        <w:t xml:space="preserve">计算结果：</w:t>
      </w:r>
      <w:r>
        <w:t xml:space="preserve"> 经以上公式计算，公司2025年度利润率为正，表明公司处于盈利状态，具备良好的经营实力与财务稳定性。该结果完全满足招标文件及评分办法中对投标人利润率为正的要求。具体数值以审计报告为准，可随投标文件提交后由评标委员会核查验证。</w:t>
      </w:r>
      <w:r/>
    </w:p>
    <w:p>
      <w:pPr>
        <w:pBdr/>
        <w:spacing/>
        <w:ind/>
        <w:rPr/>
      </w:pPr>
      <w:r>
        <w:rPr>
          <w:b/>
        </w:rPr>
        <w:t xml:space="preserve">补充说明：</w:t>
      </w:r>
      <w:r>
        <w:t xml:space="preserve"> 公司始终秉持稳健经营的理念，近年来持续保持正向利润率，具备充足的财务资源支持本项目的实施与交付，能够切实保障项目履约过程中的资金需求与服务连续性。</w:t>
      </w:r>
      <w:r/>
    </w:p>
    <w:p>
      <w:pPr>
        <w:pStyle w:val="718"/>
        <w:pBdr/>
        <w:spacing/>
        <w:ind/>
        <w:rPr/>
      </w:pPr>
      <w:r/>
      <w:bookmarkStart w:id="39" w:name="_Toc39"/>
      <w:r>
        <w:t xml:space="preserve">3.3.2利润率达标证明材料</w:t>
      </w:r>
      <w:bookmarkEnd w:id="39"/>
      <w:r/>
      <w:r/>
    </w:p>
    <w:p>
      <w:pPr>
        <w:pBdr/>
        <w:spacing/>
        <w:ind/>
        <w:rPr/>
      </w:pPr>
      <w:r>
        <w:t xml:space="preserve">根据我公司北京国舜科技股份有限公司2025年度财务审计报告，公司2025年度实现盈利，利润率为正，完全满足本项目对投标人利润率达标的要求。上述审计报告由具备合法执业资格的会计师事务所出具，审计意见类型为无保留意见，财务报表在所有重大方面按照企业会计准则的规定编制，公允反映了公司2025年12月31日的财务状况以及2025年度的经营成果和现金流量。</w:t>
      </w:r>
      <w:r/>
    </w:p>
    <w:p>
      <w:pPr>
        <w:pBdr/>
        <w:spacing/>
        <w:ind/>
        <w:rPr/>
      </w:pPr>
      <w:r>
        <w:t xml:space="preserve">本部分提供的证明材料包括：2025年度财务审计报告完整扫描件、审计机构营业执照及执业证书、注册会计师签字页、审计意见页、资产负债表、利润表、现金流量表、所有者权益变动表以及财务报表附注中的关键页面。其中，利润表关键页清晰列示了公司2025年度实现的营业收入、营业成本、税金及附加、期间费用、营业利润、利润总额、净利润等核心数据，相关利润数据经审计确认真实、准确、合法、完整，由此计算的利润率指标为正数，符合招标文件关于“投标人近一年利润率为正”的资格要求。</w:t>
      </w:r>
      <w:r/>
    </w:p>
    <w:p>
      <w:pPr>
        <w:pBdr/>
        <w:spacing/>
        <w:ind/>
        <w:rPr/>
      </w:pPr>
      <w:r>
        <w:t xml:space="preserve">上述证明材料的原件扫描件均加盖公司公章，关键财务数据与经审计的财务报表一致，不存在虚假记载、误导性陈述或重大遗漏。本材料与投标文件中“利润率计算说明”章节所采用的财务数据和计算口径完全一致，确保评审专家能够从数据来源、计算过程到结果验证形成完整闭环。若评审过程中需要进一步核验，我公司愿意提供经审计的财务报告原件、审计工作底稿或审计机构出具的说明文件予以配合。</w:t>
      </w:r>
      <w:r/>
    </w:p>
    <w:p>
      <w:pPr>
        <w:pBdr/>
        <w:spacing/>
        <w:ind/>
        <w:rPr/>
      </w:pPr>
      <w:r>
        <w:t xml:space="preserve">综上所述，我公司在利润率达标方面资格条件充分、证明材料完备、数据真实可靠，完全满足并响应本项目招标要求。</w:t>
      </w:r>
      <w:r/>
    </w:p>
    <w:p>
      <w:pPr>
        <w:pStyle w:val="716"/>
        <w:pBdr/>
        <w:spacing/>
        <w:ind/>
        <w:rPr/>
      </w:pPr>
      <w:r/>
      <w:bookmarkStart w:id="40" w:name="_Toc40"/>
      <w:r>
        <w:t xml:space="preserve">四、项目整体服务方案</w:t>
      </w:r>
      <w:bookmarkEnd w:id="40"/>
      <w:r/>
      <w:r/>
    </w:p>
    <w:p>
      <w:pPr>
        <w:pBdr/>
        <w:spacing/>
        <w:ind/>
        <w:rPr/>
      </w:pPr>
      <w:r>
        <w:t xml:space="preserve">本项目为2026-2027年网络安全服务采购，我公司高度重视，将以专业的安全服务能力和完善的管理体系为支撑，提供全</w:t>
      </w:r>
      <w:r>
        <w:t xml:space="preserve">方位、持续性的网络安全保障。方案重点围绕以下几个方面展开：首先，全面理解项目需求，结合行业特点与安全形势，识别重点难点，制定针对性策略；其次，构建总体服务架构，涵盖安全评估、监测、防护、响应、优化等核心环节，形成闭环服务机制；同时，配备经验丰富的安全服务团队，明确职责分工，实施规范化项目管理，确保服务高效交付；此外，制定详细的实施计划，分阶段推进各项任务，并建立质量保障体系与风险控制机制，对服务过程全程监控，及时发现和解决问题。我公司将严格履行合同义务，确保服务质量和安全标准，为项目的顺利实施提供坚实保障。</w:t>
      </w:r>
      <w:r/>
    </w:p>
    <w:p>
      <w:pPr>
        <w:pBdr/>
        <w:spacing/>
        <w:ind/>
        <w:rPr/>
      </w:pPr>
      <w:r>
        <w:t xml:space="preserve">为确保服务方案的系统性与可执行性，我公司将围绕项目全生命周期进行精细化管理：在前期，</w:t>
      </w:r>
      <w:r>
        <w:t xml:space="preserve">开展详细的需求调研与现状评估，明确安全基线；在中期，依据持续改进原则优化安全策略，定期开展渗透测试、漏洞扫描、应急演练等服务；在后期，进行总结复盘与成果转化，形成安全能力提升建议。同时，我公司将建立多层级沟通机制，确保与客户方信息同步，并通过月度报告、季度评审等方式汇报服务进展。针对可能出现的突发安全事件，我公司已制定专项应急预案，配备全天候应急响应团队，确保在第一时间遏制风险、减小影响。此外，我公司将严格遵循国家网络安全法律法规与行业监管要求，确保各项服务合规开展，切实保障中邮资管业务系统的安全稳定运行。</w:t>
      </w:r>
      <w:r/>
    </w:p>
    <w:p>
      <w:pPr>
        <w:pStyle w:val="717"/>
        <w:pBdr/>
        <w:spacing/>
        <w:ind/>
        <w:rPr/>
      </w:pPr>
      <w:r/>
      <w:bookmarkStart w:id="41" w:name="_Toc41"/>
      <w:r>
        <w:t xml:space="preserve">4.1项目理解与服务范围分析</w:t>
      </w:r>
      <w:bookmarkEnd w:id="41"/>
      <w:r/>
      <w:r/>
    </w:p>
    <w:p>
      <w:pPr>
        <w:pBdr/>
        <w:spacing/>
        <w:ind/>
        <w:rPr/>
      </w:pPr>
      <w:r>
        <w:t xml:space="preserve">针对中邮资管2026-2027年网络安全服务采购项目，我公司进行了深入的需求分析与现场调研，充分认识到本项目具有监管要求高、业务连续性保障要求严、安全服务覆盖面广等特点。在项目理解层面，我们基于对中邮资管业务形态、信息系统架构及网络安全现状的调研，识别出在渗透测试、漏洞扫描、应急响应、安全运营等核心服务领域的潜在风险与改进空间，为后续服务设计提供输入。</w:t>
      </w:r>
      <w:r/>
    </w:p>
    <w:p>
      <w:pPr>
        <w:pBdr/>
        <w:spacing/>
        <w:ind/>
        <w:rPr/>
      </w:pPr>
      <w:r>
        <w:t xml:space="preserve">服务范围分析将围绕项目背景、现状与难点识别、总体技术路线、服务团队配置、实施进度计划等维度展开，明确各子项的服务边界、交付标准与质量考核要求。具体而言，项目背景分析将结合监管政策与行业趋势，阐述安全服务采购的必要性与紧迫性；现状与难点识别将梳理网络资产暴露面、威胁检测能力、安全管理制度等环节的薄弱点；总体技术路线将设计分层分域的安全防护体系，并明确各服务模块的衔接方式；服务团队配置将说明项目管理、技术执行、专家支持等角色的分工与协同；实施进度计划则结合服务周期，制定分阶段推进的里程碑与交付安排。</w:t>
      </w:r>
      <w:r/>
    </w:p>
    <w:p>
      <w:pPr>
        <w:pBdr/>
        <w:spacing/>
        <w:ind/>
        <w:rPr/>
      </w:pPr>
      <w:r>
        <w:t xml:space="preserve">后续章节将依次说明安全服务体系架构、具体服务内容与操作流程、项目组织管理及风险控制措施，确保服务方案全面贴合招标需求。我们将严格按照本项目的总体目标，持续优化服务方案，为中邮资管提供高水平、可持续的网络安全保障，助力其业务稳健发展。</w:t>
      </w:r>
      <w:r/>
    </w:p>
    <w:p>
      <w:pPr>
        <w:pStyle w:val="718"/>
        <w:pBdr/>
        <w:spacing/>
        <w:ind/>
        <w:rPr/>
      </w:pPr>
      <w:r/>
      <w:bookmarkStart w:id="42" w:name="_Toc42"/>
      <w:r>
        <w:t xml:space="preserve">4.1.1项目背景及建设目标理解</w:t>
      </w:r>
      <w:bookmarkEnd w:id="42"/>
      <w:r/>
      <w:r/>
    </w:p>
    <w:p>
      <w:pPr>
        <w:pBdr/>
        <w:spacing/>
        <w:ind/>
        <w:rPr/>
      </w:pPr>
      <w:r>
        <w:t xml:space="preserve">中邮资管作为金融资产管理机构，其业务系统承载大量敏感金融数据，面临日趋严峻的网络安全威胁。近年来，网络安全法、数据安全法、个人信息保护法及等级保护2.0等法律法规相继实施，监管要求不断提高。本次采购旨在通过引入专业网络安全服务，构建全方位、多层次的安全防护体系，提升安全运营与应急响应能力，满足监管合规要求，保障业务持续稳定运行。同时，结合我司对金融行业的深刻理解，助力中邮资管实现安全与发展的平衡，为数字化转型保驾护航。</w:t>
      </w:r>
      <w:r/>
    </w:p>
    <w:p>
      <w:pPr>
        <w:pBdr/>
        <w:spacing/>
        <w:ind/>
        <w:rPr/>
      </w:pPr>
      <w:r>
        <w:t xml:space="preserve">在金融资产管理领域，中邮资管业务具有显著特点：涉及投资决策、资产定价</w:t>
      </w:r>
      <w:r>
        <w:t xml:space="preserve">、交易执行、风险控制等核心环节，系统间数据交互频繁，数据资产高度集中且敏感程度高，一旦发生安全事件，不仅可能导致重大经济损失，还可能影响金融市场稳定和投资者信心。当前，针对金融行业的网络攻击呈现专业化、团伙化、隐蔽化趋势，勒索病毒、高级可持续威胁、供应链攻击、零日漏洞利用等手段层出不穷，同时内部人员的误操作或违规行为也构成不可忽视的风险。监管层面，除网络安全法、数据安全法、个人信息保护法及等级保护2.0外，金融监管部门还陆续发布了多项数据安全与业务连续性相关指引与规范，对金融机构的网络安全能力提出更高要求。</w:t>
      </w:r>
      <w:r/>
    </w:p>
    <w:p>
      <w:pPr>
        <w:pBdr/>
        <w:spacing/>
        <w:ind/>
        <w:rPr/>
      </w:pPr>
      <w:r>
        <w:t xml:space="preserve">本次采购的建设目标因而具有明确指向性：一是通过专业安全服务全面加固现有系统的技术防护能力，缩小攻</w:t>
      </w:r>
      <w:r>
        <w:t xml:space="preserve">击暴露面；二是建立常态化的安全运营机制，提升威胁监测、分析与响应的及时性和有效性；三是完善应急响应与灾难恢复预案，确保业务连续性；四是满足各级监管检查与合规审计要求，降低合规风险；五是支撑中邮资管数字化转型战略，确保新技术应用过程中的安全可控。结合我司长期服务金融业的经验，我们深刻认识到，金融安全不仅是技术问题，更是体系性工程，需要以业务连续性为核心，整合人员、流程与技术，形成持续改进的安全闭环。我司将秉持专业与审慎的态度，协助中邮资管构建符合自身特点的安全防护与运营体系，实现安全能力与业务发展的深度融合。</w:t>
      </w:r>
      <w:r/>
    </w:p>
    <w:p>
      <w:pPr>
        <w:pStyle w:val="718"/>
        <w:pBdr/>
        <w:spacing/>
        <w:ind/>
        <w:rPr/>
      </w:pPr>
      <w:r/>
      <w:bookmarkStart w:id="43" w:name="_Toc43"/>
      <w:r>
        <w:t xml:space="preserve">4.1.2服务范围与需求分析</w:t>
      </w:r>
      <w:bookmarkEnd w:id="43"/>
      <w:r/>
      <w:r/>
    </w:p>
    <w:p>
      <w:pPr>
        <w:pBdr/>
        <w:spacing/>
        <w:ind/>
        <w:rPr/>
      </w:pPr>
      <w:r>
        <w:t xml:space="preserve">本项目为中邮资管2026-2027年网络安全服务采购项目，旨在通过专业安全服务保障招标人业务系统持续稳定运行。服务范围覆盖安全运营、渗透测试、攻防演练、重大活动保障（重保）、应急响应等安全工作，并依据招标文件要求及网络安全等级保护合规要求，构建“事前预防、事中监测、事后响应”的全周期安全能力。</w:t>
      </w:r>
      <w:r/>
    </w:p>
    <w:p>
      <w:pPr>
        <w:pBdr/>
        <w:spacing/>
        <w:ind/>
        <w:rPr/>
      </w:pPr>
      <w:r>
        <w:rPr>
          <w:b/>
        </w:rPr>
        <w:t xml:space="preserve">服务目标分析：</w:t>
      </w:r>
      <w:r>
        <w:t xml:space="preserve"> 针对招标人安全现状，需实现安全风险可知、可控、可管，提升整体防护水平。具体目标包括：及时发现并修复漏洞，防范网络攻击；保障重要时期系统稳定运行；快速处置安全事件，降低损失；持续提升安全团队技术能力。在此基础上，还应通过服务过程积累安全运营数据，为招标人后续安全规划提供决策依据，形成持续改进的闭环。</w:t>
      </w:r>
      <w:r/>
    </w:p>
    <w:p>
      <w:pPr>
        <w:pBdr/>
        <w:spacing/>
        <w:ind/>
        <w:rPr/>
      </w:pPr>
      <w:r>
        <w:rPr>
          <w:b/>
        </w:rPr>
        <w:t xml:space="preserve">采购标准解读：</w:t>
      </w:r>
      <w:r>
        <w:t xml:space="preserve"> 招标文件对服务商资质、技术能力、团队人员、服务响应时效等提出明确要求。本项目需结合采购标准，确保服务方案具备可操作性、可度量性，并满足合规性。资质方面，需具备信息安全服务相关资质；技术能力方面，需具备完善的漏洞扫描、渗透测试、应急响应工具链；人员方面，需配置经验丰富的项目经理和技术骨干；响应时效方面，需建立分级响应机制，明确不同安全事件的响应时限，确保服务及时有效，同时注重知识转移与安全意识宣贯，促进招标人安全团队能力提升。</w:t>
      </w:r>
      <w:r/>
    </w:p>
    <w:p>
      <w:pPr>
        <w:pBdr/>
        <w:spacing/>
        <w:ind/>
        <w:rPr/>
      </w:pPr>
      <w:r>
        <w:rPr>
          <w:b/>
        </w:rPr>
        <w:t xml:space="preserve">安全服务范围界定：</w:t>
      </w:r>
      <w:r>
        <w:t xml:space="preserve"> 根据需求，本项目服务内容包括但不限于：安全运营</w:t>
      </w:r>
      <w:r>
        <w:t xml:space="preserve">服务（日常监测、分析、预警），通过持续安全监测和日志分析，及时发现安全威胁并预警；渗透测试服务（定期评估应用及系统安全），模拟黑客攻击手段，从攻击者视角发现深层次漏洞；攻防演练服务（模拟实战验证防护有效性），通过红蓝对抗方式检验现有安全防御体系的健壮性；重保服务（重大活动期间专项保障），在重要会议或活动期间提供专人值守、重点监测和快速处置；应急响应服务（突发安全事件处置），建立应急响应预案，确保事件发生时能够快速止损、溯源和恢复。各项服务需形成闭环管理，并输出相应报告，确保每次服务均有明确交付物和整改建议。</w:t>
      </w:r>
      <w:r/>
    </w:p>
    <w:p>
      <w:pPr>
        <w:pBdr/>
        <w:spacing/>
        <w:ind/>
        <w:rPr/>
      </w:pPr>
      <w:r>
        <w:rPr>
          <w:b/>
        </w:rPr>
        <w:t xml:space="preserve">需求分析结论：</w:t>
      </w:r>
      <w:r>
        <w:t xml:space="preserve"> 综上所述，招标人现阶段亟需建立标准化、体系化的网络安全服务体系。服务方案应立足现状，覆盖全生命周期，突出实用性和实效性，确保各项服务可落地、可考核。同时，应注重与招标人现有安全管理体系相融合，明确各服务间接口和协同机制，避免出现职责空白和重复投入。建议以安全运营为核心，以渗透测试和攻防演练为验证手段，以重保和应急响应为兜底保障，形成多层级、全场景的安全服务组合，全面满足招标人网络安全需求。</w:t>
      </w:r>
      <w:r/>
    </w:p>
    <w:p>
      <w:pPr>
        <w:pStyle w:val="718"/>
        <w:pBdr/>
        <w:spacing/>
        <w:ind/>
        <w:rPr/>
      </w:pPr>
      <w:r/>
      <w:bookmarkStart w:id="44" w:name="_Toc44"/>
      <w:r>
        <w:t xml:space="preserve">4.1.3监管要求与合规性分析</w:t>
      </w:r>
      <w:bookmarkEnd w:id="44"/>
      <w:r/>
      <w:r/>
    </w:p>
    <w:p>
      <w:pPr>
        <w:pBdr/>
        <w:spacing/>
        <w:ind/>
        <w:rPr/>
      </w:pPr>
      <w:r>
        <w:t xml:space="preserve">本项目属于金融行业资产管理机构网络安全服务项目，需同时满足国家网络安全法律和金融行业监管要求。服务方案将合规性作为设计前提，确保各服务环节满足监管规定。资产管理机构承载客户资金与敏感投资数据，安全合规还涉及金融消费者保护、业务连续性等监管关切，因此本项目从法律法规、金融监管规章、行业技术标准三个层面系统梳理合规要求。</w:t>
      </w:r>
      <w:r/>
    </w:p>
    <w:p>
      <w:pPr>
        <w:pBdr/>
        <w:spacing/>
        <w:ind/>
        <w:rPr/>
      </w:pPr>
      <w:r>
        <w:t xml:space="preserve">主要依据包括《网络安全法》《数据安全法》《个人信息保护法》及等级保护标准（GB/T 22239）、《金融数据安全 数据安全分级指南》（JR/T 0197）等法律法规和行业标准。同时结合金融监管实践，关注《金融数据安全 数据安全评估规范》《银行保险机构信息科技外包风险监管办法》等监管指引，以及中国人民银行、国家金融监督管理总局等发布的相关安全管理要求，共同构成项目服务的合规基线。</w:t>
      </w:r>
      <w:r/>
    </w:p>
    <w:p>
      <w:pPr>
        <w:pBdr/>
        <w:spacing/>
        <w:ind/>
        <w:rPr/>
      </w:pPr>
      <w:r>
        <w:t xml:space="preserve">结合采购人行业特点，合规义务主要包括：完成等级保护定级备案和整改测评；实行数据分类分级和全生命周期保护；履行个人信息保护义务；定期开展风险评估和合规审计；按监管要求报送安全事件。此外，围绕资管业务特殊性，还需满足客户信息保密、交易数据完整性保护、业务连续性保障、供应商安全管理等监管要求，并建立覆盖网络、数据、终端、应用层面的持续合规监测机制。</w:t>
      </w:r>
      <w:r/>
    </w:p>
    <w:p>
      <w:pPr>
        <w:pBdr/>
        <w:spacing/>
        <w:ind/>
        <w:rPr/>
      </w:pPr>
      <w:r>
        <w:t xml:space="preserve">服务设计中，将上述要求转化为服务基线：在安全运营、风险评估、渗透测试中嵌入合规核查，定期输出差距分析；建立监管政策跟踪机制，及时调整安全策略与服务流程，确保服务周期内持续合规，降低采购人监管风险。同时设置合规检查点，在每个服务阶段开展对照检查，提供整改建议与优先级排序；建立监管要求知识库，动态更新检查要点，形成“评估—整改—验证—固化”的闭环管理机制，为采购人持续合规提供有力支撑。</w:t>
      </w:r>
      <w:r/>
    </w:p>
    <w:p>
      <w:pPr>
        <w:pStyle w:val="717"/>
        <w:pBdr/>
        <w:spacing/>
        <w:ind/>
        <w:rPr/>
      </w:pPr>
      <w:r/>
      <w:bookmarkStart w:id="45" w:name="_Toc45"/>
      <w:r>
        <w:t xml:space="preserve">4.2重点难点分析与应对策略</w:t>
      </w:r>
      <w:bookmarkEnd w:id="45"/>
      <w:r/>
      <w:r/>
    </w:p>
    <w:p>
      <w:pPr>
        <w:pBdr/>
        <w:spacing/>
        <w:ind/>
        <w:rPr/>
      </w:pPr>
      <w:r>
        <w:t xml:space="preserve">鉴于网络安全服务的专业性与复杂性，本公司在充分理解中邮资管2026-2027年网络安全服务需求的基础上，从业务、技术、项目管理三个维度系统识别项目实施中的重点与难点，并建立针对性的应对策略框架。本章作为总体说明，先给出分析维度与应对框架，后续章节将分别展开具体措施。</w:t>
      </w:r>
      <w:r/>
    </w:p>
    <w:p>
      <w:pPr>
        <w:pBdr/>
        <w:spacing/>
        <w:ind/>
        <w:rPr/>
      </w:pPr>
      <w:r>
        <w:t xml:space="preserve">业务难点方面，中邮资管作为金融资产管理机构，需满足银保监会等监管机构的合规要求，同时保障核心业务连续性与客户敏感数据安全。具体难点可细化</w:t>
      </w:r>
      <w:r>
        <w:t xml:space="preserve">为：一是监管要求日益严格且更新频繁，需要服务团队持续跟踪解读并确保各项安全措施合规落地；二是数据安全法、个人信息保护法等法律法规实施后，对数据资产分类分级、脱敏加密、访问控制等提出更高要求，一旦泄露将造成严重声誉与经济损失；三是业务系统7×24小时运行，安全防护措施不得影响业务可用性，需要在保障安全的同时避免业务中断。针对上述难点，本公司将重点管控合规风险、数据泄露风险及业务中断风险，落实合规审计与差距分析、数据安全治理与全生命周期防护、高可用架构设计与冗余备份等具体措施，并将这些措施嵌入日常安全运营流程。</w:t>
      </w:r>
      <w:r/>
    </w:p>
    <w:p>
      <w:pPr>
        <w:pBdr/>
        <w:spacing/>
        <w:ind/>
        <w:rPr/>
      </w:pPr>
      <w:r>
        <w:t xml:space="preserve">技术难点方面，当前网络攻击手段不断演进升级，高级持续性威胁（APT）、勒索软件、供应链攻击等新型攻击方式层出不穷，而中邮资管已有的安全设备与系统异</w:t>
      </w:r>
      <w:r>
        <w:t xml:space="preserve">构性强，不同厂商的产品日志格式、告警策略、接口协议存在差异，加大了统一监控与协同响应难度。此外，资产暴露面持续扩大，云上业务、移动办公等新场景带来新的风险点，传统基于规则的安全防护手段难以有效发现未知威胁。针对上述技术难点，本公司将依托自主可控的渗透测试工具、漏洞扫描平台和威胁情报联动机制，提升未知威胁发现与溯源能力；通过标准化日志收集与归一化处理，构建统一安全数据湖；借助安全编排与自动化响应（SOAR）技术，将跨设备联动响应流程化；并通过定期攻防演练验证防御体系有效性，持续优化策略，构建全局技术防御体系。</w:t>
      </w:r>
      <w:r/>
    </w:p>
    <w:p>
      <w:pPr>
        <w:pBdr/>
        <w:spacing/>
        <w:ind/>
        <w:rPr/>
      </w:pPr>
      <w:r>
        <w:t xml:space="preserve">项目管理难点方面，本次服务周期长达两年，涉及等保测评、渗透测试、应急响应、安全运营、培训演练等多</w:t>
      </w:r>
      <w:r>
        <w:t xml:space="preserve">项工作，工作内容繁杂且专业要求高，需要兼顾人员稳定性与多方协同。具体难点包括：一是服务周期长，核心技术人员可能流动，导致项目交接成本高、服务质量波动；二是项目干系人涉及甲方信息科技部、各业务部门以及多个外部服务商，沟通链路长，需求变更频繁，需有效管理期望与进度；三是安全服务效果难以量化，需要建立科学的质量考核体系。针对上述项目管理难点，本公司将通过标准化服务流程（SOP）、明确角色分工与责任矩阵、执行周报月报与例会制度、建立问题升级与闭环管理机制，以及实施全过程质量控制，确保项目顺利交付并保持服务质量稳定。</w:t>
      </w:r>
      <w:r/>
    </w:p>
    <w:p>
      <w:pPr>
        <w:pBdr/>
        <w:spacing/>
        <w:ind/>
        <w:rPr/>
      </w:pPr>
      <w:r>
        <w:t xml:space="preserve">应对策略框架遵循“预防为主、主动防御、持续改进”的原则，通过强化风险评估、优化资源配置、完善流程规范、引入自动化工具等手段，确保服务方案具有可操作性与适应性。同时建立动态反馈与持续改进机制，将每次安全事件、演练结果、审计发现作为改进输入，定期更新风险处置策略和服务方案。具体到业务、技术与项目管理三个维度的详细对策，将在本方案后续章节分类阐述。</w:t>
      </w:r>
      <w:r/>
    </w:p>
    <w:p>
      <w:pPr>
        <w:pStyle w:val="718"/>
        <w:pBdr/>
        <w:spacing/>
        <w:ind/>
        <w:rPr/>
      </w:pPr>
      <w:r/>
      <w:bookmarkStart w:id="46" w:name="_Toc46"/>
      <w:r>
        <w:t xml:space="preserve">4.2.1关键技术难点识别与应对</w:t>
      </w:r>
      <w:bookmarkEnd w:id="46"/>
      <w:r/>
      <w:r/>
    </w:p>
    <w:p>
      <w:pPr>
        <w:pBdr/>
        <w:spacing/>
        <w:ind/>
        <w:rPr/>
      </w:pPr>
      <w:r>
        <w:rPr>
          <w:b/>
        </w:rPr>
        <w:t xml:space="preserve">安全运营复杂性</w:t>
      </w:r>
      <w:r>
        <w:t xml:space="preserve">：金融机构安全运营涉及多类业务系统与海量安全日志，告警量大且误报率高，安全事件响应时效要求严苛。我司采用智能安全运营平台，结合安全专家经验与机器学习算法，对告警进行降噪和关联分析，建立分级响应机制，实现7×24小时监测与快速处置，确保安全事件有效闭环。</w:t>
      </w:r>
      <w:r/>
    </w:p>
    <w:p>
      <w:pPr>
        <w:pBdr/>
        <w:spacing/>
        <w:ind/>
        <w:rPr/>
      </w:pPr>
      <w:r>
        <w:t xml:space="preserve">针对多源异构安全数据，我们建立统一的日志接入与标准化解析层，通过特征工程与行为基线建模提升检测精度，利用SOAR编排自动化响应流程，将常见威胁的处置时间缩短至分钟级。同时，我们引入威胁情报联动机制，将外部情报与内部资产画像关联，及时发现新型攻击苗头，并定期开展安全运营复盘，持续优化检测规则与响应流程，确保运营体系适应不断演变的威胁环境。</w:t>
      </w:r>
      <w:r/>
    </w:p>
    <w:p>
      <w:pPr>
        <w:pBdr/>
        <w:spacing/>
        <w:ind/>
        <w:rPr/>
      </w:pPr>
      <w:r>
        <w:rPr>
          <w:b/>
        </w:rPr>
        <w:t xml:space="preserve">攻防演练高要求</w:t>
      </w:r>
      <w:r>
        <w:t xml:space="preserve">：实战攻防演练中攻击手段复杂隐蔽，防守方需具备全面检测、及时阻断与溯源能力。我司通过前期资产梳理与漏洞排查，部署蜜罐诱捕与攻击诱饵，强化边界和内网流量监测，演练期间安排渗透测试与安全运营人员协同值守，配套应急响应预案，确保真实攻击下可快速定位、隔离并溯源。</w:t>
      </w:r>
      <w:r/>
    </w:p>
    <w:p>
      <w:pPr>
        <w:pBdr/>
        <w:spacing/>
        <w:ind/>
        <w:rPr/>
      </w:pPr>
      <w:r>
        <w:t xml:space="preserve">此外，我们采用威胁狩猎方法主动搜寻绕过传统防护的隐蔽入侵，利用EDR和NDR构建端点与网络双层态势感知，对异常行为进行深度分析。在演练前开展基于真实业务场景的红蓝对抗推演，验证现有防御体系有效性并提前修补薄弱环节；演练中实时追踪攻击者TTP，动态调整防护策略，同时建立与监管机构和同行业伙伴的情报共享渠道，形成协同防御合力，提升整体对抗效能。</w:t>
      </w:r>
      <w:r/>
    </w:p>
    <w:p>
      <w:pPr>
        <w:pBdr/>
        <w:spacing/>
        <w:ind/>
        <w:rPr/>
      </w:pPr>
      <w:r>
        <w:rPr>
          <w:b/>
        </w:rPr>
        <w:t xml:space="preserve">数据安全与合规约束</w:t>
      </w:r>
      <w:r>
        <w:t xml:space="preserve">：资管行业数据敏感度高，安全服务必须兼顾监管合规。我司严格遵循数据安全管理制度，对服务过程中接触的日志、配置和样本数据进行脱敏与加密，操作全程留痕，并按照等级保护与行业监管要求执行安全策略，确保服务过程安全合规。</w:t>
      </w:r>
      <w:r/>
    </w:p>
    <w:p>
      <w:pPr>
        <w:pBdr/>
        <w:spacing/>
        <w:ind/>
        <w:rPr/>
      </w:pPr>
      <w:r>
        <w:t xml:space="preserve">为满足金融行业严苛的数据安全规范，我们建立数据资产分类分级清单，实施数据最小化采集与使用原则，对敏感操作执行双人审批与审计追溯。安全工具和平台均支持国密算法与私有化部署，数据外发前经过严格的内容过滤和脱敏处理。与此同时，我们定期开展合规性自查与员工数据安全意识培训，确保所有服务行为符合《数据安全法》《个人信息保护法》及相关行业监管要求，在保障安全能力的同时切实履行数据安全保护义务。</w:t>
      </w:r>
      <w:r/>
    </w:p>
    <w:p>
      <w:pPr>
        <w:pStyle w:val="718"/>
        <w:pBdr/>
        <w:spacing/>
        <w:ind/>
        <w:rPr/>
      </w:pPr>
      <w:r/>
      <w:bookmarkStart w:id="47" w:name="_Toc47"/>
      <w:r>
        <w:t xml:space="preserve">4.2.2项目管理难点分析与对策</w:t>
      </w:r>
      <w:bookmarkEnd w:id="47"/>
      <w:r/>
      <w:r/>
    </w:p>
    <w:p>
      <w:pPr>
        <w:pBdr/>
        <w:spacing/>
        <w:ind/>
        <w:rPr/>
      </w:pPr>
      <w:r>
        <w:t xml:space="preserve">项目管理是保障中邮资管2026-2027年网络安全服务项目顺利实施的核心环节。针对本项目服务内容多、周期长、质量要求高的特点，需重点解决以下难点并采取相应措施。</w:t>
      </w:r>
      <w:r/>
    </w:p>
    <w:p>
      <w:pPr>
        <w:pBdr/>
        <w:spacing/>
        <w:ind/>
        <w:rPr/>
      </w:pPr>
      <w:r>
        <w:rPr>
          <w:b/>
        </w:rPr>
        <w:t xml:space="preserve">多线程安全服务并发管理：</w:t>
      </w:r>
      <w:r>
        <w:t xml:space="preserve"> 本项目涉及渗透测试、漏洞扫描、安全加固、应急响应等多个安全服务并行实施，资源冲突与任务交叉是主要难点。对策为制定详细的项目实施计划，采用WBS任务分解，明确每项服务的执行顺序和资源分配；设置专职项目经理统筹调度，每日召开站会同步进度，每周发布项目周报，确保各项服务有条不紊推进。</w:t>
      </w:r>
      <w:r/>
    </w:p>
    <w:p>
      <w:pPr>
        <w:pBdr/>
        <w:spacing/>
        <w:ind/>
        <w:rPr/>
      </w:pPr>
      <w:r>
        <w:rPr>
          <w:b/>
        </w:rPr>
        <w:t xml:space="preserve">时间节点控制：</w:t>
      </w:r>
      <w:r>
        <w:t xml:space="preserve"> 项目周期跨2026至2027年，阶段性强，时间节点紧张。对策为建立里程碑管理机制，将项目划分为启动、实施、验收等阶段，每个阶段设置明确的关键节点和交付物；运用项目管理工具跟踪实际进度与计划偏差，对可能延误的任务提前预警并制定赶工措施，确保按时交付。</w:t>
      </w:r>
      <w:r/>
    </w:p>
    <w:p>
      <w:pPr>
        <w:pBdr/>
        <w:spacing/>
        <w:ind/>
        <w:rPr/>
      </w:pPr>
      <w:r>
        <w:rPr>
          <w:b/>
        </w:rPr>
        <w:t xml:space="preserve">沟通协调：</w:t>
      </w:r>
      <w:r>
        <w:t xml:space="preserve"> 项目涉及甲方信息技术部、安全团队、业务部门等多方，沟通不畅易导致需求理解偏差和决策延迟。对策为建立分层沟通机制，明确各层级对接人和汇报频率；定期召开项目例会、阶段汇报会和专题沟通会，及时同步项目进展；设立问题升级渠道，确保重大事项快速决策。</w:t>
      </w:r>
      <w:r/>
    </w:p>
    <w:p>
      <w:pPr>
        <w:pBdr/>
        <w:spacing/>
        <w:ind/>
        <w:rPr/>
      </w:pPr>
      <w:r>
        <w:rPr>
          <w:b/>
        </w:rPr>
        <w:t xml:space="preserve">质量保障：</w:t>
      </w:r>
      <w:r>
        <w:t xml:space="preserve"> 网络安全服务质量直接影响企业安全防护效果，如何确保服务成果符合标准是难点。对策为建立覆盖全过程的质量管理体系，制定各项服务的质量标准和验收规范；实行实施人员自检、项目经理复核、公司质量部终审的三级审核制度；引入客户满意度调查，持续改进服务质量。</w:t>
      </w:r>
      <w:r/>
    </w:p>
    <w:p>
      <w:pPr>
        <w:pBdr/>
        <w:spacing/>
        <w:ind/>
        <w:rPr/>
      </w:pPr>
      <w:r>
        <w:t xml:space="preserve">另外，针对人员稳定性，将加强团队建设与知识管理，通过AB角机制确保人员变动不中断服务。</w:t>
      </w:r>
      <w:r/>
    </w:p>
    <w:p>
      <w:pPr>
        <w:pStyle w:val="718"/>
        <w:pBdr/>
        <w:spacing/>
        <w:ind/>
        <w:rPr/>
      </w:pPr>
      <w:r/>
      <w:bookmarkStart w:id="48" w:name="_Toc48"/>
      <w:r>
        <w:t xml:space="preserve">4.2.3服务风险防控与应急预案</w:t>
      </w:r>
      <w:bookmarkEnd w:id="48"/>
      <w:r/>
      <w:r/>
    </w:p>
    <w:p>
      <w:pPr>
        <w:pBdr/>
        <w:spacing/>
        <w:ind/>
        <w:rPr/>
      </w:pPr>
      <w:r>
        <w:rPr>
          <w:b/>
        </w:rPr>
        <w:t xml:space="preserve">风险识别：</w:t>
      </w:r>
      <w:r>
        <w:t xml:space="preserve"> 重点防控人员变动、技术故障、安全事件处置延误等风险，同时覆盖数据泄露、勒索病毒攻击、供应链安全、钓鱼邮件等常见网络安全威胁。我们将在项目启动初期建立风险登记册，结合历史项目经验与最新的威胁情报，对服务过程中可能出现的各类风险进行系统化识别与分级，确保风险防控无死角。针对每一类风险，明确风险触发条件、影响范围及可能造成的后果，为后续制定针对性的防控措施提供依据。</w:t>
      </w:r>
      <w:r/>
    </w:p>
    <w:p>
      <w:pPr>
        <w:pBdr/>
        <w:spacing/>
        <w:ind/>
        <w:rPr/>
      </w:pPr>
      <w:r>
        <w:rPr>
          <w:b/>
        </w:rPr>
        <w:t xml:space="preserve">防控措施：</w:t>
      </w:r>
      <w:r>
        <w:t xml:space="preserve"> 制定详细应急预案，建立应急组织，项目经理担任应急总指挥，明确各岗位职责。同时，设立应急后备小组，确保关键岗位人员变更时能够无缝接管。针对技术故障，我们预先配置冗余设备和备用工具，建立工具健康检查机制，定期对设备与软件进行维护和升级，降低故障发生概率。针对人员变动，我们实行AB角制度，核心岗位均配备备选人员，并开展交叉培训，确保人员流动不影响服务质量。应急预案覆盖各类可能的安全事件，并明确启动条件、处置流程和资源调配方案，确保在收到安全事件告警后能够快速响应。</w:t>
      </w:r>
      <w:r/>
    </w:p>
    <w:p>
      <w:pPr>
        <w:pBdr/>
        <w:spacing/>
        <w:ind/>
        <w:rPr/>
      </w:pPr>
      <w:r>
        <w:rPr>
          <w:b/>
        </w:rPr>
        <w:t xml:space="preserve">响应流程：</w:t>
      </w:r>
      <w:r>
        <w:t xml:space="preserve"> 发现事件后立即启动应急响应，按报告、处置、恢复、总结流程执行。报告阶段：事件发现者立即向应急总指挥汇报，并整理书面材料，确保信息准确传递。处置阶段：根据事件等级启动相应预案，应急小组迅速开展分析、隔离、遏制和消除工作，必要时协调外部专家或厂商支援。恢复阶段：在确认风险消除后，逐步恢复业务系统运行，并对受影响系统进行加固和复查，确保无残留风险。总结阶段：事件处置完成后，组织复盘会议，分析根本原因，输出详尽的事件报告，提出改进措施并更新应急预案。</w:t>
      </w:r>
      <w:r/>
    </w:p>
    <w:p>
      <w:pPr>
        <w:pBdr/>
        <w:spacing/>
        <w:ind/>
        <w:rPr/>
      </w:pPr>
      <w:r>
        <w:rPr>
          <w:b/>
        </w:rPr>
        <w:t xml:space="preserve">演练与评估：</w:t>
      </w:r>
      <w:r>
        <w:t xml:space="preserve"> 定期开展应急演练，检验预案可行性，评估防控效果并持续调整。演练计划包括桌面推演和实战演练，覆盖勒索病毒攻击、数据泄露、钓鱼邮件、系统故障等多种场景。每次演练后，组织参与人员进行复盘，评估预案中各环节的执行效率，发现漏洞并优化。同时，我们建立持续改进机制，根据实际事件处置经验、演练成果以及外部威胁态势的变化，定期更新风险登记册和应急预案，确保应急响应能力始终与当前安全威胁保持一致。</w:t>
      </w:r>
      <w:r/>
    </w:p>
    <w:p>
      <w:pPr>
        <w:pStyle w:val="717"/>
        <w:pBdr/>
        <w:spacing/>
        <w:ind/>
        <w:rPr/>
      </w:pPr>
      <w:r/>
      <w:bookmarkStart w:id="49" w:name="_Toc49"/>
      <w:r>
        <w:t xml:space="preserve">4.3总体服务方案设计</w:t>
      </w:r>
      <w:bookmarkEnd w:id="49"/>
      <w:r/>
      <w:r/>
    </w:p>
    <w:p>
      <w:pPr>
        <w:pBdr/>
        <w:spacing/>
        <w:ind/>
        <w:rPr/>
      </w:pPr>
      <w:r>
        <w:rPr>
          <w:b/>
        </w:rPr>
        <w:t xml:space="preserve">总体思路</w:t>
      </w:r>
      <w:r/>
    </w:p>
    <w:p>
      <w:pPr>
        <w:pBdr/>
        <w:spacing/>
        <w:ind/>
        <w:rPr/>
      </w:pPr>
      <w:r>
        <w:t xml:space="preserve">针对中邮资管2026-2027年网络安全服务采购项目，北京国舜科技股份有限公司以“全面防护、主动响应、持续改进”为核心，设计覆盖事前防范、事中监测、事后处置全流程的整体服务方案。方案以资产和风险为导向，整合安全评估、渗透测试、安全运维、应急响应等服务内容，形成闭环服务体系。</w:t>
      </w:r>
      <w:r/>
    </w:p>
    <w:p>
      <w:pPr>
        <w:pBdr/>
        <w:spacing/>
        <w:ind/>
        <w:rPr/>
      </w:pPr>
      <w:r>
        <w:t xml:space="preserve">方案以资产、风险与合规三维驱动为设计导向，强调事前预防为主、事中监测为要、事后处置为基的服务理念。所有服务均以客户业务连续性为根本，通过持续的风险识别与整改闭环，将安全能力深度融入日常运营管理。同时，依托公司自主研发的安全工具和国家级安全服务实战经验，确保方案既具备理论先进性，又具备落地可行性。</w:t>
      </w:r>
      <w:r/>
    </w:p>
    <w:p>
      <w:pPr>
        <w:pBdr/>
        <w:spacing/>
        <w:ind/>
        <w:rPr/>
      </w:pPr>
      <w:r>
        <w:rPr>
          <w:b/>
        </w:rPr>
        <w:t xml:space="preserve">服务范围与内容框架</w:t>
      </w:r>
      <w:r/>
    </w:p>
    <w:p>
      <w:pPr>
        <w:pBdr/>
        <w:spacing/>
        <w:ind/>
        <w:rPr/>
      </w:pPr>
      <w:r>
        <w:t xml:space="preserve">服务范围涵盖安全咨询、风险评估、安全加固、日志与流量监测、威胁情报分析、应急响应及安全值守等。内容框架分为基础、专项和增值三个层级，相互衔接、动态调整。</w:t>
      </w:r>
      <w:r/>
    </w:p>
    <w:p>
      <w:pPr>
        <w:pBdr/>
        <w:spacing/>
        <w:ind/>
        <w:rPr/>
      </w:pPr>
      <w:r>
        <w:t xml:space="preserve">基础服务聚焦常态化安全运营，提供持续监测、巡检与维护；专项服务针对高危漏洞、重大威胁和关键业务场景，开展渗透测试、应急演练与攻防对抗；增值服务围绕安全意识提升、数据安全治理和管理优化提供定制化支撑。三个层级并非彼此独立，而是通过统一的服务目录和协作流程实现联动：基础服务发现的风险可及时触发专项服务，专项服务成果可反向优化基础服务策略，增值服务则对整体安全水位持续提升，形成动态演进的服务体系。</w:t>
      </w:r>
      <w:r/>
    </w:p>
    <w:p>
      <w:pPr>
        <w:pBdr/>
        <w:spacing/>
        <w:ind/>
        <w:rPr/>
      </w:pPr>
      <w:r>
        <w:rPr>
          <w:b/>
        </w:rPr>
        <w:t xml:space="preserve">服务流程与组织架构</w:t>
      </w:r>
      <w:r/>
    </w:p>
    <w:p>
      <w:pPr>
        <w:pBdr/>
        <w:spacing/>
        <w:ind/>
        <w:rPr/>
      </w:pPr>
      <w:r>
        <w:t xml:space="preserve">服务流程遵循PDCA循环，完成需求确认、方案制定、实施执行、效果评估和总结反馈，并通过关键节点评审保障质量。</w:t>
      </w:r>
      <w:r/>
    </w:p>
    <w:p>
      <w:pPr>
        <w:pBdr/>
        <w:spacing/>
        <w:ind/>
        <w:rPr/>
      </w:pPr>
      <w:r>
        <w:t xml:space="preserve">方案在实施过程中实行项目责任制和关键节点评审制，由项目经理统筹协调，确保各服务节点有序衔接。同时建立双向沟通机制，定期向客户汇报进展与风险，及时收集反馈并调整方案，以适应不断变化的威胁环境。此外，通过标准化交付文档和量化评价指标，确保服务成效可度量、可追溯，为后续质量控制、人员稳定和持续改进等保障措施奠定管理基础。组织架构由项目管理、技术实施和应急支持三组构成，实行项目经理负责制，确保响应及时、处置高效。后续章节将详述质量控制、人员稳定和持续改进等保障措施。</w:t>
      </w:r>
      <w:r/>
    </w:p>
    <w:p>
      <w:pPr>
        <w:pStyle w:val="718"/>
        <w:pBdr/>
        <w:spacing/>
        <w:ind/>
        <w:rPr/>
      </w:pPr>
      <w:r/>
      <w:bookmarkStart w:id="50" w:name="_Toc50"/>
      <w:r>
        <w:t xml:space="preserve">4.3.1服务架构与技术路线设计</w:t>
      </w:r>
      <w:bookmarkEnd w:id="50"/>
      <w:r/>
      <w:r/>
    </w:p>
    <w:p>
      <w:pPr>
        <w:pBdr/>
        <w:spacing/>
        <w:ind/>
        <w:rPr/>
      </w:pPr>
      <w:r>
        <w:rPr>
          <w:b/>
        </w:rPr>
        <w:t xml:space="preserve">总体服务架构</w:t>
      </w:r>
      <w:r/>
    </w:p>
    <w:p>
      <w:pPr>
        <w:pBdr/>
        <w:spacing/>
        <w:ind/>
        <w:rPr/>
      </w:pPr>
      <w:r>
        <w:t xml:space="preserve">围绕中邮资管网络安全服务需求，构建以安全运营为中心、攻防能力为支撑的一体化服务架构。整体分为四层：基础安全服务层负责资产梳理、漏洞扫描、基线核查等例行工作；安全运营层基于平台对日志与流量进行关联分析，实现威胁监测和工单闭环；攻防对抗层面向渗透测试、攻防演练和重保场景，提供攻击模拟、漏洞验证、溯源反制等专项能力；持续改进层依据运营数据和攻防结果优化安全策略，推动体系持续进化。</w:t>
      </w:r>
      <w:r/>
    </w:p>
    <w:p>
      <w:pPr>
        <w:pBdr/>
        <w:spacing/>
        <w:ind/>
        <w:rPr/>
      </w:pPr>
      <w:r>
        <w:t xml:space="preserve">其中，安全运营层是整体架构的中枢，通过建立统一的威胁检测与响应（TDR）流程，将基础安全服务层发现的资产脆弱性、攻防对抗层输出的攻击路径验证结果以及持续改进层生成的策略基线进行汇聚，形成“资产—风险—事件—改进”的闭环管理。为保障各层协同高效，项目组将设立联合指挥中心，明确事件分级响应机制和跨层工单流转规范，确保从发现到处置不超过既定时限。同时，所有服务过程数据均按分级分类要求存储加密，并通过季度复盘会议向客户汇报运营成效。各层级数据互通、流程联动，形成完整闭环。</w:t>
      </w:r>
      <w:r/>
    </w:p>
    <w:p>
      <w:pPr>
        <w:pBdr/>
        <w:spacing/>
        <w:ind/>
        <w:rPr/>
      </w:pPr>
      <w:r>
        <w:rPr>
          <w:b/>
        </w:rPr>
        <w:t xml:space="preserve">技术路线</w:t>
      </w:r>
      <w:r/>
    </w:p>
    <w:p>
      <w:pPr>
        <w:pBdr/>
        <w:spacing/>
        <w:ind/>
        <w:rPr/>
      </w:pPr>
      <w:r>
        <w:t xml:space="preserve">采用“标准化流程+自动化工具+专家研判”的技术路线。方法论上遵循PDCA循环，将服务过程划分为资产识别、脆弱性检测、威胁分析、响应处置、复盘改进五个阶段，并参考OWASP、PTES、NIST等业界标准进行裁剪。平台工具方面，依托公司自主研发的安全运营平台、漏洞管理系统和攻防演练平台，实现告警聚合、工单流转、知识库沉淀；针对特定场景定制自动化脚本，提升效率。所有核心平台均为自主知识产权，支持私有化部署和源代码级定制，确保服务过程自主可控。</w:t>
      </w:r>
      <w:r/>
    </w:p>
    <w:p>
      <w:pPr>
        <w:pBdr/>
        <w:spacing/>
        <w:ind/>
        <w:rPr/>
      </w:pPr>
      <w:r>
        <w:t xml:space="preserve">工具选型方面，优先采用经过实际攻防检验的自研平台，漏洞扫描器支持CVE/CNVD/CNNVD漏洞库同步，攻防演练平台内置ATT&amp;CK攻击模型和自动化评估引擎。方法论应用上，在渗透测试环节参照PTES和OWASP Testing Guide定制检测用例库；在应急响应环节遵循NIST SP 800-61六阶段流程，并结合公司沉淀的应急预案库进行裁剪。自动化方面，通过脚本托管平台对常用工具进行编排，实现批量资产探测、漏洞验证、结果报告自动生成，同时保留人工专家复核环节，确保低误报与高质量交付。</w:t>
      </w:r>
      <w:r/>
    </w:p>
    <w:p>
      <w:pPr>
        <w:pStyle w:val="718"/>
        <w:pBdr/>
        <w:spacing/>
        <w:ind/>
        <w:rPr/>
      </w:pPr>
      <w:r/>
      <w:bookmarkStart w:id="51" w:name="_Toc51"/>
      <w:r>
        <w:t xml:space="preserve">4.3.2分项服务实施方案</w:t>
      </w:r>
      <w:bookmarkEnd w:id="51"/>
      <w:r/>
      <w:r/>
    </w:p>
    <w:p>
      <w:pPr>
        <w:pBdr/>
        <w:spacing/>
        <w:ind/>
        <w:rPr/>
      </w:pPr>
      <w:r>
        <w:t xml:space="preserve">针对本项目分项安全服务，我公司制定了标准化实施框架，结合资产画像、威胁情报与合规要求，逐项细化流程、技术方法、交付物与质量标准，确保每一项服务可执行、可度量、可追溯。具体分项方案如下：</w:t>
      </w:r>
      <w:r/>
    </w:p>
    <w:p>
      <w:pPr>
        <w:pStyle w:val="746"/>
        <w:pBdr/>
        <w:spacing/>
        <w:ind/>
        <w:rPr/>
      </w:pPr>
      <w:r>
        <w:rPr>
          <w:b/>
        </w:rPr>
        <w:t xml:space="preserve">安全运营</w:t>
      </w:r>
      <w:r>
        <w:t xml:space="preserve">：采用“识别-防护-监测-响应-恢复”闭环模型，以资产管理为基础，依托态势感知平台开展7×24小时实时监测；通过告警分级、威胁狩猎、事件研判与工单联动形成标准化处置流程；每日开展规则调优与误报治理，每周输出运营周报，每月开展脆弱性管理复盘。交付物包括安全运营日报、周报、月报，告警处置记录，分析研判报告与优化建议清单。质量指标包括告警处置及时率不低于约定阈值、误报率持续降低、重大事件发现率100%，并定期开展服务满意度评估。</w:t>
      </w:r>
      <w:r/>
    </w:p>
    <w:p>
      <w:pPr>
        <w:pStyle w:val="746"/>
        <w:pBdr/>
        <w:spacing/>
        <w:ind/>
        <w:rPr/>
      </w:pPr>
      <w:r>
        <w:rPr>
          <w:b/>
        </w:rPr>
        <w:t xml:space="preserve">渗透测试</w:t>
      </w:r>
      <w:r>
        <w:t xml:space="preserve">：依据PTES和OWASP测试框架，采用黑盒、白盒与灰盒相结合的方式，分为信息收集、威胁建模、漏洞探测、验证利用、后渗透分析与报告输出六个阶段；明确测试边界与保密协议，使用经授权的专业工具及自研工具，避免影响业务连续性。交付物包括渗透测试报告、漏洞复测记录、漏洞验证截图与整改建议；对于高危漏洞，复测通过后方可关闭工单。质量指标包括高危漏洞复测通过率100%、漏洞发现覆盖率、测试过程可追溯性以及报告规范性。</w:t>
      </w:r>
      <w:r/>
    </w:p>
    <w:p>
      <w:pPr>
        <w:pStyle w:val="746"/>
        <w:pBdr/>
        <w:spacing/>
        <w:ind/>
        <w:rPr/>
      </w:pPr>
      <w:r>
        <w:rPr>
          <w:b/>
        </w:rPr>
        <w:t xml:space="preserve">攻防演练</w:t>
      </w:r>
      <w:r>
        <w:t xml:space="preserve">：结合真实威胁场景设计演练方案，明确攻击队、防守队、裁判组与指挥部职责；演练前开展安全排查与策略优化，演练中采用多种攻击路径检验检测与响应能力，演练后组织复盘会议，输出演练总结报告、防守能力评估表与整改跟踪清单。以攻击成功率、防守阻断率、时间线响应效率作为评估指标，并推动安全策略与应急流程持续改进。</w:t>
      </w:r>
      <w:r/>
    </w:p>
    <w:p>
      <w:pPr>
        <w:pStyle w:val="746"/>
        <w:pBdr/>
        <w:spacing/>
        <w:ind/>
        <w:rPr/>
      </w:pPr>
      <w:r>
        <w:rPr>
          <w:b/>
        </w:rPr>
        <w:t xml:space="preserve">重要时期保障</w:t>
      </w:r>
      <w:r>
        <w:t xml:space="preserve">：形成“备战-临战-实战-总结”四阶段保障机制。备战期开展资产梳理、漏洞扫描、渗透测试与策略优化；临战期实施封网管理、安全值守排班和应急物资准备；实战期驻场值守、实时监测、每日研判，对告警和信息进行小时级汇总；总结期提交保障总结报告并完成事件复盘与改进措施。质量指标为重大活动期间无重大安全事件、安全事件响应及时率100%、保障报告按期交付率100%。</w:t>
      </w:r>
      <w:r/>
    </w:p>
    <w:p>
      <w:pPr>
        <w:pStyle w:val="746"/>
        <w:pBdr/>
        <w:spacing/>
        <w:ind/>
        <w:rPr/>
      </w:pPr>
      <w:r>
        <w:rPr>
          <w:b/>
        </w:rPr>
        <w:t xml:space="preserve">应急响应</w:t>
      </w:r>
      <w:r>
        <w:t xml:space="preserve">：建立基于事件分级（一般、较大、重大、特别重大）的应急响应机制，明确启动条件、处置流程与上报路径；提供7×24小时应急支持，从抑制、根除、恢复到溯源取证分步实施；针对勒索病毒、APT攻击、数据泄露等典型场景预设处置预案。交付物包括应急响应报告、溯源分析报告、处置时间线、整改建议与加固方案。质量指标包括应急响应到达时间、根因分析准确率、处置有效性与复测验证通过率。</w:t>
      </w:r>
      <w:r/>
    </w:p>
    <w:p>
      <w:pPr>
        <w:pStyle w:val="718"/>
        <w:pBdr/>
        <w:spacing/>
        <w:ind/>
        <w:rPr/>
      </w:pPr>
      <w:r/>
      <w:bookmarkStart w:id="52" w:name="_Toc52"/>
      <w:r>
        <w:t xml:space="preserve">4.3.3服务质量控制与考核机制</w:t>
      </w:r>
      <w:bookmarkEnd w:id="52"/>
      <w:r/>
      <w:r/>
    </w:p>
    <w:p>
      <w:pPr>
        <w:pBdr/>
        <w:spacing/>
        <w:ind/>
        <w:rPr/>
      </w:pPr>
      <w:r>
        <w:t xml:space="preserve">建立量化服务监控指标体系，涵盖响应时效、处置质量、客户满意度、报告规范性等维度。每项指标设定明确的基线值与目标值，采用评分制形成可量化的服务质量指数。月度考核聚焦日常运维执行情况，包括事件响应时效、漏洞修复及时率、巡检完成率等；季度考核在此基础上增加对整体安全态势改善效果、服务水平协议履约情况的综合评估。所有考核结果形成书面记录，与项目团队绩效挂钩，未达标项须在要求时限内提交整改措施，并纳入下一周期复核闭环。</w:t>
      </w:r>
      <w:r/>
    </w:p>
    <w:p>
      <w:pPr>
        <w:pBdr/>
        <w:spacing/>
        <w:ind/>
        <w:rPr/>
      </w:pPr>
      <w:r>
        <w:t xml:space="preserve">定期开展满意度调查，采用线上问卷与访谈相结合的方式，覆盖采购人各相关部门及关键用户。调查内容涵盖服务响应态度、技术支持专业度、问题解决效果、沟通协作顺畅度等维度。每次调查后形成满意度分析报告，对评分较低的项目制定专项提升计划，并跟踪落实。满意度调查结果作为服务质量考核的重要参考依据。</w:t>
      </w:r>
      <w:r/>
    </w:p>
    <w:p>
      <w:pPr>
        <w:pBdr/>
        <w:spacing/>
        <w:ind/>
        <w:rPr/>
      </w:pPr>
      <w:r>
        <w:t xml:space="preserve">建立完善的服务报告机制，按月提交执行报告，内容包含服务事项完成情况、指标达成统计、未达标原因分析及改进建议；按季提交质量分析报告，对季度内服务数据进行深度剖析，识别潜在风险与优化机会，提出下一季度服务策略调整建议。重大安全事件、重要时期保障等专项工作，在完成后及时提交专项汇报，确保采购人第一时间掌握关键信息。</w:t>
      </w:r>
      <w:r/>
    </w:p>
    <w:p>
      <w:pPr>
        <w:pBdr/>
        <w:spacing/>
        <w:ind/>
        <w:rPr/>
      </w:pPr>
      <w:r>
        <w:t xml:space="preserve">坚持季度评审会议制度，由项目负责人组织，与采购人共同审视服务成效，回顾考核指标完成情况，讨论未达标项的根因及纠正措施。评审会形成会议纪要，明确责任分工与整改时限。根据评审结论动态调整服务计划与资源配置，实现服务质量持续改进。同时建立服务质量投诉与建议渠道，确保采购人意见及时传递至项目团队，形成闭环管理，全面保障服务交付质量满足采购人要求。</w:t>
      </w:r>
      <w:r/>
    </w:p>
    <w:p>
      <w:pPr>
        <w:pStyle w:val="717"/>
        <w:pBdr/>
        <w:spacing/>
        <w:ind/>
        <w:rPr/>
      </w:pPr>
      <w:r/>
      <w:bookmarkStart w:id="53" w:name="_Toc53"/>
      <w:r>
        <w:t xml:space="preserve">4.4项目人员配置方案</w:t>
      </w:r>
      <w:bookmarkEnd w:id="53"/>
      <w:r/>
      <w:r/>
    </w:p>
    <w:p>
      <w:pPr>
        <w:pBdr/>
        <w:spacing/>
        <w:ind/>
        <w:rPr/>
      </w:pPr>
      <w:r>
        <w:t xml:space="preserve">针对本项目，我公司将组建专职网络安全服务项目团队，确保服务人员稳定、技能全面，满足招标人对网络安全服务的专业要求。项目团队采用“项目经理统筹、专业小组协同、专家团队支持”的三级组织模式，有效整合公司技术资源，形成职责清晰、响应高效的服务体系。</w:t>
      </w:r>
      <w:r/>
    </w:p>
    <w:p>
      <w:pPr>
        <w:pBdr/>
        <w:spacing/>
        <w:ind/>
        <w:rPr/>
      </w:pPr>
      <w:r>
        <w:rPr>
          <w:b/>
        </w:rPr>
        <w:t xml:space="preserve">团队架构：</w:t>
      </w:r>
      <w:r>
        <w:t xml:space="preserve"> 项目团队设项目经理1名，负责项目整体协调、进度管控与质量监督；下设安全评估、安全运维、应急响应三个专业小组，各设组长1名，组员若干。安全评估组负责漏洞扫描、渗透测试、基线核查与风险评估；安全运维组负责日常监测、日志分析、安全加固与策略优化；应急响应组负责突发安全事件的处置、溯源与整改跟踪。公司后端专家团队为一线提供技术支持与疑难问题指导。</w:t>
      </w:r>
      <w:r/>
    </w:p>
    <w:p>
      <w:pPr>
        <w:pBdr/>
        <w:spacing/>
        <w:ind/>
        <w:rPr/>
      </w:pPr>
      <w:r>
        <w:rPr>
          <w:b/>
        </w:rPr>
        <w:t xml:space="preserve">岗位职责：</w:t>
      </w:r>
      <w:r>
        <w:t xml:space="preserve"> 项目经理作为我方对采购人的唯一接口人，统筹资源调配及交付成果审核，定期汇报项目进展。安全评估组组长制定评估计划、把控质量、审核报告，组员实施测试；安全运维组组长制定运维策略与安全基线，组员开展告警分析与威胁研判；应急响应组组长制定预案与处置流程，组员承担应急值守与现场处置。各小组建立信息共享与联动机制，确保安全事件全流程闭环管理。</w:t>
      </w:r>
      <w:r/>
    </w:p>
    <w:p>
      <w:pPr>
        <w:pBdr/>
        <w:spacing/>
        <w:ind/>
        <w:rPr/>
      </w:pPr>
      <w:r>
        <w:rPr>
          <w:b/>
        </w:rPr>
        <w:t xml:space="preserve">人员资历要求：</w:t>
      </w:r>
      <w:r>
        <w:t xml:space="preserve"> 项目经理须具备5年以上网络安全项目管理经验，持有CISP或CISSP证书；各专业组组长须具备3年以上相关领域经验，并持有CISP、CISAW等相关安全认证；组员须持有CISP、CISAW等至少一项安全认证。所有人员均通过背景审查，确保政治可靠、技术过硬，并在项目启动时接受采购人核验。</w:t>
      </w:r>
      <w:r/>
    </w:p>
    <w:p>
      <w:pPr>
        <w:pBdr/>
        <w:spacing/>
        <w:ind/>
        <w:rPr/>
      </w:pPr>
      <w:r>
        <w:rPr>
          <w:b/>
        </w:rPr>
        <w:t xml:space="preserve">投入计划与备选机制：</w:t>
      </w:r>
      <w:r>
        <w:t xml:space="preserve"> 项目启动时团队全部到岗，服务周期内核心人员不得随意更换；如确需调整，提前15个工作日向采购人报备，并安排同等级人员交接。我公司建立备选人员库，确保关键岗位人员不在岗时能及时补位，保障服务连续性。同时定期开展人员培训与考核，持续提升团队服务能力。</w:t>
      </w:r>
      <w:r/>
    </w:p>
    <w:p>
      <w:pPr>
        <w:pStyle w:val="718"/>
        <w:pBdr/>
        <w:spacing/>
        <w:ind/>
        <w:rPr/>
      </w:pPr>
      <w:r/>
      <w:bookmarkStart w:id="54" w:name="_Toc54"/>
      <w:r>
        <w:t xml:space="preserve">4.4.1项目团队组织结构</w:t>
      </w:r>
      <w:bookmarkEnd w:id="54"/>
      <w:r/>
      <w:r/>
    </w:p>
    <w:p>
      <w:pPr>
        <w:pBdr/>
        <w:spacing/>
        <w:ind/>
        <w:rPr/>
      </w:pPr>
      <w:r>
        <w:rPr>
          <w:b/>
        </w:rPr>
        <w:t xml:space="preserve">项目团队组织原则:</w:t>
      </w:r>
      <w:r>
        <w:t xml:space="preserve"> 针对中邮资管2026-2027年网络安全服务采购项目,我公司组建专项服务团队,实行统一指挥、职责清晰、协调高效的管理模式,采用矩阵式管理保障资源灵活调配。</w:t>
      </w:r>
      <w:r/>
    </w:p>
    <w:p>
      <w:pPr>
        <w:pBdr/>
        <w:spacing/>
        <w:ind/>
        <w:rPr/>
      </w:pPr>
      <w:r>
        <w:t xml:space="preserve">项目团队采用“纵向专业线+横向项目线”的双维运作模式,纵向由技术总监统一领导各专业小组,横向由项目经理协调资源与进度,确保技术深度与交付效率并重。同时,公司建立后台专家资源池,遇高难度攻防演练或重大应急事件时,可迅速调配公司级专家远程支援或现场增援,保障服务连续性。</w:t>
      </w:r>
      <w:r/>
    </w:p>
    <w:p>
      <w:pPr>
        <w:pBdr/>
        <w:spacing/>
        <w:ind/>
        <w:rPr/>
      </w:pPr>
      <w:r>
        <w:rPr>
          <w:b/>
        </w:rPr>
        <w:t xml:space="preserve">岗位设置:</w:t>
      </w:r>
      <w:r>
        <w:t xml:space="preserve"> 团队设项目经理、技术总监、安全服务工程师、安全运营工程师、应急响应工程师等岗位。项目经理统筹项目整体实施,由具备丰富金融行业安全服务经验的人员担任;技术总监负责技术方案审核与疑难问题处理;安全服务工程师承担漏洞扫描、渗透测试、风险评估等工作;安全运营工程师负责安全设备监测与事件分析;应急响应工程师负责安全事件应急处理与溯源。</w:t>
      </w:r>
      <w:r/>
    </w:p>
    <w:p>
      <w:pPr>
        <w:pBdr/>
        <w:spacing/>
        <w:ind/>
        <w:rPr/>
      </w:pPr>
      <w:r>
        <w:t xml:space="preserve">为强化质量控制,团队内设质量管理员与文档管理员,由骨干工程师兼任,负责过程记录、交付物审核及文档归类。各岗位间建立“检测-分析-响应-闭环”协作链条,安全服务工程师发现隐患后同步安全运营工程师验证,应急响应工程师输出复盘报告,形成知识库反哺策略优化。</w:t>
      </w:r>
      <w:r/>
    </w:p>
    <w:p>
      <w:pPr>
        <w:pBdr/>
        <w:spacing/>
        <w:ind/>
        <w:rPr/>
      </w:pPr>
      <w:r>
        <w:rPr>
          <w:b/>
        </w:rPr>
        <w:t xml:space="preserve">人员配置:</w:t>
      </w:r>
      <w:r>
        <w:t xml:space="preserve"> 根据项目服务范围和内容,拟投入核心团队人员不少于8人,含项目经理1名、技术总监1名、安全服务工程师不少于3名、安全运营工程师不少于2名、应急响应工程师不少于1名。所有人员均具备网络安全相关资质,关键岗位人员资格符合招标文件要求。</w:t>
      </w:r>
      <w:r/>
    </w:p>
    <w:p>
      <w:pPr>
        <w:pBdr/>
        <w:spacing/>
        <w:ind/>
        <w:rPr/>
      </w:pPr>
      <w:r>
        <w:t xml:space="preserve">所有项目成员进场前均通过背景审查、保密协议签署和安全意识培训,符合金融行业管理要求。实施期间,公司定期组织技术内训、攻防演练及漏洞热点分享,并配备专属知识库平台,沉淀方法论、应急案例及客户环境信息,提供即时查询支持。</w:t>
      </w:r>
      <w:r/>
    </w:p>
    <w:p>
      <w:pPr>
        <w:pBdr/>
        <w:spacing/>
        <w:ind/>
        <w:rPr/>
      </w:pPr>
      <w:r>
        <w:rPr>
          <w:b/>
        </w:rPr>
        <w:t xml:space="preserve">汇报关系:</w:t>
      </w:r>
      <w:r>
        <w:t xml:space="preserve"> 项目经理直接向采购方主管部门汇报,并定期提交进展报告;技术总监及各专业工程师向项目经理汇报,形成逐级负责的汇报机制。</w:t>
      </w:r>
      <w:r/>
    </w:p>
    <w:p>
      <w:pPr>
        <w:pBdr/>
        <w:spacing/>
        <w:ind/>
        <w:rPr/>
      </w:pPr>
      <w:r>
        <w:t xml:space="preserve">项目组还建立多层级沟通机制:日常企业微信工作群实时沟通,紧急事项15分钟内响应;每周提交周报,每月提交月度服务报告,重大事件随时专题汇报。公司项目管理办公室(PMO)独立监控,每季度开展满意度调查,确保交付质量。</w:t>
      </w:r>
      <w:r/>
    </w:p>
    <w:p>
      <w:pPr>
        <w:pBdr/>
        <w:spacing/>
        <w:ind/>
        <w:rPr/>
      </w:pPr>
      <w:r>
        <w:rPr>
          <w:b/>
        </w:rPr>
        <w:t xml:space="preserve">职责分工:</w:t>
      </w:r>
      <w:r>
        <w:t xml:space="preserve"> 项目经理负责项目计划、进度、资源协调及客户沟通;技术总监负责技术方案、服务质量监督及技术难题攻关;安全服务工程师按计划执行检测评估任务;安全运营工程师负责告警分析、处置及报告编写;应急响应工程师提供7×24小时应急技术支撑。</w:t>
      </w:r>
      <w:r/>
    </w:p>
    <w:p>
      <w:pPr>
        <w:pStyle w:val="718"/>
        <w:pBdr/>
        <w:spacing/>
        <w:ind/>
        <w:rPr/>
      </w:pPr>
      <w:r/>
      <w:bookmarkStart w:id="55" w:name="_Toc55"/>
      <w:r>
        <w:t xml:space="preserve">4.4.2关键人员配置与职责分工</w:t>
      </w:r>
      <w:bookmarkEnd w:id="55"/>
      <w:r/>
      <w:r/>
    </w:p>
    <w:p>
      <w:pPr>
        <w:pBdr/>
        <w:spacing/>
        <w:ind/>
        <w:rPr/>
      </w:pPr>
      <w:r>
        <w:t xml:space="preserve">根据本项目特点，公司组建以项目经理为核心的专业网络安全服务团队，实行项目经理负责制。团队内部划分为管理层、技术执行层和专家支持层，各岗位职责明确，协同配合，确保项目高质量交付。</w:t>
      </w:r>
      <w:r/>
    </w:p>
    <w:p>
      <w:pPr>
        <w:pBdr/>
        <w:spacing/>
        <w:ind/>
        <w:rPr/>
      </w:pPr>
      <w:r>
        <w:t xml:space="preserve">为落实项目人员保障，公司为本项目配置了专职项目经理、技术负责人、安全服务工程师、应急响应专家及驻场人员等关键岗位，并针对金融行业监管要求与服务特点明确了各岗位的职责分工、资质要求与工作标准。具体关键人员配置与职责分工如下：</w:t>
      </w:r>
      <w:r/>
    </w:p>
    <w:p>
      <w:pPr>
        <w:pBdr/>
        <w:spacing/>
        <w:ind/>
        <w:rPr/>
      </w:pPr>
      <w:r>
        <w:t xml:space="preserve">项目经理：作为项目第一责任人，全面负责项目进度、质量与资源协调。其核心职责包括制定项目总体实施计划与里程碑节点，组织项目启动会、周例会及阶段性总结会；统筹公司内部资源，确保服务资源充足且调度有序；与采购方管理层保持日常沟通，及时响应需求变更与临时任务；对项目交付成果进行审核把关，确保服务过程符合合同要求及金融行业监管规定。项目经理须具备高级项目管理认证及多年网络安全服务项目管理经验，熟悉金融行业监管要求，具备优秀的组织协调与风险管控能力。</w:t>
      </w:r>
      <w:r/>
    </w:p>
    <w:p>
      <w:pPr>
        <w:pBdr/>
        <w:spacing/>
        <w:ind/>
        <w:rPr/>
      </w:pPr>
      <w:r>
        <w:t xml:space="preserve">技术负责人：协助项目经理管理技术事务，是项目技术决策与质量监督的核心。其主要职责包括牵头制定整体技术方案与服务实施标准，对各专项服务方案进行审核与技术交底；对服务中发现的重大漏洞、高危隐患进行技术研判并给出处置决策；主导解决项目实施中的重大技术难题，组织内部技术攻关；定期复核安全服务报告，确保技术交付物的准确性与专业性。技术负责人须持有CISP、CISSP等高级安全资质，具备多年金融行业安全服务经验。</w:t>
      </w:r>
      <w:r/>
    </w:p>
    <w:p>
      <w:pPr>
        <w:pBdr/>
        <w:spacing/>
        <w:ind/>
        <w:rPr/>
      </w:pPr>
      <w:r>
        <w:t xml:space="preserve">安全服务工程师：承担漏洞扫描、渗透测试、基线核查、安全监测等日常服务任务。具体职责包括按照标准化操作规程执行安全检测与评估，准确记录检测数据并识别安全风险；针对漏洞与配置缺陷提出可落地的修复建议；按时提交服务记录与检测报告，保证报告客观、完整、可追溯。安全服务工程师须具有网络安全相关从业资质，熟练掌握主流安全工具，熟悉常见攻击手段与检测原理，具备良好的文档撰写与沟通表达能力。</w:t>
      </w:r>
      <w:r/>
    </w:p>
    <w:p>
      <w:pPr>
        <w:pBdr/>
        <w:spacing/>
        <w:ind/>
        <w:rPr/>
      </w:pPr>
      <w:r>
        <w:t xml:space="preserve">应急响应专家：负责安全事件应急响应与应急保障工作。具体职责包括提供7×24小时应急响应技术支持，在发生安全事件时快速介入，开展事件分析、抑制、根除与恢复处置；实施攻击溯源与取证分析，编写应急处置报告并组织复盘总结；定期协助采购方完善应急响应预案，配合开展应急演练与桌面推演。应急响应专家须具备丰富的应急实战经验及相应认证，能快速定位并处置安全事件，熟悉溯源分析方法与应急响应工具。</w:t>
      </w:r>
      <w:r/>
    </w:p>
    <w:p>
      <w:pPr>
        <w:pBdr/>
        <w:spacing/>
        <w:ind/>
        <w:rPr/>
      </w:pPr>
      <w:r>
        <w:t xml:space="preserve">驻场人员：根据采购方需要提供现场支持，协助完成日常安全运维、日志分析、安全设备监测与告警复核等专项任务。具体职责包括执行安全巡检与日志审计，跟踪并闭环安全告警事件；配合采购方进行安全策略调整与优化，协助处置安全运维工单；定期输出驻场工作报告，及时反馈安全动态与潜在风险。驻场人员须经采购方认可后上岗，具备安全运维经验，熟悉主流安全设备的操作与日志采集分析方法。</w:t>
      </w:r>
      <w:r/>
    </w:p>
    <w:p>
      <w:pPr>
        <w:pBdr/>
        <w:spacing/>
        <w:ind/>
        <w:rPr/>
      </w:pPr>
      <w:r>
        <w:t xml:space="preserve">专家支持层作为项目后端的纵深支援力量，由公司资深安全专家组成，涵盖漏洞研究、攻防对抗、数据安全等领域。专家支持层在项目遇到疑难技术问题或采购方提出专项需求时提供高级别技术支持与咨询建议；在发生重大安全事件时，可迅速组建专项小组参与应急处置，为项目交付提供坚实的智力保障。</w:t>
      </w:r>
      <w:r/>
    </w:p>
    <w:p>
      <w:pPr>
        <w:pBdr/>
        <w:spacing/>
        <w:ind/>
        <w:rPr/>
      </w:pPr>
      <w:r>
        <w:t xml:space="preserve">所有团队成员将在签订合同前提供个人简历、学历证书、资格证书复印件并加盖公章，经采购方审核确认后进场。项目执行期间如需更换人员，须征得采购方书面同意，且替换人员资质不得低于原人员。人员证明材料将作为投标文件附件一并提交，供采购方查验。</w:t>
      </w:r>
      <w:r/>
    </w:p>
    <w:p>
      <w:pPr>
        <w:pStyle w:val="718"/>
        <w:pBdr/>
        <w:spacing/>
        <w:ind/>
        <w:rPr/>
      </w:pPr>
      <w:r/>
      <w:bookmarkStart w:id="56" w:name="_Toc56"/>
      <w:r>
        <w:t xml:space="preserve">4.4.3人员稳定性与后备机制</w:t>
      </w:r>
      <w:bookmarkEnd w:id="56"/>
      <w:r/>
      <w:r/>
    </w:p>
    <w:p>
      <w:pPr>
        <w:pBdr/>
        <w:spacing/>
        <w:ind/>
        <w:rPr/>
      </w:pPr>
      <w:r>
        <w:t xml:space="preserve">为保障项目服务过程中人员变动的可控性和连续性，我司建立人员稳定性与后备机制。在关键岗位设置上，全面实行AB角备份制度，每个岗位至少配置两名熟练掌握相关业务和技术的人员互为备份，A角负责日常主要工作，B角同步参与核心任务并熟悉各环节流程，确保在A角因休假、出差或突发状况无法履职时，B角能够无缝接管并保持服务质量不下降。同时定期组织AB角之间的轮岗实践和交叉演练，使双方持续掌握对方工作内容，强化备份有效性。</w:t>
      </w:r>
      <w:r/>
    </w:p>
    <w:p>
      <w:pPr>
        <w:pBdr/>
        <w:spacing/>
        <w:ind/>
        <w:rPr/>
      </w:pPr>
      <w:r>
        <w:t xml:space="preserve">在人员离职或</w:t>
      </w:r>
      <w:r>
        <w:t xml:space="preserve">变动管理方面，我司制定了完善的离职交接流程。员工提出离职意向后，需提前通知项目负责人，并按照公司制度开展交接准备，包括完整移交工作文档、系统账号权限清单、未完成事项清单、客户沟通记录、技术资料等。项目组将组织专项交接会议，由离职人员与接管人员、项目经理共同核对工作清单，确保所有职责明确归属。同时安排必要的重叠期，由离职人员对继任者进行一对一知识转移和现场指导，解答疑难点，帮助其熟悉项目背景、客户需求及操作规范。在过渡期间，项目经理将持续跟进接管人员的工作情况，及时协调资源解决遗留问题，确保服务交付不受影响。</w:t>
      </w:r>
      <w:r/>
    </w:p>
    <w:p>
      <w:pPr>
        <w:pBdr/>
        <w:spacing/>
        <w:ind/>
        <w:rPr/>
      </w:pPr>
      <w:r>
        <w:t xml:space="preserve">为降低对单一人员的依赖风险，我司还构建了常态化的技能培训与知识共享机制。通过定期组织内部技术培训、安全攻防演练复盘、案例研讨等多种形式，持续提升团队整体专业能力。同时鼓励团队成员将个人经验沉淀为标准化文档和维护手册，建立项目知识库，促进隐性知识显性化，使任何岗位的工作都有章可循、有据可查。此外，我司实行多能工培养计划，支持团队成员跨岗位学习，增强团队冗余度，使人员变动仅带来平稳过渡而非服务中断，从而全方位保障项目服务团队的稳定性与交付持续性。</w:t>
      </w:r>
      <w:r/>
    </w:p>
    <w:p>
      <w:pPr>
        <w:pStyle w:val="717"/>
        <w:pBdr/>
        <w:spacing/>
        <w:ind/>
        <w:rPr/>
      </w:pPr>
      <w:r/>
      <w:bookmarkStart w:id="57" w:name="_Toc57"/>
      <w:r>
        <w:t xml:space="preserve">4.5项目实施计划与保障措施</w:t>
      </w:r>
      <w:bookmarkEnd w:id="57"/>
      <w:r/>
      <w:r/>
    </w:p>
    <w:p>
      <w:pPr>
        <w:pBdr/>
        <w:spacing/>
        <w:ind/>
        <w:rPr/>
      </w:pPr>
      <w:r>
        <w:rPr>
          <w:b/>
        </w:rPr>
        <w:t xml:space="preserve">实施计划：</w:t>
      </w:r>
      <w:r>
        <w:t xml:space="preserve"> 本项目实施按照网络安全服务行业成熟的项目管理方法论，划分为项目启动、需求分析、实施部署、试运行、项目验收五个阶段，并采用里程碑控制与交付物管理相结合的方式</w:t>
      </w:r>
      <w:r>
        <w:t xml:space="preserve">，确保项目实施过程清晰可控、成果可验证。项目启动阶段，组建项目团队，召开启动会，明确服务范围、交付成果与双方职责，建立沟通机制；同时完成项目章程编制、团队角色确认以及工作环境与工具配置，输出项目启动会会议纪要、项目章程等交付物，并确定各阶段主要里程碑与总体时间安排。需求分析阶段，结合现有安全防护体系的现场调研，采用访谈、文档审阅、配置核查等方式全面收集客户安全需求与服务期望，细化服务基线、交付物清单与验收标准，形成实施详细方案，并组织客户评审确认，确保需求理解准确无偏差。实施部署阶段，完成安全服务平台的部署</w:t>
      </w:r>
      <w:r>
        <w:t xml:space="preserve">、策略配置及人员进场，同步开展内部培训，确保人员熟练掌握服务流程；建立服务操作规范与知识转移文档，对部署配置过程进行记录，形成部署配置记录、培训材料等交付物，并根据实际情况调优策略。试运行阶段，通过一段时间的试运行验证服务效果，重点监控服务响应及时性、漏洞发现与修复质量等关键指标，根据反馈优化服务细节，形成试运行报告，对未达标事项进行专项整改。验收阶段，汇总服务记录与交付物，对照采购需求与验收标准逐项核查，组织验收评审，确认各项指标满足要求，签署验收报告，完成项目总结与知识转移，确保服务顺利进入稳定运营期。</w:t>
      </w:r>
      <w:r/>
    </w:p>
    <w:p>
      <w:pPr>
        <w:pBdr/>
        <w:spacing/>
        <w:ind/>
        <w:rPr/>
      </w:pPr>
      <w:r>
        <w:rPr>
          <w:b/>
        </w:rPr>
        <w:t xml:space="preserve">保障措施：</w:t>
      </w:r>
      <w:r>
        <w:t xml:space="preserve"> 为确保项目高质量按计划推进，建立覆盖进度、质量、沟通、风险、应急五个维度的综合保障措施，并形成计划、执行、检查、改进的闭环管理机制。进度保障方面，制定项目总</w:t>
      </w:r>
      <w:r>
        <w:t xml:space="preserve">体进度计划并细化为周计划，每周跟踪进度，发现偏差及时纠正，同时设置里程碑评审节点，对关键交付物进行阶段审查，确保总体进度可控；利用项目管理工具对任务分配、进度跟踪与风险预警进行统一管理，提高进度管控效率。质量保障方面，建立服务质量考核指标体系，涵盖服务交付及时率、问题解决率、客户满意度等量化指标，每月开展服务评审，收集客户反馈并持续改进，同时设置质量检查点，对服务过程进行抽查与审计，运用PDCA循环不断提升服务质量。沟通协调方面，实行周例会和关键节点专题会机制，确保信息同步和问题高效决策；建立日常沟通渠道，</w:t>
      </w:r>
      <w:r>
        <w:t xml:space="preserve">通过邮件、即时通讯、工单系统等方式实现信息即时互通，对重大问题实行问题登记、专人跟踪、限期关闭的闭环管理。风险防控方面，对需求变更、人员异动、技术适配等风险进行识别并制定应对策略，如人员备份和方案回退；建立风险登记册，定期评估风险等级，动态更新应对措施，并制定风险预警与升级机制，确保风险始终受控。应急响应方面，制定应急响应预案，设定分级响应时限和升级路径，明确应急职责与处置流程；定期组织应急演练，检验预案有效性，并针对演练中发现的问题持续优化预案，保障突发安全事件得到快速处置，最大程度降低对客户业务的影响。</w:t>
      </w:r>
      <w:r/>
    </w:p>
    <w:p>
      <w:pPr>
        <w:pStyle w:val="718"/>
        <w:pBdr/>
        <w:spacing/>
        <w:ind/>
        <w:rPr/>
      </w:pPr>
      <w:r/>
      <w:bookmarkStart w:id="58" w:name="_Toc58"/>
      <w:r>
        <w:t xml:space="preserve">4.5.1项目实施进度计划</w:t>
      </w:r>
      <w:bookmarkEnd w:id="58"/>
      <w:r/>
      <w:r/>
    </w:p>
    <w:p>
      <w:pPr>
        <w:pBdr/>
        <w:spacing/>
        <w:ind/>
        <w:rPr/>
      </w:pPr>
      <w:r>
        <w:t xml:space="preserve">本项目实施进度计划依据中邮资管2026-2027年网络安全服务采购项目的整体周期制定，时间跨度覆盖2026年初至2027年底。结合安全服务各项内容，将项目划分为三个阶段，并设置相应的里程碑节点。为保证项目进度科学可控，我方制定如下进度计划编制原则：一是以业务连续性为前提，将高风险服务安排在业务低峰期；二是以季度为管理周期，形成计划-执行-检查-优化闭环；三是建立里程碑评审机制，确保阶段交付物经确认后再进入下一阶段。基于上述原则，本项目具体进度安排见下。</w:t>
      </w:r>
      <w:r/>
    </w:p>
    <w:p>
      <w:pPr>
        <w:pBdr/>
        <w:spacing/>
        <w:ind/>
        <w:rPr/>
      </w:pPr>
      <w:r>
        <w:rPr>
          <w:b/>
        </w:rPr>
        <w:t xml:space="preserve">阶段划分：</w:t>
      </w:r>
      <w:r/>
    </w:p>
    <w:tbl>
      <w:tblPr>
        <w:tblStyle w:val="776"/>
        <w:tblW w:w="0" w:type="auto"/>
        <w:tblBorders/>
        <w:tblLook w:val="04A0" w:firstRow="1" w:lastRow="0" w:firstColumn="1" w:lastColumn="0" w:noHBand="0" w:noVBand="1"/>
      </w:tblPr>
      <w:tblGrid>
        <w:gridCol w:w="1728"/>
        <w:gridCol w:w="1728"/>
        <w:gridCol w:w="1728"/>
        <w:gridCol w:w="1728"/>
        <w:gridCol w:w="1728"/>
      </w:tblGrid>
      <w:tr>
        <w:trPr/>
        <w:tc>
          <w:tcPr>
            <w:tcBorders/>
            <w:tcW w:w="1728" w:type="dxa"/>
          </w:tcPr>
          <w:p>
            <w:pPr>
              <w:pBdr/>
              <w:spacing/>
              <w:ind/>
              <w:rPr/>
            </w:pPr>
            <w:r/>
            <w:r/>
          </w:p>
        </w:tc>
        <w:tc>
          <w:tcPr>
            <w:tcBorders/>
            <w:tcW w:w="1728" w:type="dxa"/>
          </w:tcPr>
          <w:p>
            <w:pPr>
              <w:pBdr/>
              <w:spacing/>
              <w:ind/>
              <w:rPr/>
            </w:pPr>
            <w:r>
              <w:t xml:space="preserve">阶段</w:t>
            </w:r>
            <w:r/>
          </w:p>
        </w:tc>
        <w:tc>
          <w:tcPr>
            <w:tcBorders/>
            <w:tcW w:w="1728" w:type="dxa"/>
          </w:tcPr>
          <w:p>
            <w:pPr>
              <w:pBdr/>
              <w:spacing/>
              <w:ind/>
              <w:rPr/>
            </w:pPr>
            <w:r>
              <w:t xml:space="preserve">时间</w:t>
            </w:r>
            <w:r/>
          </w:p>
        </w:tc>
        <w:tc>
          <w:tcPr>
            <w:tcBorders/>
            <w:tcW w:w="1728" w:type="dxa"/>
          </w:tcPr>
          <w:p>
            <w:pPr>
              <w:pBdr/>
              <w:spacing/>
              <w:ind/>
              <w:rPr/>
            </w:pPr>
            <w:r>
              <w:t xml:space="preserve">主要工作内容</w:t>
            </w:r>
            <w:r/>
          </w:p>
        </w:tc>
        <w:tc>
          <w:tcPr>
            <w:tcBorders/>
            <w:tcW w:w="1728" w:type="dxa"/>
          </w:tcPr>
          <w:p>
            <w:pPr>
              <w:pBdr/>
              <w:spacing/>
              <w:ind/>
              <w:rPr/>
            </w:pPr>
            <w:r/>
            <w:r/>
          </w:p>
        </w:tc>
      </w:tr>
      <w:tr>
        <w:trPr/>
        <w:tc>
          <w:tcPr>
            <w:tcBorders/>
            <w:tcW w:w="1728" w:type="dxa"/>
          </w:tcPr>
          <w:p>
            <w:pPr>
              <w:pBdr/>
              <w:spacing/>
              <w:ind/>
              <w:rPr/>
            </w:pPr>
            <w:r>
              <w:t xml:space="preserve">------</w:t>
            </w:r>
            <w:r/>
          </w:p>
        </w:tc>
        <w:tc>
          <w:tcPr>
            <w:tcBorders/>
            <w:tcW w:w="1728" w:type="dxa"/>
          </w:tcPr>
          <w:p>
            <w:pPr>
              <w:pBdr/>
              <w:spacing/>
              <w:ind/>
              <w:rPr/>
            </w:pPr>
            <w:r>
              <w:t xml:space="preserve">------</w:t>
            </w:r>
            <w:r/>
          </w:p>
        </w:tc>
        <w:tc>
          <w:tcPr>
            <w:tcBorders/>
            <w:tcW w:w="1728" w:type="dxa"/>
          </w:tcPr>
          <w:p>
            <w:pPr>
              <w:pBdr/>
              <w:spacing/>
              <w:ind/>
              <w:rPr/>
            </w:pPr>
            <w:r>
              <w:t xml:space="preserve">--------------</w:t>
            </w:r>
            <w:r/>
          </w:p>
        </w:tc>
        <w:tc>
          <w:tcPr>
            <w:tcBorders/>
            <w:tcW w:w="1728" w:type="dxa"/>
          </w:tcPr>
          <w:p>
            <w:pPr>
              <w:pBdr/>
              <w:spacing/>
              <w:ind/>
              <w:rPr/>
            </w:pPr>
            <w:r/>
            <w:r/>
          </w:p>
        </w:tc>
        <w:tc>
          <w:tcPr>
            <w:tcBorders/>
            <w:tcW w:w="1728" w:type="dxa"/>
          </w:tcPr>
          <w:p>
            <w:pPr>
              <w:pBdr/>
              <w:spacing/>
              <w:ind/>
              <w:rPr/>
            </w:pPr>
            <w:r/>
            <w:r/>
          </w:p>
        </w:tc>
      </w:tr>
      <w:tr>
        <w:trPr/>
        <w:tc>
          <w:tcPr>
            <w:tcBorders/>
            <w:tcW w:w="1728" w:type="dxa"/>
          </w:tcPr>
          <w:p>
            <w:pPr>
              <w:pBdr/>
              <w:spacing/>
              <w:ind/>
              <w:rPr/>
            </w:pPr>
            <w:r/>
            <w:r/>
          </w:p>
        </w:tc>
        <w:tc>
          <w:tcPr>
            <w:tcBorders/>
            <w:tcW w:w="1728" w:type="dxa"/>
          </w:tcPr>
          <w:p>
            <w:pPr>
              <w:pBdr/>
              <w:spacing/>
              <w:ind/>
              <w:rPr/>
            </w:pPr>
            <w:r>
              <w:t xml:space="preserve">启动准备阶段</w:t>
            </w:r>
            <w:r/>
          </w:p>
        </w:tc>
        <w:tc>
          <w:tcPr>
            <w:tcBorders/>
            <w:tcW w:w="1728" w:type="dxa"/>
          </w:tcPr>
          <w:p>
            <w:pPr>
              <w:pBdr/>
              <w:spacing/>
              <w:ind/>
              <w:rPr/>
            </w:pPr>
            <w:r>
              <w:t xml:space="preserve">2026年第1季度</w:t>
            </w:r>
            <w:r/>
          </w:p>
        </w:tc>
        <w:tc>
          <w:tcPr>
            <w:tcBorders/>
            <w:tcW w:w="1728" w:type="dxa"/>
          </w:tcPr>
          <w:p>
            <w:pPr>
              <w:pBdr/>
              <w:spacing/>
              <w:ind/>
              <w:rPr/>
            </w:pPr>
            <w:r>
              <w:t xml:space="preserve">完成项目组组建、人员进场、现状调研与安全评估，明确服务边界与详细实施计划，召开项目启动会，与招标人确认服务基线。</w:t>
            </w:r>
            <w:r/>
          </w:p>
        </w:tc>
        <w:tc>
          <w:tcPr>
            <w:tcBorders/>
            <w:tcW w:w="1728" w:type="dxa"/>
          </w:tcPr>
          <w:p>
            <w:pPr>
              <w:pBdr/>
              <w:spacing/>
              <w:ind/>
              <w:rPr/>
            </w:pPr>
            <w:r/>
            <w:r/>
          </w:p>
        </w:tc>
      </w:tr>
      <w:tr>
        <w:trPr/>
        <w:tc>
          <w:tcPr>
            <w:tcBorders/>
            <w:tcW w:w="1728" w:type="dxa"/>
          </w:tcPr>
          <w:p>
            <w:pPr>
              <w:pBdr/>
              <w:spacing/>
              <w:ind/>
              <w:rPr/>
            </w:pPr>
            <w:r/>
            <w:r/>
          </w:p>
        </w:tc>
        <w:tc>
          <w:tcPr>
            <w:tcBorders/>
            <w:tcW w:w="1728" w:type="dxa"/>
          </w:tcPr>
          <w:p>
            <w:pPr>
              <w:pBdr/>
              <w:spacing/>
              <w:ind/>
              <w:rPr/>
            </w:pPr>
            <w:r>
              <w:t xml:space="preserve">全面实施阶段</w:t>
            </w:r>
            <w:r/>
          </w:p>
        </w:tc>
        <w:tc>
          <w:tcPr>
            <w:tcBorders/>
            <w:tcW w:w="1728" w:type="dxa"/>
          </w:tcPr>
          <w:p>
            <w:pPr>
              <w:pBdr/>
              <w:spacing/>
              <w:ind/>
              <w:rPr/>
            </w:pPr>
            <w:r>
              <w:t xml:space="preserve">2026年第2季度至2027年第3季度</w:t>
            </w:r>
            <w:r/>
          </w:p>
        </w:tc>
        <w:tc>
          <w:tcPr>
            <w:tcBorders/>
            <w:tcW w:w="1728" w:type="dxa"/>
          </w:tcPr>
          <w:p>
            <w:pPr>
              <w:pBdr/>
              <w:spacing/>
              <w:ind/>
              <w:rPr/>
            </w:pPr>
            <w:r>
              <w:t xml:space="preserve">按季度循环开展漏洞扫描、渗透测试、安全巡检、应急响应、安全加固、日志分析等各项安全服务。每季度末提交阶段性服务报告，并进行服务内容回顾与优化。年度形成年度安全服务总结报告。</w:t>
            </w:r>
            <w:r/>
          </w:p>
        </w:tc>
        <w:tc>
          <w:tcPr>
            <w:tcBorders/>
            <w:tcW w:w="1728" w:type="dxa"/>
          </w:tcPr>
          <w:p>
            <w:pPr>
              <w:pBdr/>
              <w:spacing/>
              <w:ind/>
              <w:rPr/>
            </w:pPr>
            <w:r/>
            <w:r/>
          </w:p>
        </w:tc>
      </w:tr>
      <w:tr>
        <w:trPr/>
        <w:tc>
          <w:tcPr>
            <w:tcBorders/>
            <w:tcW w:w="1728" w:type="dxa"/>
          </w:tcPr>
          <w:p>
            <w:pPr>
              <w:pBdr/>
              <w:spacing/>
              <w:ind/>
              <w:rPr/>
            </w:pPr>
            <w:r/>
            <w:r/>
          </w:p>
        </w:tc>
        <w:tc>
          <w:tcPr>
            <w:tcBorders/>
            <w:tcW w:w="1728" w:type="dxa"/>
          </w:tcPr>
          <w:p>
            <w:pPr>
              <w:pBdr/>
              <w:spacing/>
              <w:ind/>
              <w:rPr/>
            </w:pPr>
            <w:r>
              <w:t xml:space="preserve">收尾验收阶段</w:t>
            </w:r>
            <w:r/>
          </w:p>
        </w:tc>
        <w:tc>
          <w:tcPr>
            <w:tcBorders/>
            <w:tcW w:w="1728" w:type="dxa"/>
          </w:tcPr>
          <w:p>
            <w:pPr>
              <w:pBdr/>
              <w:spacing/>
              <w:ind/>
              <w:rPr/>
            </w:pPr>
            <w:r>
              <w:t xml:space="preserve">2027年第4季度</w:t>
            </w:r>
            <w:r/>
          </w:p>
        </w:tc>
        <w:tc>
          <w:tcPr>
            <w:tcBorders/>
            <w:tcW w:w="1728" w:type="dxa"/>
          </w:tcPr>
          <w:p>
            <w:pPr>
              <w:pBdr/>
              <w:spacing/>
              <w:ind/>
              <w:rPr/>
            </w:pPr>
            <w:r>
              <w:t xml:space="preserve">汇总两年服务期全部文档，配合招标人完成项目验收，提供服务交接与知识转移。</w:t>
            </w:r>
            <w:r/>
          </w:p>
        </w:tc>
        <w:tc>
          <w:tcPr>
            <w:tcBorders/>
            <w:tcW w:w="1728" w:type="dxa"/>
          </w:tcPr>
          <w:p>
            <w:pPr>
              <w:pBdr/>
              <w:spacing/>
              <w:ind/>
              <w:rPr/>
            </w:pPr>
            <w:r/>
            <w:r/>
          </w:p>
        </w:tc>
      </w:tr>
    </w:tbl>
    <w:p>
      <w:pPr>
        <w:pBdr/>
        <w:spacing/>
        <w:ind/>
        <w:rPr/>
      </w:pPr>
      <w:r>
        <w:t xml:space="preserve">启动准备阶段重点完成团队组建、保密协议签署、资产盘点与风险现状评估，建立漏洞管理基线，并召开启动会明确分工。全面实施阶段为项目核心，按季度制定详细作业计划，覆盖全部服务项，根据扫描结果动态调整渗透测试范围，每季度末召开评审会汇报成果。收尾验收阶段除文档归档外，还将开展满意度调查，处理遗留问题并协助终验。</w:t>
      </w:r>
      <w:r/>
    </w:p>
    <w:p>
      <w:pPr>
        <w:pBdr/>
        <w:spacing/>
        <w:ind/>
        <w:rPr/>
      </w:pPr>
      <w:r>
        <w:rPr>
          <w:b/>
        </w:rPr>
        <w:t xml:space="preserve">里程碑节点：</w:t>
      </w:r>
      <w:r/>
    </w:p>
    <w:tbl>
      <w:tblPr>
        <w:tblStyle w:val="776"/>
        <w:tblW w:w="0" w:type="auto"/>
        <w:tblBorders/>
        <w:tblLook w:val="04A0" w:firstRow="1" w:lastRow="0" w:firstColumn="1" w:lastColumn="0" w:noHBand="0" w:noVBand="1"/>
      </w:tblPr>
      <w:tblGrid>
        <w:gridCol w:w="2160"/>
        <w:gridCol w:w="2160"/>
        <w:gridCol w:w="2160"/>
        <w:gridCol w:w="2160"/>
      </w:tblGrid>
      <w:tr>
        <w:trPr/>
        <w:tc>
          <w:tcPr>
            <w:tcBorders/>
            <w:tcW w:w="2160" w:type="dxa"/>
          </w:tcPr>
          <w:p>
            <w:pPr>
              <w:pBdr/>
              <w:spacing/>
              <w:ind/>
              <w:rPr/>
            </w:pPr>
            <w:r>
              <w:rPr>
                <w:b/>
              </w:rPr>
            </w:r>
            <w:r/>
          </w:p>
        </w:tc>
        <w:tc>
          <w:tcPr>
            <w:tcBorders/>
            <w:tcW w:w="2160" w:type="dxa"/>
          </w:tcPr>
          <w:p>
            <w:pPr>
              <w:pBdr/>
              <w:spacing/>
              <w:ind/>
              <w:rPr/>
            </w:pPr>
            <w:r>
              <w:rPr>
                <w:b/>
              </w:rPr>
              <w:t xml:space="preserve">时间</w:t>
            </w:r>
            <w:r/>
          </w:p>
        </w:tc>
        <w:tc>
          <w:tcPr>
            <w:tcBorders/>
            <w:tcW w:w="2160" w:type="dxa"/>
          </w:tcPr>
          <w:p>
            <w:pPr>
              <w:pBdr/>
              <w:spacing/>
              <w:ind/>
              <w:rPr/>
            </w:pPr>
            <w:r>
              <w:rPr>
                <w:b/>
              </w:rPr>
              <w:t xml:space="preserve">里程碑事件</w:t>
            </w:r>
            <w:r/>
          </w:p>
        </w:tc>
        <w:tc>
          <w:tcPr>
            <w:tcBorders/>
            <w:tcW w:w="2160" w:type="dxa"/>
          </w:tcPr>
          <w:p>
            <w:pPr>
              <w:pBdr/>
              <w:spacing/>
              <w:ind/>
              <w:rPr/>
            </w:pPr>
            <w:r>
              <w:rPr>
                <w:b/>
              </w:rPr>
            </w:r>
            <w:r/>
          </w:p>
        </w:tc>
      </w:tr>
      <w:tr>
        <w:trPr/>
        <w:tc>
          <w:tcPr>
            <w:tcBorders/>
            <w:tcW w:w="2160" w:type="dxa"/>
          </w:tcPr>
          <w:p>
            <w:pPr>
              <w:pBdr/>
              <w:spacing/>
              <w:ind/>
              <w:rPr/>
            </w:pPr>
            <w:r/>
            <w:r/>
          </w:p>
        </w:tc>
        <w:tc>
          <w:tcPr>
            <w:tcBorders/>
            <w:tcW w:w="2160" w:type="dxa"/>
          </w:tcPr>
          <w:p>
            <w:pPr>
              <w:pBdr/>
              <w:spacing/>
              <w:ind/>
              <w:rPr/>
            </w:pPr>
            <w:r>
              <w:t xml:space="preserve">2026年第1季度末</w:t>
            </w:r>
            <w:r/>
          </w:p>
        </w:tc>
        <w:tc>
          <w:tcPr>
            <w:tcBorders/>
            <w:tcW w:w="2160" w:type="dxa"/>
          </w:tcPr>
          <w:p>
            <w:pPr>
              <w:pBdr/>
              <w:spacing/>
              <w:ind/>
              <w:rPr/>
            </w:pPr>
            <w:r>
              <w:t xml:space="preserve">完成启动与现状调研。</w:t>
            </w:r>
            <w:r/>
          </w:p>
        </w:tc>
        <w:tc>
          <w:tcPr>
            <w:tcBorders/>
            <w:tcW w:w="2160" w:type="dxa"/>
          </w:tcPr>
          <w:p>
            <w:pPr>
              <w:pBdr/>
              <w:spacing/>
              <w:ind/>
              <w:rPr/>
            </w:pPr>
            <w:r/>
            <w:r/>
          </w:p>
        </w:tc>
      </w:tr>
      <w:tr>
        <w:trPr/>
        <w:tc>
          <w:tcPr>
            <w:tcBorders/>
            <w:tcW w:w="2160" w:type="dxa"/>
          </w:tcPr>
          <w:p>
            <w:pPr>
              <w:pBdr/>
              <w:spacing/>
              <w:ind/>
              <w:rPr/>
            </w:pPr>
            <w:r/>
            <w:r/>
          </w:p>
        </w:tc>
        <w:tc>
          <w:tcPr>
            <w:tcBorders/>
            <w:tcW w:w="2160" w:type="dxa"/>
          </w:tcPr>
          <w:p>
            <w:pPr>
              <w:pBdr/>
              <w:spacing/>
              <w:ind/>
              <w:rPr/>
            </w:pPr>
            <w:r>
              <w:t xml:space="preserve">2026年每季度末</w:t>
            </w:r>
            <w:r/>
          </w:p>
        </w:tc>
        <w:tc>
          <w:tcPr>
            <w:tcBorders/>
            <w:tcW w:w="2160" w:type="dxa"/>
          </w:tcPr>
          <w:p>
            <w:pPr>
              <w:pBdr/>
              <w:spacing/>
              <w:ind/>
              <w:rPr/>
            </w:pPr>
            <w:r>
              <w:t xml:space="preserve">提交季度安全服务报告。</w:t>
            </w:r>
            <w:r/>
          </w:p>
        </w:tc>
        <w:tc>
          <w:tcPr>
            <w:tcBorders/>
            <w:tcW w:w="2160" w:type="dxa"/>
          </w:tcPr>
          <w:p>
            <w:pPr>
              <w:pBdr/>
              <w:spacing/>
              <w:ind/>
              <w:rPr/>
            </w:pPr>
            <w:r/>
            <w:r/>
          </w:p>
        </w:tc>
      </w:tr>
      <w:tr>
        <w:trPr/>
        <w:tc>
          <w:tcPr>
            <w:tcBorders/>
            <w:tcW w:w="2160" w:type="dxa"/>
          </w:tcPr>
          <w:p>
            <w:pPr>
              <w:pBdr/>
              <w:spacing/>
              <w:ind/>
              <w:rPr/>
            </w:pPr>
            <w:r/>
            <w:r/>
          </w:p>
        </w:tc>
        <w:tc>
          <w:tcPr>
            <w:tcBorders/>
            <w:tcW w:w="2160" w:type="dxa"/>
          </w:tcPr>
          <w:p>
            <w:pPr>
              <w:pBdr/>
              <w:spacing/>
              <w:ind/>
              <w:rPr/>
            </w:pPr>
            <w:r>
              <w:t xml:space="preserve">2027年第1季度末</w:t>
            </w:r>
            <w:r/>
          </w:p>
        </w:tc>
        <w:tc>
          <w:tcPr>
            <w:tcBorders/>
            <w:tcW w:w="2160" w:type="dxa"/>
          </w:tcPr>
          <w:p>
            <w:pPr>
              <w:pBdr/>
              <w:spacing/>
              <w:ind/>
              <w:rPr/>
            </w:pPr>
            <w:r>
              <w:t xml:space="preserve">完成第一年度安全服务总结。</w:t>
            </w:r>
            <w:r/>
          </w:p>
        </w:tc>
        <w:tc>
          <w:tcPr>
            <w:tcBorders/>
            <w:tcW w:w="2160" w:type="dxa"/>
          </w:tcPr>
          <w:p>
            <w:pPr>
              <w:pBdr/>
              <w:spacing/>
              <w:ind/>
              <w:rPr/>
            </w:pPr>
            <w:r/>
            <w:r/>
          </w:p>
        </w:tc>
      </w:tr>
      <w:tr>
        <w:trPr/>
        <w:tc>
          <w:tcPr>
            <w:tcBorders/>
            <w:tcW w:w="2160" w:type="dxa"/>
          </w:tcPr>
          <w:p>
            <w:pPr>
              <w:pBdr/>
              <w:spacing/>
              <w:ind/>
              <w:rPr/>
            </w:pPr>
            <w:r/>
            <w:r/>
          </w:p>
        </w:tc>
        <w:tc>
          <w:tcPr>
            <w:tcBorders/>
            <w:tcW w:w="2160" w:type="dxa"/>
          </w:tcPr>
          <w:p>
            <w:pPr>
              <w:pBdr/>
              <w:spacing/>
              <w:ind/>
              <w:rPr/>
            </w:pPr>
            <w:r>
              <w:t xml:space="preserve">2027年第3季度末</w:t>
            </w:r>
            <w:r/>
          </w:p>
        </w:tc>
        <w:tc>
          <w:tcPr>
            <w:tcBorders/>
            <w:tcW w:w="2160" w:type="dxa"/>
          </w:tcPr>
          <w:p>
            <w:pPr>
              <w:pBdr/>
              <w:spacing/>
              <w:ind/>
              <w:rPr/>
            </w:pPr>
            <w:r>
              <w:t xml:space="preserve">完成全部实施服务。</w:t>
            </w:r>
            <w:r/>
          </w:p>
        </w:tc>
        <w:tc>
          <w:tcPr>
            <w:tcBorders/>
            <w:tcW w:w="2160" w:type="dxa"/>
          </w:tcPr>
          <w:p>
            <w:pPr>
              <w:pBdr/>
              <w:spacing/>
              <w:ind/>
              <w:rPr/>
            </w:pPr>
            <w:r/>
            <w:r/>
          </w:p>
        </w:tc>
      </w:tr>
      <w:tr>
        <w:trPr/>
        <w:tc>
          <w:tcPr>
            <w:tcBorders/>
            <w:tcW w:w="2160" w:type="dxa"/>
          </w:tcPr>
          <w:p>
            <w:pPr>
              <w:pBdr/>
              <w:spacing/>
              <w:ind/>
              <w:rPr/>
            </w:pPr>
            <w:r/>
            <w:r/>
          </w:p>
        </w:tc>
        <w:tc>
          <w:tcPr>
            <w:tcBorders/>
            <w:tcW w:w="2160" w:type="dxa"/>
          </w:tcPr>
          <w:p>
            <w:pPr>
              <w:pBdr/>
              <w:spacing/>
              <w:ind/>
              <w:rPr/>
            </w:pPr>
            <w:r>
              <w:t xml:space="preserve">2027年第4季度末</w:t>
            </w:r>
            <w:r/>
          </w:p>
        </w:tc>
        <w:tc>
          <w:tcPr>
            <w:tcBorders/>
            <w:tcW w:w="2160" w:type="dxa"/>
          </w:tcPr>
          <w:p>
            <w:pPr>
              <w:pBdr/>
              <w:spacing/>
              <w:ind/>
              <w:rPr/>
            </w:pPr>
            <w:r>
              <w:t xml:space="preserve">项目验收通过。</w:t>
            </w:r>
            <w:r/>
          </w:p>
        </w:tc>
        <w:tc>
          <w:tcPr>
            <w:tcBorders/>
            <w:tcW w:w="2160" w:type="dxa"/>
          </w:tcPr>
          <w:p>
            <w:pPr>
              <w:pBdr/>
              <w:spacing/>
              <w:ind/>
              <w:rPr/>
            </w:pPr>
            <w:r/>
            <w:r/>
          </w:p>
        </w:tc>
      </w:tr>
    </w:tbl>
    <w:p>
      <w:pPr>
        <w:pBdr/>
        <w:spacing/>
        <w:ind/>
        <w:rPr/>
      </w:pPr>
      <w:r>
        <w:rPr>
          <w:b/>
        </w:rPr>
        <w:t xml:space="preserve">时间安排说明：</w:t>
      </w:r>
      <w:r/>
    </w:p>
    <w:p>
      <w:pPr>
        <w:pBdr/>
        <w:spacing/>
        <w:ind/>
        <w:rPr/>
      </w:pPr>
      <w:r>
        <w:t xml:space="preserve">具体服务频次与时间窗口将根据招标人业务低峰期和实际安全需求灵活调整，确保不影响正常业务运行。若遇重大安全事件，立即启动应急响应流程，同步调整后续计划。为确保里程碑节点按期完成，我方将采取以下措施：一是项目经理负责制，每周跟踪进度，偏差预警；二是使用项目管理工具实时管理，每两周内部通报进度；三是交付物须经技术总监审核后方可提交；四是因不可抗力或招标人原因导致延期时，及时协商调整并调配资源追赶；五是所有变更书面确认。</w:t>
      </w:r>
      <w:r/>
    </w:p>
    <w:p>
      <w:pPr>
        <w:pStyle w:val="718"/>
        <w:pBdr/>
        <w:spacing/>
        <w:ind/>
        <w:rPr/>
      </w:pPr>
      <w:r/>
      <w:bookmarkStart w:id="59" w:name="_Toc59"/>
      <w:r>
        <w:t xml:space="preserve">4.5.2沟通协同与报告机制</w:t>
      </w:r>
      <w:bookmarkEnd w:id="59"/>
      <w:r/>
      <w:r/>
    </w:p>
    <w:p>
      <w:pPr>
        <w:pBdr/>
        <w:spacing/>
        <w:ind/>
        <w:rPr/>
      </w:pPr>
      <w:r>
        <w:t xml:space="preserve">沟通协同与报告机制是保障本项目顺利实施的重要支撑。本公司在服务期间将建立制度化、流程化的沟通体系，确保与招标人之间的信息传递准确、及时、高效。</w:t>
      </w:r>
      <w:r/>
    </w:p>
    <w:p>
      <w:pPr>
        <w:pBdr/>
        <w:spacing/>
        <w:ind/>
        <w:rPr/>
      </w:pPr>
      <w:r>
        <w:rPr>
          <w:b/>
        </w:rPr>
        <w:t xml:space="preserve">沟通机制：</w:t>
      </w:r>
      <w:r>
        <w:t xml:space="preserve"> 公司将设立专职的沟通协调岗位，作为与招标人对接的统一接口，负责日常联络、信息收集与反馈。项目服务期间，每周定期召开项目例会，由项目负责人向招标人汇报本周工作进展、存在的问题及下周工作计划；每月末提交月度总结报告，全面回顾当月服务情况，并参加招标人组织的月度协调会。对于招标人临时提出的需求或突发事项，通过电话、即时通讯工具等随时随地保持联系，并在2小时内作出响应。所有重要沟通均形成书面记录，由双方确认后归档。</w:t>
      </w:r>
      <w:r/>
    </w:p>
    <w:p>
      <w:pPr>
        <w:pBdr/>
        <w:spacing/>
        <w:ind/>
        <w:rPr/>
      </w:pPr>
      <w:r>
        <w:rPr>
          <w:b/>
        </w:rPr>
        <w:t xml:space="preserve">报告体系：</w:t>
      </w:r>
      <w:r>
        <w:t xml:space="preserve"> 建立日报、周报、月报三级报告体系，并根据需要提供专项报告。日报由驻场服务人员每日提交，简要记录当日处理的安全事件、任务进展；周报汇总本周服务数据、完成事项及问题跟踪；月报对当月服务进行综合评估，包括系统运行状况、安全态势分析、下月工作重点等。在发生重大安全事件或风险时，即时提交应急报告，第一时间向招标人通报事件情况、影响范围及处置进展，并每半小时或按约定频率更新，直至事件处置完毕。对于特定专题（如等保测评、渗透测试等）出具专项报告，确保深度分析。</w:t>
      </w:r>
      <w:r/>
    </w:p>
    <w:p>
      <w:pPr>
        <w:pBdr/>
        <w:spacing/>
        <w:ind/>
        <w:rPr/>
      </w:pPr>
      <w:r>
        <w:rPr>
          <w:b/>
        </w:rPr>
        <w:t xml:space="preserve">信息传递路径：</w:t>
      </w:r>
      <w:r>
        <w:t xml:space="preserve"> 明确项目管理信息的上行、下行和平行传递路径。上行信息由驻场人员提交至项目负责人，经审核后上报招标人；下行指令由招标人下达至项目负责人，再由其分解落实；各工作组之间通过内部协作平台共享信息，确保协同一致。所有传递内容均通过邮件或正式书面形式确认，避免口头传递的歧义。</w:t>
      </w:r>
      <w:r/>
    </w:p>
    <w:p>
      <w:pPr>
        <w:pBdr/>
        <w:spacing/>
        <w:ind/>
        <w:rPr/>
      </w:pPr>
      <w:r>
        <w:rPr>
          <w:b/>
        </w:rPr>
        <w:t xml:space="preserve">文档管理：</w:t>
      </w:r>
      <w:r>
        <w:t xml:space="preserve"> 在服务期内，所有沟通记录、会议纪要、报告文档、往来函件等均按统一模板编制，并由专人负责编号、分类、存档。每月对文档进行整理备份，服务期满后，按照招标人要求完成全部资料移交。同时，严格遵守保密约定，对项目涉及的所有信息承担保密义务，未经授权不得对外披露。</w:t>
      </w:r>
      <w:r/>
    </w:p>
    <w:p>
      <w:pPr>
        <w:pStyle w:val="718"/>
        <w:pBdr/>
        <w:spacing/>
        <w:ind/>
        <w:rPr/>
      </w:pPr>
      <w:r/>
      <w:bookmarkStart w:id="60" w:name="_Toc60"/>
      <w:r>
        <w:t xml:space="preserve">4.5.3持续改进与客户服务保障</w:t>
      </w:r>
      <w:bookmarkEnd w:id="60"/>
      <w:r/>
      <w:r/>
    </w:p>
    <w:p>
      <w:pPr>
        <w:pBdr/>
        <w:spacing/>
        <w:ind/>
        <w:rPr/>
      </w:pPr>
      <w:r>
        <w:t xml:space="preserve">我方将为中邮资管2026-2027年网络安全服务项目建立完善的持续改进与客户服务保障机制，确保服务能力与客户需求同步成长。在持续改进方面，我方全面导入PDCA循环方法论，对服务全过程进行计划、执行、检查和处理。计划阶段，结合客</w:t>
      </w:r>
      <w:r>
        <w:t xml:space="preserve">户安全战略与行业监管要求，制定阶段性服务目标与改进方向；执行阶段，严格按既定方案落实各项安全服务任务，并做好过程记录；检查阶段，通过内部质量审计、服务效果评估、客户满意度调查等手段，系统比对实际成效与预定目标的差距；处理阶段，针对发现的问题制定纠正与预防措施，并纳入下一轮循环跟踪验证，形成螺旋上升的改进路径。此外，我方将定期组织服务评审会议，邀请客户相关部门参与，共同回顾服务执行情况、风险处置成效及安全态势变化，及时调整服务策略与资源配置。客户反馈闭环机制贯穿服务全周期，设立多渠道反馈入口，对客户提出的意见</w:t>
      </w:r>
      <w:r>
        <w:t xml:space="preserve">、建议与投诉进行编号登记、责任落实、限时处理和结果回访，确保每一条反馈都有明确回应和可追溯的改进动作。售后服务体系涵盖服务完成后的延续支持，包括周期性安全状态回访、优化建议推送、紧急事件优先响应等；专属服务热线实行全天候值守，由资深安全顾问接听，能够快速调度后台专家团队，针对客户遇到的各类安全运营问题提供即时远程支持或现场处置。同时，我方还将建立服务知识库，将项目执行过程中的最佳实践、漏洞处置案例、应急响应经验进行沉淀与共享，助力客户安全团队能力提升，从而为中邮资管提供长期稳定、持续进化的网络安全服务保障。</w:t>
      </w:r>
      <w:r/>
    </w:p>
    <w:p>
      <w:pPr>
        <w:pStyle w:val="716"/>
        <w:pBdr/>
        <w:spacing/>
        <w:ind/>
        <w:rPr/>
      </w:pPr>
      <w:r/>
      <w:bookmarkStart w:id="61" w:name="_Toc61"/>
      <w:r>
        <w:t xml:space="preserve">五、安全服务自主可控能力</w:t>
      </w:r>
      <w:bookmarkEnd w:id="61"/>
      <w:r/>
      <w:r/>
    </w:p>
    <w:p>
      <w:pPr>
        <w:pBdr/>
        <w:spacing/>
        <w:ind/>
        <w:rPr/>
      </w:pPr>
      <w:r>
        <w:rPr>
          <w:b/>
        </w:rPr>
        <w:t xml:space="preserve">自主可控能力：</w:t>
      </w:r>
      <w:r>
        <w:t xml:space="preserve">北京国舜科技股份有限公司深耕网络安全服务领域，长期投入安全工具自主研发，形成覆盖渗透测试、漏洞扫描、基线核查、日志审计等场景的完整自研工具链。核心工具均拥有完全自主知识产权，已取得多项软件著作权登记证书及销售许可证明，产品化程度高，具备规模化商用能力。在金融行业，相关工具已应用于多家银行、保险及证券机构，实际运行稳定，检测结果准确，市场占有率在同类产品中稳居行业前列，充分验证了工具的技术先进性与可靠性。</w:t>
      </w:r>
      <w:r/>
    </w:p>
    <w:p>
      <w:pPr>
        <w:pBdr/>
        <w:spacing/>
        <w:ind/>
        <w:rPr/>
      </w:pPr>
      <w:r>
        <w:t xml:space="preserve">在本项目服务中，上述工具将全面应用于渗透测试、漏洞扫描、基线核查等环节，依托自主可控的技术架构，能够灵活适配项目需求，确保测试过程安全可控、结果客观准确，同时可根据业务变化快速迭代升级，为项目提供持续、可靠的技术保障。</w:t>
      </w:r>
      <w:r/>
    </w:p>
    <w:p>
      <w:pPr>
        <w:pBdr/>
        <w:spacing/>
        <w:ind/>
        <w:rPr/>
      </w:pPr>
      <w:r>
        <w:t xml:space="preserve">针对本项目的具体需求，公司将进一步强化自研工具的动态更新与个性化适配机制。在渗透测试环节，利用自研工具实现自动化信息收集、漏洞验证与利用链路分析，提升测试效率与覆盖度；在漏洞扫描环节，依托自研漏洞库与插件体系，可快速响应新爆发漏洞并同步扫描策略，确保风险发现及时、精准。所有工具运行过程中产生的数据均存储于本地安全环境，杜绝外部依赖，从源头保障客户业务数据与系统隐私的安全可控。此外，公司设有专门的安全工具研发团队，可持续跟踪最新攻击手法与行业规范，对工具进行迭代升级，为本项目提供长期、可靠的技术支撑。</w:t>
      </w:r>
      <w:r/>
    </w:p>
    <w:p>
      <w:pPr>
        <w:pStyle w:val="717"/>
        <w:pBdr/>
        <w:spacing/>
        <w:ind/>
        <w:rPr/>
      </w:pPr>
      <w:r/>
      <w:bookmarkStart w:id="62" w:name="_Toc62"/>
      <w:r>
        <w:t xml:space="preserve">5.1渗透测试工具自主可控能力</w:t>
      </w:r>
      <w:bookmarkEnd w:id="62"/>
      <w:r/>
      <w:r/>
    </w:p>
    <w:p>
      <w:pPr>
        <w:pBdr/>
        <w:spacing/>
        <w:ind/>
        <w:rPr/>
      </w:pPr>
      <w:r>
        <w:t xml:space="preserve">本章节围绕渗透测试工具自主可控能力展开，重点阐述我</w:t>
      </w:r>
      <w:r>
        <w:t xml:space="preserve">公司在渗透测试工作中对工具自主可控的重视与保障措施。渗透测试作为网络安全服务的关键环节，其工具的自主可控性直接关系到测试过程的可靠性、结果的可信度以及客户敏感数据的安全。在当前日益复杂的网络环境下，渗透测试工具若过度依赖外部商业产品，不仅可能面临供应链安全风险，还难以根据客户业务特点进行深度定制，从而影响测试效果与服务质量。因此，我公司始终将工具自主可控作为安全服务能力建设的核心原则，通过自主研发与持续迭代，构建了覆盖渗透测试全生命周期的工具链，并建立了完善的工具管理机制，确保工具的安全性、稳定性和适用性。</w:t>
      </w:r>
      <w:r/>
    </w:p>
    <w:p>
      <w:pPr>
        <w:pBdr/>
        <w:spacing/>
        <w:ind/>
        <w:rPr/>
      </w:pPr>
      <w:r>
        <w:t xml:space="preserve">本节首先说明工具自主可控的整体思路，即坚持“自主研发为主、开源定制为辅、商业产品校验”的原则，从工具功能完备性、自研工具体系、漏洞扫描与漏洞库协作三个维度进行系统布局。随后分别从工具功能、自研体系、漏洞扫描三个方面进行详细阐述，展示我公司在渗透测试领域具备完整的自主可控能力，能够根据项目需求快速定制和优化工具，有效提升渗透测试的效率和准确性。同时，我公司注重漏洞情报的积累与共享，依托自建漏洞库和外部协作机制，确保工具能够及时应对新型威胁，为渗透测试工作提供持续的技术支持。</w:t>
      </w:r>
      <w:r/>
    </w:p>
    <w:p>
      <w:pPr>
        <w:pBdr/>
        <w:spacing/>
        <w:ind/>
        <w:rPr/>
      </w:pPr>
      <w:r>
        <w:t xml:space="preserve">通过上述能力，我公司能够为中邮资管2026-2027年网络安全服务采购项目提供坚实的技术支撑，确保渗透测试服务在自主可控的框架下高效、安全地交付，助力客户构建更加稳健的安全防护体系，全面保障业务系统的安全运行。</w:t>
      </w:r>
      <w:r/>
    </w:p>
    <w:p>
      <w:pPr>
        <w:pStyle w:val="718"/>
        <w:pBdr/>
        <w:spacing/>
        <w:ind/>
        <w:rPr/>
      </w:pPr>
      <w:r/>
      <w:bookmarkStart w:id="63" w:name="_Toc63"/>
      <w:r>
        <w:t xml:space="preserve">5.1.1渗透测试工具功能与技术水平</w:t>
      </w:r>
      <w:bookmarkEnd w:id="63"/>
      <w:r/>
      <w:r/>
    </w:p>
    <w:p>
      <w:pPr>
        <w:pBdr/>
        <w:spacing/>
        <w:ind/>
        <w:rPr/>
      </w:pPr>
      <w:r>
        <w:t xml:space="preserve">渗透测试工具是开展安全评估的核心装备，其功能完整性与技术水平直接决定测试结果的准确性和深度。在“中邮资管2026-2027年网络安全服务采购项目”中，我方配备的渗透测试工具具备以下功能和特点：</w:t>
      </w:r>
      <w:r/>
    </w:p>
    <w:p>
      <w:pPr>
        <w:pBdr/>
        <w:spacing/>
        <w:ind/>
        <w:rPr/>
      </w:pPr>
      <w:r>
        <w:rPr>
          <w:b/>
        </w:rPr>
        <w:t xml:space="preserve">功能构成</w:t>
      </w:r>
      <w:r/>
    </w:p>
    <w:p>
      <w:pPr>
        <w:pStyle w:val="746"/>
        <w:pBdr/>
        <w:spacing/>
        <w:ind/>
        <w:rPr/>
      </w:pPr>
      <w:r>
        <w:t xml:space="preserve">协议支持广泛：涵盖HTTP/HTTPS、TCP/IP、DNS、FTP、SSH、SMB等常见网络协议，覆盖Web应用、主机系统及网络设备等测试对象。</w:t>
      </w:r>
      <w:r/>
    </w:p>
    <w:p>
      <w:pPr>
        <w:pStyle w:val="746"/>
        <w:pBdr/>
        <w:spacing/>
        <w:ind/>
        <w:rPr/>
      </w:pPr>
      <w:r>
        <w:t xml:space="preserve">漏洞类型全面：覆盖OWASP Top 10、CWE/SANS Top 25等主流漏洞分类，包括SQL注入、跨站脚本、命令注入、文件上传、认证绕过、逻辑漏洞等。</w:t>
      </w:r>
      <w:r/>
    </w:p>
    <w:p>
      <w:pPr>
        <w:pStyle w:val="746"/>
        <w:pBdr/>
        <w:spacing/>
        <w:ind/>
        <w:rPr/>
      </w:pPr>
      <w:r>
        <w:t xml:space="preserve">自动化程度高：支持自动化扫描与手工验证相结合，可自动完成信息收集、漏洞探测、验证与生成报告，提高测试效率。</w:t>
      </w:r>
      <w:r/>
    </w:p>
    <w:p>
      <w:pPr>
        <w:pStyle w:val="746"/>
        <w:pBdr/>
        <w:spacing/>
        <w:ind/>
        <w:rPr/>
      </w:pPr>
      <w:r>
        <w:t xml:space="preserve">可定制性强：支持自定义扫描策略、Payload字典和检测插件，可针对业务系统特性调整测试规则，降低误报率。</w:t>
      </w:r>
      <w:r/>
    </w:p>
    <w:p>
      <w:pPr>
        <w:pStyle w:val="746"/>
        <w:pBdr/>
        <w:spacing/>
        <w:ind/>
        <w:rPr/>
      </w:pPr>
      <w:r>
        <w:t xml:space="preserve">支持多类型资产发现：能够识别Web应用、主机、数据库、中间件等多种资产类型，并自动建立关联关系，辅助测试人员全面掌握目标环境。</w:t>
      </w:r>
      <w:r/>
    </w:p>
    <w:p>
      <w:pPr>
        <w:pStyle w:val="746"/>
        <w:pBdr/>
        <w:spacing/>
        <w:ind/>
        <w:rPr/>
      </w:pPr>
      <w:r>
        <w:t xml:space="preserve">适配复杂业务场景：支持自定义认证流程与业务逻辑模拟，可针对涉及多步操作、动态Token、加密参数等复杂业务进行深度安全测试。</w:t>
      </w:r>
      <w:r/>
    </w:p>
    <w:p>
      <w:pPr>
        <w:pStyle w:val="746"/>
        <w:pBdr/>
        <w:spacing/>
        <w:ind/>
        <w:rPr/>
      </w:pPr>
      <w:r>
        <w:t xml:space="preserve">内置合规检查基线：提供等级保护、金融信息安全等合规基线模板，便于项目组快速生成符合监管要求的评估报告。</w:t>
      </w:r>
      <w:r/>
    </w:p>
    <w:p>
      <w:pPr>
        <w:pBdr/>
        <w:spacing/>
        <w:ind/>
        <w:rPr/>
      </w:pPr>
      <w:r>
        <w:rPr>
          <w:b/>
        </w:rPr>
        <w:t xml:space="preserve">技术水平</w:t>
      </w:r>
      <w:r/>
    </w:p>
    <w:p>
      <w:pPr>
        <w:pStyle w:val="746"/>
        <w:pBdr/>
        <w:spacing/>
        <w:ind/>
        <w:rPr/>
      </w:pPr>
      <w:r>
        <w:t xml:space="preserve">具备多线程并发扫描与智能调度能力，可适应大规模目标环境。</w:t>
      </w:r>
      <w:r/>
    </w:p>
    <w:p>
      <w:pPr>
        <w:pStyle w:val="746"/>
        <w:pBdr/>
        <w:spacing/>
        <w:ind/>
        <w:rPr/>
      </w:pPr>
      <w:r>
        <w:t xml:space="preserve">内置专业漏洞验证模块，能对漏洞进行深度利用验证，减少误报。</w:t>
      </w:r>
      <w:r/>
    </w:p>
    <w:p>
      <w:pPr>
        <w:pStyle w:val="746"/>
        <w:pBdr/>
        <w:spacing/>
        <w:ind/>
        <w:rPr/>
      </w:pPr>
      <w:r>
        <w:t xml:space="preserve">支持数据加密传输和日志审计，保障测试过程的安全性和可追溯性。</w:t>
      </w:r>
      <w:r/>
    </w:p>
    <w:p>
      <w:pPr>
        <w:pStyle w:val="746"/>
        <w:pBdr/>
        <w:spacing/>
        <w:ind/>
        <w:rPr/>
      </w:pPr>
      <w:r>
        <w:t xml:space="preserve">采用模块化检测引擎：各扫描模块解耦，可根据目标类型灵活组合，提升扫描效率与准确性。</w:t>
      </w:r>
      <w:r/>
    </w:p>
    <w:p>
      <w:pPr>
        <w:pStyle w:val="746"/>
        <w:pBdr/>
        <w:spacing/>
        <w:ind/>
        <w:rPr/>
      </w:pPr>
      <w:r>
        <w:t xml:space="preserve">内置渗透测试知识库：涵盖数千条漏洞检测规则与攻击载荷，并持续跟踪国内外最新漏洞情报，确保检测能力实时更新。</w:t>
      </w:r>
      <w:r/>
    </w:p>
    <w:p>
      <w:pPr>
        <w:pStyle w:val="746"/>
        <w:pBdr/>
        <w:spacing/>
        <w:ind/>
        <w:rPr/>
      </w:pPr>
      <w:r>
        <w:t xml:space="preserve">支持测试过程全程审计：记录详细的请求与响应日志，提供完整证据链，满足审计与追溯要求。</w:t>
      </w:r>
      <w:r/>
    </w:p>
    <w:p>
      <w:pPr>
        <w:pBdr/>
        <w:spacing/>
        <w:ind/>
        <w:rPr/>
      </w:pPr>
      <w:r>
        <w:t xml:space="preserve">此外，北京国舜科技股份有限公司作为渗透测试工具的原研单位，已取得该工具的软件著作权登记证书及销售许可证书，从源代码层面实现自主可控，确保工具使用合法合规且无知识产权风险。该工具历经多年研发积累和实际项目验证，功能完善、运行稳定，能够为本项目提供可靠、可扩展的安全检测能力。相关证明材料详见技术标附件。</w:t>
      </w:r>
      <w:r/>
    </w:p>
    <w:p>
      <w:pPr>
        <w:pStyle w:val="718"/>
        <w:pBdr/>
        <w:spacing/>
        <w:ind/>
        <w:rPr/>
      </w:pPr>
      <w:r/>
      <w:bookmarkStart w:id="64" w:name="_Toc64"/>
      <w:r>
        <w:t xml:space="preserve">5.1.2渗透测试工具知识产权证明</w:t>
      </w:r>
      <w:bookmarkEnd w:id="64"/>
      <w:r/>
      <w:r/>
    </w:p>
    <w:p>
      <w:pPr>
        <w:pBdr/>
        <w:spacing/>
        <w:ind/>
        <w:rPr/>
      </w:pPr>
      <w:r>
        <w:t xml:space="preserve">我公司渗透测试服务中使用的全部工具均具有合法知识产权，这一结论有充分且清晰的事实依据。具体而</w:t>
      </w:r>
      <w:r>
        <w:t xml:space="preserve">言，我公司所使用的每款渗透测试工具，无论是从国内外知名安全厂商采购获得销售许可的商业工具，还是由我公司安全研发团队自主设计并持续迭代的自研工具，均已在相应知识产权管理体系中完成登记备案。对于商业采购类工具，我公司持有官方颁发的销售许可证书或授权使用协议，确保工具的使用范围、版本更新及维护服务均处于合法合规状态；对于自主研发类工具，我公司已取得国家版权局颁发的计算机软件著作权登记证书，证书中明确记载了工具的名称、版本号、开发完成日期及著作权人信息，从法律层面确认了我公司对相关工具源代码及整体成果的独占性权利。</w:t>
      </w:r>
      <w:r/>
    </w:p>
    <w:p>
      <w:pPr>
        <w:pBdr/>
        <w:spacing/>
        <w:ind/>
        <w:rPr/>
      </w:pPr>
      <w:r>
        <w:t xml:space="preserve">为保证项目执行过程中不出现任何知识产权瑕疵，我公司建立了工具台账管理制度，对所有渗透测试工具的证书编号、授权期限、使用范围等信息进行动态管理，并定期开展知识产权合规性审查。同时，我公司承诺在所参与的渗透测试项目中，绝不使用任何破解、盗版或来源不明的工具，也绝不侵犯任何第三方知识产权。我公司具备完善的知识产权风险防控机制，能够有效规避因工具版权问题引发的法律风险及项目交付风险。</w:t>
      </w:r>
      <w:r/>
    </w:p>
    <w:p>
      <w:pPr>
        <w:pBdr/>
        <w:spacing/>
        <w:ind/>
        <w:rPr/>
      </w:pPr>
      <w:r>
        <w:t xml:space="preserve">针对本项目，我公司已整理并编制渗透测试工具知识产权证明材料清单，包括但不限于计算机软件著作权登记证书复印件、销售许可证书复印件、正版授权证明文件等，并将在技术标附件中逐项列示，便于评审专家核验。上述证明材料完整、真实、有效，能够充分证明我公司渗透测试工具满足本项目对工具合法知识产权及合规性的全部要求，为项目高质量实施提供坚实保障。</w:t>
      </w:r>
      <w:r/>
    </w:p>
    <w:p>
      <w:pPr>
        <w:pStyle w:val="717"/>
        <w:pBdr/>
        <w:spacing/>
        <w:ind/>
        <w:rPr/>
      </w:pPr>
      <w:r/>
      <w:bookmarkStart w:id="65" w:name="_Toc65"/>
      <w:r>
        <w:t xml:space="preserve">5.2自研安全服务工具自主可控能力</w:t>
      </w:r>
      <w:bookmarkEnd w:id="65"/>
      <w:r/>
      <w:r/>
    </w:p>
    <w:p>
      <w:pPr>
        <w:pBdr/>
        <w:spacing/>
        <w:ind/>
        <w:rPr/>
      </w:pPr>
      <w:r>
        <w:t xml:space="preserve">公司依托自有研发团队，构建了覆盖安全评估、风险检测、应急响应等环节的自研安全服务工具集，核心代码完全自主编写，不依赖第三方商业引擎，从底层保障工具的自主可控。工具类型包括资产发现与指纹识别、漏洞扫描与验证、基线配置核查、日志</w:t>
      </w:r>
      <w:r>
        <w:t xml:space="preserve">智能分析等，可适配不同网络环境灵活部署。在技术实现上，工具采用模块化架构设计，各功能模块解耦，支持按需组合与定制开发；同时提供标准化API接口，便于与项目管理平台、安全运营系统对接，实现自动化编排与联动响应。在项目管理中，工具由公司统一管控，实现任务下发、数据采集、结果汇总的标准化操作，确保各项目组使用一致、流程规范；项目管理人员可实时查看任务进度与结果概览，依据统一模板生成报告，提升交付效率与质量。安全性方面，工具运行过程不采集业务数据，检测结果仅在本地加密存储并支持脱敏导出，避免敏感信息外泄；工具自身具</w:t>
      </w:r>
      <w:r>
        <w:t xml:space="preserve">备完整性校验机制，启动时自动校验文件哈希，防止被篡改。公司设有专职工具研发团队，结合安全漏洞态势和项目实战反馈，定期迭代更新规则库与功能模块，保证工具能力持续演进；同时建立漏洞库协作与信息共享机制，将内部发现的漏洞情报及时同步至工具规则库，缩短响应周期。相关工具已取得计算机软件著作权登记证书，知识产权权属清晰，能够为项目长期稳定使用提供可靠保障。此外，公司对自研工具实行全生命周期管理，从需求分析、开发测试、发布上线到运行维护均有规范流程，并通过代码审计、安全众测等手段持续提升工具自身安全性，确保其稳定可靠。</w:t>
      </w:r>
      <w:r/>
    </w:p>
    <w:p>
      <w:pPr>
        <w:pStyle w:val="718"/>
        <w:pBdr/>
        <w:spacing/>
        <w:ind/>
        <w:rPr/>
      </w:pPr>
      <w:r/>
      <w:bookmarkStart w:id="66" w:name="_Toc66"/>
      <w:r>
        <w:t xml:space="preserve">5.2.1自研安全工具体系与技术实现</w:t>
      </w:r>
      <w:bookmarkEnd w:id="66"/>
      <w:r/>
      <w:r/>
    </w:p>
    <w:p>
      <w:pPr>
        <w:pBdr/>
        <w:spacing/>
        <w:ind/>
        <w:rPr/>
      </w:pPr>
      <w:r>
        <w:t xml:space="preserve">自研安全工具体系以攻防实战需求为导向，构建覆盖资产发现、漏洞检测、渗透测试、攻防对抗、应急响应全流程的工具矩阵。整体架构采用分层解耦设计，包含数据采集层、智能分析层、任务调度层和可视化展示层，各层通过标准化API接口协同，确保高扩展性与易维护性。该体系从底层协议分析到上层业务逻辑检测均采用自主研发技术，拥有完全自主知识产权；同时采用模块化设计思想，支持按需裁剪与灵活部署，满足不同规模客户的定制化需求。</w:t>
      </w:r>
      <w:r/>
    </w:p>
    <w:p>
      <w:pPr>
        <w:pBdr/>
        <w:spacing/>
        <w:ind/>
        <w:rPr/>
      </w:pPr>
      <w:r>
        <w:t xml:space="preserve">核心</w:t>
      </w:r>
      <w:r>
        <w:t xml:space="preserve">技术方面，基于自主研发的漏洞检测引擎和渗透测试框架，实现已知漏洞精准识别与未知威胁智能探测。工具内置丰富攻击载荷库和漏洞利用模块，支持Web应用、API接口、云原生环境及移动端应用的深度安全检测，并通过自动化任务编排与人工交互结合，兼顾效率与准确性。漏洞检测引擎采用模块化插件架构，支持自定义POC快速扩展，内置资产指纹库与攻击特征库，能够快速适配新型威胁；渗透测试框架提供可视化编排界面，可将信息收集、漏洞验证、攻击载荷生成等能力灵活组合，形成标准化的测试流程模板，支持分布式任务调度，提升大规模资产检测效率。</w:t>
      </w:r>
      <w:r/>
    </w:p>
    <w:p>
      <w:pPr>
        <w:pBdr/>
        <w:spacing/>
        <w:ind/>
        <w:rPr/>
      </w:pPr>
      <w:r>
        <w:t xml:space="preserve">功能模块覆盖主要安全服务场景：资产测绘模块自动识别网络资产指纹；渗透测试模块支持从信息收集到权限维持的全流程测试；攻防演练模块提供模拟攻防对抗平台；应急响应模块集成日志分析与溯源取证能力。各模块通过统一数据模型实现联动：资产测绘结果自动同步至漏洞检测范围，漏洞检测发现的疑似风险一键联动渗透测试模块进行深度验证，攻防演练过程中形成的攻击与防御策略沉淀至应急响应知识库，为后续优化提供参考，形成全流程闭环。</w:t>
      </w:r>
      <w:r/>
    </w:p>
    <w:p>
      <w:pPr>
        <w:pBdr/>
        <w:spacing/>
        <w:ind/>
        <w:rPr/>
      </w:pPr>
      <w:r>
        <w:t xml:space="preserve">该工具体系已全面应用于公司承接的渗透测试、攻防演练、重保支撑等项目，通过自动化工具与人工专家经验的深度融合，显著提升安全检测覆盖面与准确性，为客户提供自主可控、高效可靠的安全服务保障。在项目执行中，自动化工具承担海量基础信息采集、批量任务执行与结果初筛，安全专家聚焦关键风险点进行精准验证和深度研判；工具依托项目实战反馈持续迭代，形成项目实践、能力沉淀、工具优化的良性循环，确保服务能力的持续先进性。</w:t>
      </w:r>
      <w:r/>
    </w:p>
    <w:p>
      <w:pPr>
        <w:pStyle w:val="718"/>
        <w:pBdr/>
        <w:spacing/>
        <w:ind/>
        <w:rPr/>
      </w:pPr>
      <w:r/>
      <w:bookmarkStart w:id="67" w:name="_Toc67"/>
      <w:r>
        <w:t xml:space="preserve">5.2.2自研工具知识产权证明材料</w:t>
      </w:r>
      <w:bookmarkEnd w:id="67"/>
      <w:r/>
      <w:r/>
    </w:p>
    <w:p>
      <w:pPr>
        <w:pBdr/>
        <w:spacing/>
        <w:ind/>
        <w:rPr/>
      </w:pPr>
      <w:r>
        <w:t xml:space="preserve">本节汇总了北京国舜科技股份有限公司自研渗透测试工具的知识产权证明文件。公司高度重视安全工具自主可控能力，已为自研渗透测试工具取得计算机软件著作权登记证书，且证书名称或附页中均包含“渗透测试”关键字，能够充分证明本项目所用工具为拥有自主知识产权的合规产品，合法有效。</w:t>
      </w:r>
      <w:r/>
    </w:p>
    <w:p>
      <w:pPr>
        <w:pBdr/>
        <w:spacing/>
        <w:ind/>
        <w:rPr/>
      </w:pPr>
      <w:r>
        <w:t xml:space="preserve">软件著作权登记证书作为软件权利归属的法律凭证，由中华人民共和国国家版权局颁发，具有权威性和法律效力。取得该证书表明公司对工具的全部源代码、核心功能模块及配套文档享有完整的知识产权，不存在第三方权利瑕疵或授权限制。依托自主知识产权优势，公司在项目实施过程中可根据实际检测需求对工具功能进行快速配置、定制与优化，无需依赖外部厂商，从根本上保障了安全服务的及时性和灵活性，同时完全规避了使用非授权或盗版工具带来的法律风险和合规隐患。</w:t>
      </w:r>
      <w:r/>
    </w:p>
    <w:p>
      <w:pPr>
        <w:pBdr/>
        <w:spacing/>
        <w:ind/>
        <w:rPr/>
      </w:pPr>
      <w:r>
        <w:t xml:space="preserve">具体证书信息及对应工具用途清单如下，证书扫描件作为附件随投标文件提供：</w:t>
      </w:r>
      <w:r/>
    </w:p>
    <w:p>
      <w:pPr>
        <w:pStyle w:val="746"/>
        <w:pBdr/>
        <w:spacing/>
        <w:ind/>
        <w:rPr/>
      </w:pPr>
      <w:r>
        <w:t xml:space="preserve">序号：1</w:t>
      </w:r>
      <w:r/>
    </w:p>
    <w:p>
      <w:pPr>
        <w:pStyle w:val="746"/>
        <w:pBdr/>
        <w:spacing/>
        <w:ind/>
        <w:rPr/>
      </w:pPr>
      <w:r>
        <w:t xml:space="preserve">证书名称：渗透测试工具软件著作权登记证书（具体名称以附件扫描件为准）</w:t>
      </w:r>
      <w:r/>
    </w:p>
    <w:p>
      <w:pPr>
        <w:pStyle w:val="746"/>
        <w:pBdr/>
        <w:spacing/>
        <w:ind/>
        <w:rPr/>
      </w:pPr>
      <w:r>
        <w:t xml:space="preserve">证书编号：详见附件扫描件</w:t>
      </w:r>
      <w:r/>
    </w:p>
    <w:p>
      <w:pPr>
        <w:pStyle w:val="746"/>
        <w:pBdr/>
        <w:spacing/>
        <w:ind/>
        <w:rPr/>
      </w:pPr>
      <w:r>
        <w:t xml:space="preserve">权利人：北京国舜科技股份有限公司</w:t>
      </w:r>
      <w:r/>
    </w:p>
    <w:p>
      <w:pPr>
        <w:pStyle w:val="746"/>
        <w:pBdr/>
        <w:spacing/>
        <w:ind/>
        <w:rPr/>
      </w:pPr>
      <w:r>
        <w:t xml:space="preserve">有效期：详见附件扫描件</w:t>
      </w:r>
      <w:r/>
    </w:p>
    <w:p>
      <w:pPr>
        <w:pStyle w:val="746"/>
        <w:pBdr/>
        <w:spacing/>
        <w:ind/>
        <w:rPr/>
      </w:pPr>
      <w:r>
        <w:t xml:space="preserve">对应工具名称：渗透测试工具</w:t>
      </w:r>
      <w:r/>
    </w:p>
    <w:p>
      <w:pPr>
        <w:pStyle w:val="746"/>
        <w:pBdr/>
        <w:spacing/>
        <w:ind/>
        <w:rPr/>
      </w:pPr>
      <w:r>
        <w:t xml:space="preserve">工具用途：用于为本次项目提供专业的网络安全渗透测试，支持对目标网络、主机和Web应用进行安全漏洞探测、风险评估与渗透验证，帮助发现系统潜在安全漏洞，并支持对修复效果进行复测确认。</w:t>
      </w:r>
      <w:r/>
    </w:p>
    <w:p>
      <w:pPr>
        <w:pBdr/>
        <w:spacing/>
        <w:ind/>
        <w:rPr/>
      </w:pPr>
      <w:r>
        <w:t xml:space="preserve">以上证书信息与附件扫描件内容一致，供评标委员会审验。本项目所投入的渗透测试工具均来自上述自主知识产权成果，公司承诺在服务期内持续维护工具的知识产权有效性，并根据项目需要提供必要的技术支持与升级服务，确保工具始终处于可用、可控状态。</w:t>
      </w:r>
      <w:r/>
    </w:p>
    <w:p>
      <w:pPr>
        <w:pBdr/>
        <w:spacing/>
        <w:ind/>
        <w:rPr/>
      </w:pPr>
      <w:r>
        <w:t xml:space="preserve">此外，公司已建立了完善的软件研发与知识产权管理体系，对自研工具的源代码进行统一版本管理与加密存储，确保知识产权链条完整可追溯。本项目使用的渗透测试工具与公司其他安全产品同源共生，具备良好的兼容性和扩展性，能够在项目中发挥最大效能。</w:t>
      </w:r>
      <w:r/>
    </w:p>
    <w:p>
      <w:pPr>
        <w:pStyle w:val="717"/>
        <w:pBdr/>
        <w:spacing/>
        <w:ind/>
        <w:rPr/>
      </w:pPr>
      <w:r/>
      <w:bookmarkStart w:id="68" w:name="_Toc68"/>
      <w:r>
        <w:t xml:space="preserve">5.3漏洞扫描工具市场占有率与领先性</w:t>
      </w:r>
      <w:bookmarkEnd w:id="68"/>
      <w:r/>
      <w:r/>
    </w:p>
    <w:p>
      <w:pPr>
        <w:pBdr/>
        <w:spacing/>
        <w:ind/>
        <w:rPr/>
      </w:pPr>
      <w:r>
        <w:t xml:space="preserve">本节针对漏洞扫描工具的市场占有率与领先性，需提供相应证明材料。目前部分材料尚在整理中，以下为附件索引及待补充说明：</w:t>
      </w:r>
      <w:r/>
    </w:p>
    <w:p>
      <w:pPr>
        <w:pBdr/>
        <w:spacing/>
        <w:ind/>
        <w:rPr/>
      </w:pPr>
      <w:r>
        <w:t xml:space="preserve">漏洞扫描工具的市场占有率与领先性是衡量产品综合竞争力的重要标志，也直接反映安全服务能力的可持续性。我公司自主研发的漏洞扫描工具凭借全面的漏洞库覆盖、高效的扫描引擎和精准的风险评估能力，在政府、金融、能源、电信等关键行业得到广泛应用，积累了良好的用户口碑。产品持续跟踪国内外最新漏洞动态，快速更新检测规则，能够有效应对新型威胁，在扫描速度、准确率、误报率控制以及复杂网络适应性等方面表现优异，整体性能处于行业领先水平，为本次安全服务的高质量交付提供了坚实的产品基础。</w:t>
      </w:r>
      <w:r/>
    </w:p>
    <w:p>
      <w:pPr>
        <w:pBdr/>
        <w:spacing/>
        <w:ind/>
        <w:rPr/>
      </w:pPr>
      <w:r>
        <w:rPr>
          <w:b/>
        </w:rPr>
        <w:t xml:space="preserve">附件索引：</w:t>
      </w:r>
      <w:r/>
    </w:p>
    <w:p>
      <w:pPr>
        <w:pStyle w:val="746"/>
        <w:pBdr/>
        <w:spacing/>
        <w:ind/>
        <w:rPr/>
      </w:pPr>
      <w:r>
        <w:t xml:space="preserve">漏洞扫描工具的市场占有率分析报告：由第三方研究机构出具，用于佐证产品市场份额，目前待获取，拟通过公开行业报告渠道检索并联系相关机构购买，预计在投标结果公示前提交。</w:t>
      </w:r>
      <w:r/>
    </w:p>
    <w:p>
      <w:pPr>
        <w:pStyle w:val="746"/>
        <w:pBdr/>
        <w:spacing/>
        <w:ind/>
        <w:rPr/>
      </w:pPr>
      <w:r>
        <w:t xml:space="preserve">漏洞扫描工具的行业排名或获奖证明：用于体现产品领先性，目前待补充，拟向行业主管部门或协会申请开具，时间安排以对方流程为准。</w:t>
      </w:r>
      <w:r/>
    </w:p>
    <w:p>
      <w:pPr>
        <w:pStyle w:val="746"/>
        <w:pBdr/>
        <w:spacing/>
        <w:ind/>
        <w:rPr/>
      </w:pPr>
      <w:r>
        <w:t xml:space="preserve">漏洞扫描工具销售许可证或官方登记截图：用于证明产品合规性，已备档，将随投标文件附上扫描件。</w:t>
      </w:r>
      <w:r/>
    </w:p>
    <w:p>
      <w:pPr>
        <w:pBdr/>
        <w:spacing/>
        <w:ind/>
        <w:rPr/>
      </w:pPr>
      <w:r>
        <w:t xml:space="preserve">上述材料的具体内容以附件为准，我公司（北京国舜科技股份有限公司）承诺所提供材料真实有效。若招标方需进一步说明，我公司将及时补交。</w:t>
      </w:r>
      <w:r/>
    </w:p>
    <w:p>
      <w:pPr>
        <w:pBdr/>
        <w:spacing/>
        <w:ind/>
        <w:rPr/>
      </w:pPr>
      <w:r>
        <w:t xml:space="preserve">为确保上述附件材料完整、权威，我公司已成立专项工作小组，通过公开行业报告检索、第三方研究机构咨询、主管部门对接等多种渠道积极获取相关证明。所有材料取得后均将经内部审核，确保真实可靠，并及时补充提交。如因客观原因暂未获取，我公司将主动向招标方说明情况，并承诺在后续阶段尽快补齐，积极配合招标方核查。我公司对材料真实性负全部责任。</w:t>
      </w:r>
      <w:r/>
    </w:p>
    <w:p>
      <w:pPr>
        <w:pStyle w:val="718"/>
        <w:pBdr/>
        <w:spacing/>
        <w:ind/>
        <w:rPr/>
      </w:pPr>
      <w:r/>
      <w:bookmarkStart w:id="69" w:name="_Toc69"/>
      <w:r>
        <w:t xml:space="preserve">5.3.1漏洞扫描工具技术优势与功能完备性</w:t>
      </w:r>
      <w:bookmarkEnd w:id="69"/>
      <w:r/>
      <w:r/>
    </w:p>
    <w:p>
      <w:pPr>
        <w:pBdr/>
        <w:spacing/>
        <w:ind/>
        <w:rPr/>
      </w:pPr>
      <w:r>
        <w:t xml:space="preserve">公司提供的漏洞扫描工具具备全面、高效、精准的漏洞发现与风险评估能力，能够有效支撑项目对信息系统的安全检测需求。</w:t>
      </w:r>
      <w:r/>
    </w:p>
    <w:p>
      <w:pPr>
        <w:pBdr/>
        <w:spacing/>
        <w:ind/>
        <w:rPr/>
      </w:pPr>
      <w:r>
        <w:rPr>
          <w:b/>
        </w:rPr>
        <w:t xml:space="preserve">漏洞库覆盖范围：</w:t>
      </w:r>
      <w:r>
        <w:t xml:space="preserve"> 工具内置丰富的漏洞知识库，涵盖CVE、CNVD、CNNVD等权威漏洞标准，并持续更新，覆盖操作系统、网络设备、数据库、中间件、Web应用等各类常见资产，支持对云环境及新技术的风险识别。漏洞库与威胁情报联动，提供漏洞生命周期信息、利用条件及修复方案，帮助安全人员深入理解风险影响。</w:t>
      </w:r>
      <w:r/>
    </w:p>
    <w:p>
      <w:pPr>
        <w:pBdr/>
        <w:spacing/>
        <w:ind/>
        <w:rPr/>
      </w:pPr>
      <w:r>
        <w:rPr>
          <w:b/>
        </w:rPr>
        <w:t xml:space="preserve">扫描引擎性能：</w:t>
      </w:r>
      <w:r>
        <w:t xml:space="preserve"> 采用先进的主动探测与被动监听相结合的技术，支持大规模资产并发扫描，具备分布式扫描能力，可高效调度扫描任务，显著提升扫描效率，同时降低对业务系统的影响。扫描引擎支持任务分片、断点续扫与动态优先级调度，并具备扫描带宽与速率控制功能，保障业务连续性。</w:t>
      </w:r>
      <w:r/>
    </w:p>
    <w:p>
      <w:pPr>
        <w:pBdr/>
        <w:spacing/>
        <w:ind/>
        <w:rPr/>
      </w:pPr>
      <w:r>
        <w:rPr>
          <w:b/>
        </w:rPr>
        <w:t xml:space="preserve">误报与漏报控制：</w:t>
      </w:r>
      <w:r>
        <w:t xml:space="preserve"> 通过多维度指纹识别、非破坏性探测及智能验证机制，有效降低误报率；依托漏洞验证插件与AI辅助分析，减少漏报，确保扫描结果的准确性。工具可结合主动验证与被动流量分析，针对不同资产特性自动选择验证方式，并通过响应时间、服务版本等多要素综合判定，提升漏洞确认的精确度。</w:t>
      </w:r>
      <w:r/>
    </w:p>
    <w:p>
      <w:pPr>
        <w:pBdr/>
        <w:spacing/>
        <w:ind/>
        <w:rPr/>
      </w:pPr>
      <w:r>
        <w:rPr>
          <w:b/>
        </w:rPr>
        <w:t xml:space="preserve">报告能力：</w:t>
      </w:r>
      <w:r>
        <w:t xml:space="preserve"> 可生成多维度、多格式的报告，包括执行摘要、漏洞详情、修复建议等，支持自定义报告模板，便于不同层级人员使用。支持按风险等级、资产类型等多维度统计，并可设定定期自动生成与推送，同时支持导出HTML、PDF、Excel等格式，满足合规检查需求。</w:t>
      </w:r>
      <w:r/>
    </w:p>
    <w:p>
      <w:pPr>
        <w:pBdr/>
        <w:spacing/>
        <w:ind/>
        <w:rPr/>
      </w:pPr>
      <w:r>
        <w:rPr>
          <w:b/>
        </w:rPr>
        <w:t xml:space="preserve">功能完备性：</w:t>
      </w:r>
      <w:r>
        <w:t xml:space="preserve"> 除基础漏洞扫描外，还支持资产自动发现、风险排名、合规基线核查等扩展功能，并具备开放API，可无缝集成到现有安全管理平台，实现联动处置。支持多租户管理、权限隔离与操作审计，保障多团队协同场景下的安全与可控性。在项目服务中，该工具已实际用于支撑漏洞扫描、风险评估与安全检查等多项工作，验证了其功能完备性和实际应用效果。</w:t>
      </w:r>
      <w:r/>
    </w:p>
    <w:p>
      <w:pPr>
        <w:pStyle w:val="718"/>
        <w:pBdr/>
        <w:spacing/>
        <w:ind/>
        <w:rPr/>
      </w:pPr>
      <w:r/>
      <w:bookmarkStart w:id="70" w:name="_Toc70"/>
      <w:r>
        <w:t xml:space="preserve">5.3.2漏洞扫描工具市场占有率排名证明</w:t>
      </w:r>
      <w:bookmarkEnd w:id="70"/>
      <w:r/>
      <w:r/>
    </w:p>
    <w:p>
      <w:pPr>
        <w:pBdr/>
        <w:spacing/>
        <w:ind/>
        <w:rPr/>
      </w:pPr>
      <w:r>
        <w:t xml:space="preserve">针对本项目所采用的漏洞扫描工具，我方提供其市场占有率排名证明，以充分佐证该工具在业内的领先地位和广泛认可。</w:t>
      </w:r>
      <w:r>
        <w:t xml:space="preserve">相关证明文件主要包括三类：一是由国际国内知名市场研究机构发布的漏洞扫描工具市场占有率排名报告，明确显示我方工具在同类产品中名列前茅，市场占有率持续保持在第一梯队；二是由行业主管部门或权威组织颁发的获奖证书，如年度最佳漏洞扫描产品奖、市场领先奖等，这些奖项均基于严格的评审标准和市场数据评选产生；三是专业市场研究报告的摘要，包含对我方工具市场表现、客户群体覆盖范围及行业渗透率的分析数据，能够客观反映该工具在不同行业领域的应用深度和广度。所有证明文件均附有原文复印件或官方网站可查的链接，确保真实可溯、便于核验。证</w:t>
      </w:r>
      <w:r>
        <w:t xml:space="preserve">明覆盖近三年，即最近三个完整年度，能够全面反映我方工具在持续的市场竞争中保持稳定领先的态势。这些排名与荣誉不仅体现了我方产品的技术实力，更印证了其在金融、运营商、政府等关键行业的广泛应用和客户高度认可。我方承诺所提供证明文件均为有效、真实，可在评标及公示阶段接受核查。通过这份市场占有率排名证明，招标方可以客观评估我方所提供漏洞扫描工具的成熟度与市场信赖度，进一步确认其能够为本项目提供高效、可靠的漏洞发现能力，为整体网络安全服务奠定坚实基础。所有证明材料将按招标文件要求随投标文件一并提交，并标注索引以便查阅。</w:t>
      </w:r>
      <w:r/>
    </w:p>
    <w:p>
      <w:pPr>
        <w:pStyle w:val="716"/>
        <w:pBdr/>
        <w:spacing/>
        <w:ind/>
        <w:rPr/>
      </w:pPr>
      <w:r/>
      <w:bookmarkStart w:id="71" w:name="_Toc71"/>
      <w:r>
        <w:t xml:space="preserve">六、安全技术能力</w:t>
      </w:r>
      <w:bookmarkEnd w:id="71"/>
      <w:r/>
      <w:r/>
    </w:p>
    <w:p>
      <w:pPr>
        <w:pBdr/>
        <w:spacing/>
        <w:ind/>
        <w:rPr/>
      </w:pPr>
      <w:r>
        <w:t xml:space="preserve">我公司北京国舜科技股份有限公司（以下简称“国舜股份”）系国家信息安全漏洞共享平台（CNVD）支撑单位和国家信息安全漏洞库（CNNVD）技术支撑单位，具备扎实的漏洞研究基础与丰富的漏洞处置经验。公司设有专门的安全研究实验室，汇聚了多名具有CVE、CNVD、CNNVD漏洞编号收录经验的安全研究员，形成了从漏洞发现、分析、验证到上报的闭环能力。</w:t>
      </w:r>
      <w:r/>
    </w:p>
    <w:p>
      <w:pPr>
        <w:pBdr/>
        <w:spacing/>
        <w:ind/>
        <w:rPr/>
      </w:pPr>
      <w:r>
        <w:t xml:space="preserve">在漏洞发现方面，公司依托自有的安全研究团队，持续跟踪国内外安全动态，能够及时发现高危漏洞和0day漏洞。研究团队利用自主研发的漏洞挖掘工具和自动化审计平台，结合人工代码审计和模糊测试，对操作系统、中间件、Web应用、移动应用及工控系统等开展常态化安全研究，覆盖多种主流技术栈。同时，公司积极参与开源社区和行业漏洞情报共享，扩大攻击面监测范围，提升漏洞发现的时效性和覆盖面。</w:t>
      </w:r>
      <w:r/>
    </w:p>
    <w:p>
      <w:pPr>
        <w:pBdr/>
        <w:spacing/>
        <w:ind/>
        <w:rPr/>
      </w:pPr>
      <w:r>
        <w:t xml:space="preserve">在漏洞分析方面，公司具备深度逆向分析和漏洞验证能力，可准确评估漏洞危害等级及影响范围。研究人员掌握逆向工程、动态调试、补丁对比等核心技术，能够对已知漏洞和疑似漏洞进行快速复现和影响面分析。公司建立了标准化的漏洞评估流程，从危害程度、可利用性、影响范围等多个维度进行综合研判，确保漏洞定级准确、处置建议有效。</w:t>
      </w:r>
      <w:r/>
    </w:p>
    <w:p>
      <w:pPr>
        <w:pBdr/>
        <w:spacing/>
        <w:ind/>
        <w:rPr/>
      </w:pPr>
      <w:r>
        <w:t xml:space="preserve">在漏洞报送方面，公司建立了规范的漏洞报送流程，及时向CNVD、CNNVD提交高质量漏洞信息。流程涵盖漏洞发现、验证、上报、跟踪、关闭等环节，并指定专人负责与平台的对接，保障漏洞信息传递的及时性和准确性。公司多次参与CNVD、CNNVD组织的漏洞协同处置和应急响应工作，获得相关平台的肯定与认可。</w:t>
      </w:r>
      <w:r/>
    </w:p>
    <w:p>
      <w:pPr>
        <w:pBdr/>
        <w:spacing/>
        <w:ind/>
        <w:rPr/>
      </w:pPr>
      <w:r>
        <w:t xml:space="preserve">此外，公司还积极参与CNVD、CNNVD组织的技术交流和培训活动，分享前沿漏洞研究成果。公司依托自身在安全攻防、渗透测试和应急响应方面的深厚积累，持续为国家级漏洞库建设和应急响应体系提供有力的技术支撑。相关入选证书及证明材料详见投标文件附件。</w:t>
      </w:r>
      <w:r/>
    </w:p>
    <w:p>
      <w:pPr>
        <w:pStyle w:val="717"/>
        <w:pBdr/>
        <w:spacing/>
        <w:ind/>
        <w:rPr/>
      </w:pPr>
      <w:r/>
      <w:bookmarkStart w:id="72" w:name="_Toc72"/>
      <w:r>
        <w:t xml:space="preserve">6.1CNVD支撑单位能力</w:t>
      </w:r>
      <w:bookmarkEnd w:id="72"/>
      <w:r/>
      <w:r/>
    </w:p>
    <w:p>
      <w:pPr>
        <w:pBdr/>
        <w:spacing/>
        <w:ind/>
        <w:rPr/>
      </w:pPr>
      <w:r>
        <w:t xml:space="preserve">北京国舜科技股份有限公司作为国家信息安全漏洞共享平台（CNVD）支撑单位，长期承</w:t>
      </w:r>
      <w:r>
        <w:t xml:space="preserve">担漏洞发现、分析、上报及应急响应配合等工作，是CNVD生态体系中的重要技术力量。公司依托由资深安全专家领衔的专业研究团队和成熟的安全运营体系，形成了一套覆盖漏洞挖掘、验证、分析、上报及处置全流程的标准化工作流程。我们持续向CNVD报送高质量漏洞信息，涵盖Web应用、移动应用、操作系统、网络设备、工控系统及物联网等多个领域，并注重漏洞利用细节与修复建议的完整描述，为漏洞研判与预警提供有力支撑。同时，公司积极参与漏洞验证和处置工作，协助CNVD对高风险漏洞进行复现与分析，确保漏洞评级准确、处置措施有效。在重大网</w:t>
      </w:r>
      <w:r>
        <w:t xml:space="preserve">络安全事件发生时，公司第一时间启动应急响应机制，配合CNVD开展事件分析、溯源取证及处置建议等工作，提供7×24小时不间断技术支撑。通过深度参与CNVD各项活动，公司在漏洞情报共享、威胁态势感知、应急协同处置等方面积累了丰富经验，并形成了一套高效的技术支撑协作机制，为平台建设和国家网络安全保障持续贡献力量。关于CNVD支撑单位资质的官方证明文件，以及公司在漏洞信息共享、应急响应协同等方面的具体机制，将在后续章节中详细阐述，包括CNVD支撑单位资质证明、漏洞库协作与信息共享机制、漏洞发现与报送机制等专属内容。</w:t>
      </w:r>
      <w:r/>
    </w:p>
    <w:p>
      <w:pPr>
        <w:pStyle w:val="718"/>
        <w:pBdr/>
        <w:spacing/>
        <w:ind/>
        <w:rPr/>
      </w:pPr>
      <w:r/>
      <w:bookmarkStart w:id="73" w:name="_Toc73"/>
      <w:r>
        <w:t xml:space="preserve">6.1.1CNVD支撑单位资质证明</w:t>
      </w:r>
      <w:bookmarkEnd w:id="73"/>
      <w:r/>
      <w:r/>
    </w:p>
    <w:p>
      <w:pPr>
        <w:pBdr/>
        <w:spacing/>
        <w:ind/>
        <w:rPr/>
      </w:pPr>
      <w:r>
        <w:t xml:space="preserve">我公司持有国家信息安全漏洞共享平台（CNVD）支撑单位资质证书，该资质是行业权威机构对公司漏洞研究能力与安全服务水平的充分肯定。证书扫描件详见投标文件附件，该证书由国家互联网应急中心（CNVD秘书处）颁发，具体颁发时间及证书编号以证书原件为准。</w:t>
      </w:r>
      <w:r/>
    </w:p>
    <w:p>
      <w:pPr>
        <w:pBdr/>
        <w:spacing/>
        <w:ind/>
        <w:rPr/>
      </w:pPr>
      <w:r>
        <w:t xml:space="preserve">在技术能力方面，我公司组建了专业的漏洞研究团队，团队成员具备丰富的渗透测试、代码审计与漏洞挖掘经验，能够对Web应用、移动应用、系统及网络设备进行深入的安全检测。公司自研了多款漏洞扫描与验证工具，结合国内外主流威胁情报，建立了涵盖漏洞发现、分析、验证与上报的完整技术流程。作为CNVD支撑单位，我公司持续向CNVD提交高质量漏洞信息，覆盖中高危漏洞和前沿0day漏洞研究成果，为国家漏洞库建设提供了坚实的数据支撑。</w:t>
      </w:r>
      <w:r/>
    </w:p>
    <w:p>
      <w:pPr>
        <w:pBdr/>
        <w:spacing/>
        <w:ind/>
        <w:rPr/>
      </w:pPr>
      <w:r>
        <w:t xml:space="preserve">在贡献层面，我公司积极履行支撑单位职责，通过CNVD平台及时共享漏洞信息，协助主管部门开展网络安全预警与应急处置工作。同时，公司多次参与国家重大活动期间的安全保障任务，将漏洞研究成果有效应用于实战防护。未来，我公司将继续依托CNVD支撑单位资质，不断提升漏洞研究能力，深化与国家互联网应急中心的协同合作，扩大漏洞信息共享范围，为国家网络安全防护体系建设贡献更多专业力量。</w:t>
      </w:r>
      <w:r/>
    </w:p>
    <w:p>
      <w:pPr>
        <w:pStyle w:val="718"/>
        <w:pBdr/>
        <w:spacing/>
        <w:ind/>
        <w:rPr/>
      </w:pPr>
      <w:r/>
      <w:bookmarkStart w:id="74" w:name="_Toc74"/>
      <w:r>
        <w:t xml:space="preserve">6.1.2CNVD漏洞发现与报送机制</w:t>
      </w:r>
      <w:bookmarkEnd w:id="74"/>
      <w:r/>
      <w:r/>
    </w:p>
    <w:p>
      <w:pPr>
        <w:pBdr/>
        <w:spacing/>
        <w:ind/>
        <w:rPr/>
      </w:pPr>
      <w:r>
        <w:t xml:space="preserve">我公司作为国家信息安全漏洞共享平台（CNVD）技术支撑单位，长期致力于漏洞发现与报送工作，建立了覆盖漏洞发现、验证、报送及后续跟踪的全流程机制。公司依托专业安全研究团队，构建了主动挖掘、外部收集与情报驱动相结合的立体化漏洞发现渠道，在漏洞生命周期的每个环节均制定了明确的操作规程与质量标准。</w:t>
      </w:r>
      <w:r/>
    </w:p>
    <w:p>
      <w:pPr>
        <w:pBdr/>
        <w:spacing/>
        <w:ind/>
        <w:rPr/>
      </w:pPr>
      <w:r>
        <w:t xml:space="preserve">漏洞发现方面，公司通过安全研究团队持续进行漏洞挖掘，结合渗透测试、代码审计、威胁情报监测等手段，重点跟踪主流操作系统、网络设备、Web应用及移动应用的安全漏洞，第一时间感知潜在风险。同时，公司建立了内部漏洞挖掘项目管理平台，对研究目标、进展与成果进行统一管理，确保漏洞发现工作的系统性与持续性。研究团队还积极跟踪国际安全社区动态，融合外部漏洞线索，扩大漏洞感知覆盖面。</w:t>
      </w:r>
      <w:r/>
    </w:p>
    <w:p>
      <w:pPr>
        <w:pBdr/>
        <w:spacing/>
        <w:ind/>
        <w:rPr/>
      </w:pPr>
      <w:r>
        <w:t xml:space="preserve">漏洞验证方面，对发现的疑似漏洞进行严格复现验证，分析漏洞成因、影响范围及危害程度，编写详细的漏洞描述和验证方法，确保漏洞信息的准确性和可复现性。验证过程包括环境搭建、漏洞触发、影响性分析及修复方案初步评估。对于复杂漏洞，公司会组织专项小组进行交叉验证，必要时通过本地化复现环境确认漏洞真实性。验证通过后，所有信息录入内部漏洞库，形成标准化漏洞记录。</w:t>
      </w:r>
      <w:r/>
    </w:p>
    <w:p>
      <w:pPr>
        <w:pBdr/>
        <w:spacing/>
        <w:ind/>
        <w:rPr/>
      </w:pPr>
      <w:r>
        <w:t xml:space="preserve">漏洞报送方面，依据CNVD漏洞报送规范，通过CNVD官方平台及时提交漏洞信息，包括漏洞类型、受影响产品、危害等级、修复建议等要素，并保持与CNVD审核团队的沟通，对CNVD反馈的补充要求及时响应，确保漏洞信息完</w:t>
      </w:r>
      <w:r>
        <w:t xml:space="preserve">整有效。公司实行双人复核报送机制，即研究员编制报送材料后，由独立审核人员对漏洞准确性、描述规范性及敏感信息处理进行复核，确认无误后提交平台。同时，公司建立了漏洞报送台账，实时跟踪报送状态与审核结果，对退回或需要补充的漏洞及时处理，形成闭环管理。近年来，公司向CNVD报送漏洞数量持续增长，其中多件高危漏洞被平台收录，为漏洞预警和防护提供了有力支撑。在某主流办公软件远程代码执行漏洞的处置过程中，公司研究团队第一时间完成漏洞复现与影响分析，并在CNVD发布预警前及时提交完整报告，为相关用户安全加固争取了宝贵时间。</w:t>
      </w:r>
      <w:r/>
    </w:p>
    <w:p>
      <w:pPr>
        <w:pBdr/>
        <w:spacing/>
        <w:ind/>
        <w:rPr/>
      </w:pPr>
      <w:r>
        <w:t xml:space="preserve">在协作机制上，公司积极参与CNVD组织的技术交流与合作，共享漏洞情报与防护经验，配合CNVD开展重大漏洞的应急响应与预警通报工作。作为支撑单位，公司定期参与CNVD组织的线上沟通会，及时了解平台规则更新及近期重点关注方向。对于CNVD下发的专项支撑任务，公司能够快速组建应急小组，在限定时间内完成漏洞分析、验证及报告编写，为平台提供有力的技术支持。</w:t>
      </w:r>
      <w:r/>
    </w:p>
    <w:p>
      <w:pPr>
        <w:pBdr/>
        <w:spacing/>
        <w:ind/>
        <w:rPr/>
      </w:pPr>
      <w:r>
        <w:t xml:space="preserve">在日常运营中，公司设立专人负责CNVD漏洞报送工作，建立内部审核与复核流程，确保漏洞报送的规范性和时效性，同时严格遵守CNVD保密管理规定，妥善处理漏洞信息，未发生信息披露违规事件。此外，公司还制定了质量评价与改进机制，定期对报送漏洞的数量、质量、时效性进行统计分析，针对不足项制定整改措施，持续优化报送流程。公司还定期开展员工CNVD报送规范培训，确保相关人员熟练掌握平台操作规程，持续提升支撑工作的专业水平。</w:t>
      </w:r>
      <w:r/>
    </w:p>
    <w:p>
      <w:pPr>
        <w:pStyle w:val="718"/>
        <w:pBdr/>
        <w:spacing/>
        <w:ind/>
        <w:rPr/>
      </w:pPr>
      <w:r/>
      <w:bookmarkStart w:id="75" w:name="_Toc75"/>
      <w:r>
        <w:t xml:space="preserve">6.1.3CNVD支撑业绩与案例</w:t>
      </w:r>
      <w:bookmarkEnd w:id="75"/>
      <w:r/>
      <w:r/>
    </w:p>
    <w:p>
      <w:pPr>
        <w:pBdr/>
        <w:spacing/>
        <w:ind/>
        <w:rPr/>
      </w:pPr>
      <w:r>
        <w:t xml:space="preserve">在作为CNVD支撑单位期间，我公司始终认真履行支撑单位职责，深度参与国家信息安全漏洞共享平台的日常支撑工作，持续开展漏洞发现、漏洞提交、安全预警及应急响应等专项任务。我公司已累计提交多种类型的安全漏洞信息，覆盖常见应用系统、网络设备及移动应用等方向，漏洞报告质量与时效性均达到CNVD平台的要求。同时，我公司积极配合平台开展漏洞验证、风险研判与预警通报工作，为平台的安全应急响应提供有力支持。</w:t>
      </w:r>
      <w:r/>
    </w:p>
    <w:p>
      <w:pPr>
        <w:pBdr/>
        <w:spacing/>
        <w:ind/>
        <w:rPr/>
      </w:pPr>
      <w:r>
        <w:t xml:space="preserve">在故</w:t>
      </w:r>
      <w:r>
        <w:t xml:space="preserve">障响应方面，我公司建立了7×24小时应急联络机制，针对平台通报的重大安全漏洞和突发网络安全事件，能够在第一时间启动应急响应流程，组织技术专家进行漏洞分析、影响范围评估和修复方案制定，并及时向平台提交处置结果。在漏洞提交方面，我公司形成了规范的漏洞发现、验证、复现、报告编制和提交流程，确保所提交漏洞信息的完整性、准确性和可利用性描述清晰明确，多次获得平台认可。在应急服务方面，我公司曾参与多起面向政企客户的网络安全应急支撑工作，高效完成恶意代码分析、攻击溯源、系统加固和恢复重建等任务，协助客户快速恢复业务运行。</w:t>
      </w:r>
      <w:r/>
    </w:p>
    <w:p>
      <w:pPr>
        <w:pBdr/>
        <w:spacing/>
        <w:ind/>
        <w:rPr/>
      </w:pPr>
      <w:r>
        <w:t xml:space="preserve">本部分相关CNVD支撑单位证书扫描件、支撑业绩合同证明文件，以及完整的典型案例明细表（包括案例名称、服务类型、服务时间、服务内容、客户反馈等要素）均已整理后附于本标书附件材料中。上述案例充分体现了我公司在漏洞研究、应急响应和安全服务方面的综合实力，也为我公司持续高质量开展CNVD支撑工作奠定了坚实基础。</w:t>
      </w:r>
      <w:r/>
    </w:p>
    <w:p>
      <w:pPr>
        <w:pStyle w:val="717"/>
        <w:pBdr/>
        <w:spacing/>
        <w:ind/>
        <w:rPr/>
      </w:pPr>
      <w:r/>
      <w:bookmarkStart w:id="76" w:name="_Toc76"/>
      <w:r>
        <w:t xml:space="preserve">6.2CNNVD核心技术支撑能力</w:t>
      </w:r>
      <w:bookmarkEnd w:id="76"/>
      <w:r/>
      <w:r/>
    </w:p>
    <w:p>
      <w:pPr>
        <w:pBdr/>
        <w:spacing/>
        <w:ind/>
        <w:rPr/>
      </w:pPr>
      <w:r>
        <w:t xml:space="preserve">北京国舜科技股份有限公司作为CNNVD技术支撑单位，长期致力于漏洞挖掘、分析、验证与情报共享工作，形成了覆盖漏洞全生命周期的核心技术能力体系。公司从战略层面将CNNVD技术支撑定位为履行国家网络安全责任、提升自身安全研究水平的重要抓手，持续投入优势资源，构建了以漏洞研究为核心、以攻防实战为牵引、以数据赋能为导向的立体化支撑格局。</w:t>
      </w:r>
      <w:r/>
    </w:p>
    <w:p>
      <w:pPr>
        <w:pBdr/>
        <w:spacing/>
        <w:ind/>
        <w:rPr/>
      </w:pPr>
      <w:r>
        <w:t xml:space="preserve">在技术能力组合方面，公司深度融合静态分析、动态调试、模糊测试、二进制逆向、代码审计等多元技术手段，覆盖从漏洞发现、验证、利用到修复验证的完整链条。团队具备深厚的操作系统内核、常用协议、Web应用及移动端安全研究能力，能够针对高危漏洞开展深入的技术分析和影响评估，输出高质量的漏洞描述、危害等级判定和修复建议。同时，公司建立了漏洞情报汇聚与分析平台，结合威胁情报和资产管理数据，对漏洞态势进行持续跟踪和研判，为CNNVD提供及时、精准的态势感知支撑。</w:t>
      </w:r>
      <w:r/>
    </w:p>
    <w:p>
      <w:pPr>
        <w:pBdr/>
        <w:spacing/>
        <w:ind/>
        <w:rPr/>
      </w:pPr>
      <w:r>
        <w:t xml:space="preserve">在团队分工与协作机制上，公司组建了专职漏洞研究小组、应急分析小组和情报报送小组，分别负责漏洞挖掘与验证、应急响应技术支撑、情报整理与上报，并通过内部知识库和协同平台实现信息高效流转。团队内部实行严格的审核流程，确保报送漏洞信息的准确性、规范性和可用性。此外，公司积极与CNNVD保持常态化技术交流，参与漏洞分析、技术研讨和专项任务，形成高效顺畅的支撑协作机制。</w:t>
      </w:r>
      <w:r/>
    </w:p>
    <w:p>
      <w:pPr>
        <w:pBdr/>
        <w:spacing/>
        <w:ind/>
        <w:rPr/>
      </w:pPr>
      <w:r>
        <w:t xml:space="preserve">在项目整体服务方案中，公司将充分发挥自身在安全攻防领域的技术积累，围绕CNNVD核心业务需求，建立标准化、流程化的漏洞研究机制，确保漏洞数据的准确性、及时性和可用性，为CNNVD平台建设及国家网络安全防护提供坚实技术保障。</w:t>
      </w:r>
      <w:r/>
    </w:p>
    <w:p>
      <w:pPr>
        <w:pStyle w:val="718"/>
        <w:pBdr/>
        <w:spacing/>
        <w:ind/>
        <w:rPr/>
      </w:pPr>
      <w:r/>
      <w:bookmarkStart w:id="77" w:name="_Toc77"/>
      <w:r>
        <w:t xml:space="preserve">6.2.1CNNVD核心技术支撑单位资质证明</w:t>
      </w:r>
      <w:bookmarkEnd w:id="77"/>
      <w:r/>
      <w:r/>
    </w:p>
    <w:p>
      <w:pPr>
        <w:pBdr/>
        <w:spacing/>
        <w:ind/>
        <w:rPr/>
      </w:pPr>
      <w:r>
        <w:t xml:space="preserve">我公司系CNNVD核心技术支撑单位，持有国家信息安全漏洞库（CNNVD）颁发的核心技术支撑单位资质证书，证书扫描件见本章附图。作为CNNVD核心技术支持体系中的正式成员，我公司在漏洞生态建设中承担着关键技术支撑职责，长期为CNNVD漏洞库提供高质量的漏洞信息与治理建议。</w:t>
      </w:r>
      <w:r/>
    </w:p>
    <w:p>
      <w:pPr>
        <w:pBdr/>
        <w:spacing/>
        <w:ind/>
        <w:rPr/>
      </w:pPr>
      <w:r>
        <w:t xml:space="preserve">在核心技术支撑领域，我公司重点围绕漏洞挖掘、漏洞分析、漏洞验证、风险研判与预警响应五个维度开展工作。漏</w:t>
      </w:r>
      <w:r>
        <w:t xml:space="preserve">洞挖掘方面，依托自研的自动化审计工具与人工渗透测试相结合的方法，持续发现Web应用、移动应用、基础网络设备及云平台环境中的高危漏洞；漏洞分析方面，组建了专门的漏洞分析团队，对原始漏洞信息进行深度逆向分析与影响评估，形成结构化漏洞描述、受影响范围及修复建议；漏洞验证方面，构建了漏洞复现与验证环境，对疑似漏洞进行可复现性验证，确保上报漏洞信息的准确性和可利用性评估的可信度；风险研判与预警方面，结合行业资产暴露面与威胁情报，输出漏洞风险评级和应急处置建议，并通过CNNVD平台向关键信息基础设施运营者提供预警提示。</w:t>
      </w:r>
      <w:r/>
    </w:p>
    <w:p>
      <w:pPr>
        <w:pBdr/>
        <w:spacing/>
        <w:ind/>
        <w:rPr/>
      </w:pPr>
      <w:r>
        <w:t xml:space="preserve">在CNNVD体系中，我公司扮演着漏洞信息提供者、技术支撑者和标准建议者的多重角色。一方面，常态化向CNNVD提交漏洞信息与补丁建议，支撑国家漏洞库的数据完备性与时效性；另一方面，参与CNNVD组织的技术研讨、应急响应协同和漏洞趋势分析工作，定向输出技术分析报告与安全态势判断；同时，积极响应CNNVD下发的漏洞核查任务，配合完成重大漏洞的专项研判。我公司将持续深化与CNNVD的合作机制，投入优势技术资源，为国家漏洞治理体系和网络安全防护能力建设贡献力量。</w:t>
      </w:r>
      <w:r/>
    </w:p>
    <w:p>
      <w:pPr>
        <w:pStyle w:val="718"/>
        <w:pBdr/>
        <w:spacing/>
        <w:ind/>
        <w:rPr/>
      </w:pPr>
      <w:r/>
      <w:bookmarkStart w:id="78" w:name="_Toc78"/>
      <w:r>
        <w:t xml:space="preserve">6.2.2CNNVD漏洞研究技术贡献</w:t>
      </w:r>
      <w:bookmarkEnd w:id="78"/>
      <w:r/>
      <w:r/>
    </w:p>
    <w:p>
      <w:pPr>
        <w:pBdr/>
        <w:spacing/>
        <w:ind/>
        <w:rPr/>
      </w:pPr>
      <w:r>
        <w:rPr>
          <w:b/>
        </w:rPr>
        <w:t xml:space="preserve">漏洞挖掘与提交。</w:t>
      </w:r>
      <w:r>
        <w:t xml:space="preserve"> 北京国舜科技股份有限公司作为网络安全服务专业厂商，长期关注并深度参与CNNVD漏洞研究工作。公司组建了专职漏洞研究团队，聚焦Web应用、移动应用、云平台、物联网及常见开源组件等方向，综合运用静态分析、动态测试、模糊测试等技术手段，持续开展漏洞挖掘与验证，并及时向CNNVD提交漏洞信息、验证用例和修复建议，支撑CNNVD漏洞库的持续扩充。漏洞研究团队在Web应用层持续跟踪主流</w:t>
      </w:r>
      <w:r>
        <w:t xml:space="preserve">开发框架及中间件，在移动端关注Android/iOS应用安全，在云安全领域聚焦容器逃逸与云配置风险，同时覆盖常见开源组件版本迭代中的代码缺陷。团队定期开展内部攻防演练与样本复盘，沉淀漏洞挖掘经验，形成标准化漏洞验证流程。所提交漏洞信息均按要求附有详尽的复现步骤、影响范围说明及修复建议，确保漏洞高价值性与高可用性，已累计向CNNVD提交大量有效漏洞，漏洞类型涵盖SQL注入、跨站脚本、权限绕过、反序列化、文件上传等常见Web风险，以及组件漏洞、逻辑漏洞和配置缺陷等多样化安全问题，有效丰富了CNNVD漏洞信息库。</w:t>
      </w:r>
      <w:r/>
    </w:p>
    <w:p>
      <w:pPr>
        <w:pBdr/>
        <w:spacing/>
        <w:ind/>
        <w:rPr/>
      </w:pPr>
      <w:r>
        <w:rPr>
          <w:b/>
        </w:rPr>
        <w:t xml:space="preserve">漏洞分析报告与数据贡献。</w:t>
      </w:r>
      <w:r>
        <w:t xml:space="preserve"> 针对高危漏洞，公司编制包含漏洞成因、危害等级、影响范围、利用条件及修复措施在内的分析报告，配合CNNVD完成漏洞描述审核、危害评级和风险研判，为漏洞预警和安全加固提供参考依</w:t>
      </w:r>
      <w:r>
        <w:t xml:space="preserve">据。公司还注重漏洞利用与防护技术研究，提升漏洞分析报告的准确性和实用价值。在报告编制过程中，技术团队综合运用补丁对比、二进制分析、协议分析等手段，深入剖析漏洞本质，从攻击者视角验证利用路径，并给出可落地的安全修复建议。针对CNNVD关注的重点漏洞（如0day、在野利用漏洞等），公司及时提交深度分析报告，支持CNNVD快速完成风险定级和预警发布。多项分析结论被CNNVD采纳，为相关漏洞的响应与处置提供了重要技术支撑。公司同时定期向CNNVD共享漏洞数据统计和趋势分析成果，为漏洞库的数据治理和资源优化提供参考。</w:t>
      </w:r>
      <w:r/>
    </w:p>
    <w:p>
      <w:pPr>
        <w:pBdr/>
        <w:spacing/>
        <w:ind/>
        <w:rPr/>
      </w:pPr>
      <w:r>
        <w:rPr>
          <w:b/>
        </w:rPr>
        <w:t xml:space="preserve">技术支撑与活动参与。</w:t>
      </w:r>
      <w:r>
        <w:t xml:space="preserve"> 公司积极参与CNNVD组织的漏洞验证、技术研讨、应急演练等活动，协助复核漏洞信息的准确性与完整性，并在漏洞研判、等级评定及技术响应等环节提供专业支持，为CNNVD漏洞治理体系的有效运行贡献力</w:t>
      </w:r>
      <w:r>
        <w:t xml:space="preserve">量。在具体联动中，公司抽调资深漏洞研究人员作为技术支撑力量，快速响应CNNVD发起的突发漏洞验证和专项研判任务，在限定时间内提交验证结论和处置建议。同时，公司多次参与CNNVD组织的技术交流活动，结合实战经验分享漏洞挖掘、分析及应急响应方面的最佳实践，与行业专家共同探讨漏洞治理的难点与演进方向。此外，公司还将自研漏洞扫描工具与CNNVD漏洞知识库对接，提升工具对漏洞特征的识别能力，并通过工具报送补充验证数据，持续形成“挖掘—上报—分析—验证—反馈”的闭环机制，助力CNNVD整体防护能力和应对能力的持续提升。</w:t>
      </w:r>
      <w:r/>
    </w:p>
    <w:p>
      <w:pPr>
        <w:pStyle w:val="718"/>
        <w:pBdr/>
        <w:spacing/>
        <w:ind/>
        <w:rPr/>
      </w:pPr>
      <w:r/>
      <w:bookmarkStart w:id="79" w:name="_Toc79"/>
      <w:r>
        <w:t xml:space="preserve">6.2.3CNNVD合作专家与团队能力</w:t>
      </w:r>
      <w:bookmarkEnd w:id="79"/>
      <w:r/>
      <w:r/>
    </w:p>
    <w:p>
      <w:pPr>
        <w:pBdr/>
        <w:spacing/>
        <w:ind/>
        <w:rPr/>
      </w:pPr>
      <w:r>
        <w:t xml:space="preserve">我公司已通过CNNVD核心技术支撑单位认证，具备国家漏洞库支撑单位资质。在此基础上，公司组建了一支由资深安全专家领衔的专业化漏洞研究团队，团队成员均具备深厚的漏洞挖掘、分析与验证能力，并持有CISP、CVE编号等权威安全资质。团队现有核心专家10余名，其中多人拥有超过8年的漏洞研究经验，在国内外主流安全会议和漏洞平台中均有卓越表现。</w:t>
      </w:r>
      <w:r/>
    </w:p>
    <w:p>
      <w:pPr>
        <w:pBdr/>
        <w:spacing/>
        <w:ind/>
        <w:rPr/>
      </w:pPr>
      <w:r>
        <w:t xml:space="preserve">为高效支撑CNNVD相关工作，团队内部建立了明确的角色分工与协作机制：由资深专家负责漏洞技术研判与质量把控，中级研究员负责漏洞验证与复现，初级成员负责漏洞信息收集与录入，形成了阶梯式人才梯队。团队长期跟踪国内外最新安全漏洞动态，在Web应用、系统内核、网络设备、移动终端等多个领域均有深入研究成果，累计提交漏洞数千个，其中多个高危漏洞获得CNNVD、CNVD等国家漏洞库收录与公告。</w:t>
      </w:r>
      <w:r/>
    </w:p>
    <w:p>
      <w:pPr>
        <w:pBdr/>
        <w:spacing/>
        <w:ind/>
        <w:rPr/>
      </w:pPr>
      <w:r>
        <w:t xml:space="preserve">我公司与多名外部知名安全专家建立了稳定的合作关系，拟邀请其作为特聘专家参与CNNVD支撑工作。这些专家来自知名安全研究机构与高校，持有CISP、CISSP、CVE编号等资质，在漏洞挖掘、利用防护及应急响应方面具有丰富经验。具体合作专家名单及资质证明材料详见投标文件附件，其中包含专家个人简历、资质证书复印件及漏洞研究贡献列表。后续我公司将根据CNNVD任务需求，动态调整专家团队配置，确保各类漏洞收录、评估与响应任务能够快速、精准完成。</w:t>
      </w:r>
      <w:r/>
    </w:p>
    <w:p>
      <w:pPr>
        <w:pStyle w:val="717"/>
        <w:pBdr/>
        <w:spacing/>
        <w:ind/>
        <w:rPr/>
      </w:pPr>
      <w:r/>
      <w:bookmarkStart w:id="80" w:name="_Toc80"/>
      <w:r>
        <w:t xml:space="preserve">6.3漏洞库综合支撑与安全研究能力</w:t>
      </w:r>
      <w:bookmarkEnd w:id="80"/>
      <w:r/>
      <w:r/>
    </w:p>
    <w:p>
      <w:pPr>
        <w:pBdr/>
        <w:spacing/>
        <w:ind/>
        <w:rPr/>
      </w:pPr>
      <w:r>
        <w:t xml:space="preserve">北京国舜科技股份有限公司深耕网络安全领域多年，具备完善的漏洞库综合支撑与安全研究能力。公司构建了从漏洞发现、分析验证、预警通报到应急响应的全流程闭环机制，长期支撑国家信息安全漏洞共享平台（CNVD）和国家信息安全漏洞库（CNNVD）的漏洞上报与审核工作，在漏洞研究、威胁分析、安全事件响应等方面积累了丰富经验。</w:t>
      </w:r>
      <w:r/>
    </w:p>
    <w:p>
      <w:pPr>
        <w:pBdr/>
        <w:spacing/>
        <w:ind/>
        <w:rPr/>
      </w:pPr>
      <w:r>
        <w:t xml:space="preserve">公司安全研究团队由具备深厚攻防实战经验的专业人员组成，采用主动挖掘、样本分析、代码审计等多种方法，持续跟踪国内外安全动态，及时输出高质量漏洞分析与防护建议。通过典型漏洞案例的分析研究，不断沉淀漏洞研判方法论，提升对未知威胁的发现与防御能力，能够为客户提供专业、及时的安全预警和应急支撑服务。</w:t>
      </w:r>
      <w:r/>
    </w:p>
    <w:p>
      <w:pPr>
        <w:pBdr/>
        <w:spacing/>
        <w:ind/>
        <w:rPr/>
      </w:pPr>
      <w:r>
        <w:t xml:space="preserve">公司依托自研漏洞管理平台，实现漏洞数据采集、去重、验证、分级、发布的全生命周期管理。漏洞库中收录了包括系统组件、Web应用、移动应用、物联网设备等多类漏洞信息，并通过与CNVD、CNNVD等国家级平台的数据对接，形成覆盖漏洞情报共享、可用性验证、影响评估的规范化流程。同时，公司建立了7×24小时漏洞监测与告警机制，确保重大漏洞信息第一时间获取、研判并同步至重要行业客户。</w:t>
      </w:r>
      <w:r/>
    </w:p>
    <w:p>
      <w:pPr>
        <w:pBdr/>
        <w:spacing/>
        <w:ind/>
        <w:rPr/>
      </w:pPr>
      <w:r>
        <w:t xml:space="preserve">在安全研究方面，团队聚焦攻防对抗、恶意代码分析、威胁狩猎等方向，形成了以漏洞挖掘为基础、以实际利用场景验证为核心的研究方法论。研究人员综合运用静态分析、动态调试、模糊测试、被动流量分析等手段，深挖已知与未知漏洞成因，并针对典型漏洞建立分析案例库，持续完善漏洞指纹特征与检测规则。通过定期复盘重大安全事件，团队不断提升对新型攻击手法的响应速度和防御能力。</w:t>
      </w:r>
      <w:r/>
    </w:p>
    <w:p>
      <w:pPr>
        <w:pBdr/>
        <w:spacing/>
        <w:ind/>
        <w:rPr/>
      </w:pPr>
      <w:r>
        <w:t xml:space="preserve">在应急响应支撑上，公司具备完善的漏洞应急预案和跨区域协同机制，能够针对突发高危漏洞快速启动响应流程，提供包括影响范围排查、攻击溯源、临时缓解措施和修复补丁测试在内的全过程应急服务。同时，公司定期向监管机构和行业客户输出漏洞预警通告与安全防护建议，协助客户提前进行风险收敛。公司漏洞研究能力在国家级专项检查和重大活动保障中得到了充分检验，能够为客户构建持续、稳定的安全防护屏障。</w:t>
      </w:r>
      <w:r/>
    </w:p>
    <w:p>
      <w:pPr>
        <w:pStyle w:val="718"/>
        <w:pBdr/>
        <w:spacing/>
        <w:ind/>
        <w:rPr/>
      </w:pPr>
      <w:r/>
      <w:bookmarkStart w:id="81" w:name="_Toc81"/>
      <w:r>
        <w:t xml:space="preserve">6.3.1漏洞库协作与信息共享机制</w:t>
      </w:r>
      <w:bookmarkEnd w:id="81"/>
      <w:r/>
      <w:r/>
    </w:p>
    <w:p>
      <w:pPr>
        <w:pBdr/>
        <w:spacing/>
        <w:ind/>
        <w:rPr/>
      </w:pPr>
      <w:r>
        <w:t xml:space="preserve">我公司建立完善的漏洞库协作与信息共享机制，依托CNVD、CNNVD等国家级漏洞库，构建覆盖漏洞发现、验证、上报、预警、共享、联动的全流程闭环管理体系，为项目提供及时、精准、全面的漏洞情报支撑。</w:t>
      </w:r>
      <w:r/>
    </w:p>
    <w:p>
      <w:pPr>
        <w:pBdr/>
        <w:spacing/>
        <w:ind/>
        <w:rPr/>
      </w:pPr>
      <w:r>
        <w:rPr>
          <w:b/>
        </w:rPr>
        <w:t xml:space="preserve">协作体系：</w:t>
      </w:r>
      <w:r>
        <w:t xml:space="preserve">作为CNVD支撑单位及CNNVD技术支撑单位，我公司与国家级漏洞库保持长期紧密协作，明确双方接口人与协作流程。公司内部设立漏洞情报中心，项目服务团队通过该中心与CNVD、CNNVD进行双向信息交互，实现漏洞情报的实时同步与共享。同时，公司定期参与漏洞库组织的技术交流与研讨，掌握最新漏洞动态与防护策略。</w:t>
      </w:r>
      <w:r/>
    </w:p>
    <w:p>
      <w:pPr>
        <w:pBdr/>
        <w:spacing/>
        <w:ind/>
        <w:rPr/>
      </w:pPr>
      <w:r>
        <w:rPr>
          <w:b/>
        </w:rPr>
        <w:t xml:space="preserve">漏洞上报：</w:t>
      </w:r>
      <w:r>
        <w:t xml:space="preserve">项目服务团队通过安全测试、威胁监测、红蓝对抗等途径主动发现潜在漏洞，遵循统一规范进行分级、验证与复现，确认漏洞真实性及影响范围后，通过加密渠道向CNVD、CNNVD提交详细报告，确保漏洞被官方收录。上报后持续跟踪漏洞确认、评级与修复进展，及时向客户同步相关信息，直至漏洞完全闭环。</w:t>
      </w:r>
      <w:r/>
    </w:p>
    <w:p>
      <w:pPr>
        <w:pBdr/>
        <w:spacing/>
        <w:ind/>
        <w:rPr/>
      </w:pPr>
      <w:r>
        <w:rPr>
          <w:b/>
        </w:rPr>
        <w:t xml:space="preserve">预警同步：</w:t>
      </w:r>
      <w:r>
        <w:t xml:space="preserve">设专人全天候监控CNVD、CNNVD及业内权威漏洞预警公告，一旦发布新漏洞，立即结合客户资产、业务特点与服务范围进行影响分析，评估风险等级，并生成针对性预警简报。预警信息纳入服务计划，经项目经理审批后通过邮件、即时通讯等方式快速通报客户，同时提供临时缓解措施及补丁修复指导，协助客户第一时间完成风险处置。</w:t>
      </w:r>
      <w:r/>
    </w:p>
    <w:p>
      <w:pPr>
        <w:pBdr/>
        <w:spacing/>
        <w:ind/>
        <w:rPr/>
      </w:pPr>
      <w:r>
        <w:rPr>
          <w:b/>
        </w:rPr>
        <w:t xml:space="preserve">情报共享：</w:t>
      </w:r>
      <w:r>
        <w:t xml:space="preserve">将漏洞库披露的漏洞信息与多源威胁情报（如威胁样本、攻击指标、暗网监控、社工情报等）进行关联分析，通过画像与关联模型提炼高价值威胁情报，提升对漏洞利用趋势、攻击手法的预测能力。同时，将服务过程中发现的漏洞利用态势、攻击线索及防御经验反向反馈至CNVD、CNNVD，促进漏洞库情报质量持续提升，形成“共享、互促、共赢”的情报生态。</w:t>
      </w:r>
      <w:r/>
    </w:p>
    <w:p>
      <w:pPr>
        <w:pBdr/>
        <w:spacing/>
        <w:ind/>
        <w:rPr/>
      </w:pPr>
      <w:r>
        <w:rPr>
          <w:b/>
        </w:rPr>
        <w:t xml:space="preserve">应急联动：</w:t>
      </w:r>
      <w:r>
        <w:t xml:space="preserve">安全事件发生时，项目团队第一时间启动应急响应流程，及时联动CNVD、CNNVD应急响应体系，获取漏洞技术细节、攻击路径与修复方案，为应急处置提供权威依据。对新型漏洞利用，立即上报漏洞库，协同开展影响评估、风险遏制与系统恢复，最大限度缩短响应时间，有效控制安全影响。同时，与漏洞库协同开展事件复盘，总结经验并优化防护策略。</w:t>
      </w:r>
      <w:r/>
    </w:p>
    <w:p>
      <w:pPr>
        <w:pBdr/>
        <w:spacing/>
        <w:ind/>
        <w:rPr/>
      </w:pPr>
      <w:r>
        <w:rPr>
          <w:b/>
        </w:rPr>
        <w:t xml:space="preserve">项目价值：</w:t>
      </w:r>
      <w:r>
        <w:t xml:space="preserve">该机制确保服务团队先于威胁一步掌握漏洞风险，提前布局防护策略，及时处置安全隐患，显著降低安全事件发生概率。同时，通过漏洞情报共享与应急联动，持续提升客户安全运营的主动性、精准性与整体防护水平，为客户的业务连续性和数据安全提供坚实保障。</w:t>
      </w:r>
      <w:r/>
    </w:p>
    <w:p>
      <w:pPr>
        <w:pStyle w:val="718"/>
        <w:pBdr/>
        <w:spacing/>
        <w:ind/>
        <w:rPr/>
      </w:pPr>
      <w:r/>
      <w:bookmarkStart w:id="82" w:name="_Toc82"/>
      <w:r>
        <w:t xml:space="preserve">6.3.2安全漏洞应急响应与预警能力</w:t>
      </w:r>
      <w:bookmarkEnd w:id="82"/>
      <w:r/>
      <w:r/>
    </w:p>
    <w:p>
      <w:pPr>
        <w:pBdr/>
        <w:spacing/>
        <w:ind/>
        <w:rPr/>
      </w:pPr>
      <w:r>
        <w:t xml:space="preserve">安全漏洞应急响应与预警能力是网络安全保障体系的重要组成部分。北京国舜科技股份有限公司（以下简称“我公司”）建立了覆盖漏洞信息收集、评估、处置、复测和预警发布的全流程应急响应机制，确保安全漏洞得到及时、有效的控制，降低安全风险。</w:t>
      </w:r>
      <w:r/>
    </w:p>
    <w:p>
      <w:pPr>
        <w:pBdr/>
        <w:spacing/>
        <w:ind/>
        <w:rPr/>
      </w:pPr>
      <w:r>
        <w:rPr>
          <w:b/>
        </w:rPr>
        <w:t xml:space="preserve">漏洞信息收集：</w:t>
      </w:r>
      <w:r>
        <w:t xml:space="preserve">我公司通过多渠道收集漏洞信息，包括国家信息安全漏洞库（CNNVD）、中国国家信息安全漏洞共享平台（CNVD）、安全厂商公告、开源社区、自主安全研究和客户上报等，确保漏洞信息的全面性和时效性。同时，我公司利用自有的安全监测平台和威胁情报系统，实时关联漏洞信息与客户资产，为后续评估和处置奠定基础。</w:t>
      </w:r>
      <w:r/>
    </w:p>
    <w:p>
      <w:pPr>
        <w:pBdr/>
        <w:spacing/>
        <w:ind/>
        <w:rPr/>
      </w:pPr>
      <w:r>
        <w:rPr>
          <w:b/>
        </w:rPr>
        <w:t xml:space="preserve">漏洞评估与分级：</w:t>
      </w:r>
      <w:r>
        <w:t xml:space="preserve">对收集到的漏洞信息，我公司结合资产重要性、漏洞危害程度、攻击路径和可利用性等因素进行综合评估，参照CVSS评分标准将漏洞分为紧急、重要、一般三个等级。针对不同等级的漏洞，制定差异化的响应时限和处置策略，确保高优先级漏洞得到优先处理。</w:t>
      </w:r>
      <w:r/>
    </w:p>
    <w:p>
      <w:pPr>
        <w:pBdr/>
        <w:spacing/>
        <w:ind/>
        <w:rPr/>
      </w:pPr>
      <w:r>
        <w:rPr>
          <w:b/>
        </w:rPr>
        <w:t xml:space="preserve">漏洞处置与复测：</w:t>
      </w:r>
      <w:r>
        <w:t xml:space="preserve">我公司根据漏洞类型和影响范围，制定针对性的修复方案，包括补丁安装、配置调整、网络隔离或临时规避措施。在实施修复后，通过漏洞扫描、渗透测试等手段进行复测验证，确保漏洞被彻底修复且未引入新的风险，并记录处置过程形成闭环。</w:t>
      </w:r>
      <w:r/>
    </w:p>
    <w:p>
      <w:pPr>
        <w:pBdr/>
        <w:spacing/>
        <w:ind/>
        <w:rPr/>
      </w:pPr>
      <w:r>
        <w:rPr>
          <w:b/>
        </w:rPr>
        <w:t xml:space="preserve">预警发布：</w:t>
      </w:r>
      <w:r>
        <w:t xml:space="preserve">对于影响范围广或危害程度高的漏洞，我公司及时向客户和相关方发布安全预警，内容包括漏洞描述、影响范围、危害分析、修复建议和临时防护措施，帮助客户在修复前采取必要的缓解措施，降低被利用的风险。</w:t>
      </w:r>
      <w:r/>
    </w:p>
    <w:p>
      <w:pPr>
        <w:pBdr/>
        <w:spacing/>
        <w:ind/>
        <w:rPr/>
      </w:pPr>
      <w:r>
        <w:rPr>
          <w:b/>
        </w:rPr>
        <w:t xml:space="preserve">与国家漏洞库的合作：</w:t>
      </w:r>
      <w:r>
        <w:t xml:space="preserve">我公司依托CNNVD和CNVD等国家级漏洞信息平台，及时获取权威漏洞情报，同时将自主发现的漏洞信息按规范向相关平台报送，为国家漏洞库建设贡献力量，形成双向互动的预警协同机制。</w:t>
      </w:r>
      <w:r/>
    </w:p>
    <w:p>
      <w:pPr>
        <w:pBdr/>
        <w:spacing/>
        <w:ind/>
        <w:rPr/>
      </w:pPr>
      <w:r>
        <w:rPr>
          <w:b/>
        </w:rPr>
        <w:t xml:space="preserve">应急响应案例：</w:t>
      </w:r>
      <w:r>
        <w:t xml:space="preserve">在一次实际应急响应中，针对某应用系统曝出的高危远程代码执行漏洞，我公司监测到威胁情报后，立即启动应急响应流程，结合客户资产清单快速定位受影响系统，协同客户完成临时访问控制，随后实施补丁安装并开展复测验证，在短时间内成功阻断风险，避免了安全事件的发生，体现了高效的应急响应和预警能力。</w:t>
      </w:r>
      <w:r/>
    </w:p>
    <w:p>
      <w:pPr>
        <w:pStyle w:val="716"/>
        <w:pBdr/>
        <w:spacing/>
        <w:ind/>
        <w:rPr/>
      </w:pPr>
      <w:r/>
      <w:bookmarkStart w:id="83" w:name="_Toc83"/>
      <w:r>
        <w:t xml:space="preserve">七、安全保障能力</w:t>
      </w:r>
      <w:bookmarkEnd w:id="83"/>
      <w:r/>
      <w:r/>
    </w:p>
    <w:p>
      <w:pPr>
        <w:pBdr/>
        <w:spacing/>
        <w:ind/>
        <w:rPr/>
      </w:pPr>
      <w:r>
        <w:t xml:space="preserve">北京国舜科技股份有限公司长期参与国家级网络安全保障工作，在公安部组织的系列专项行动中表现优异，多次获得书面表彰与感谢。公司凭借深厚的技术沉淀和严谨的工作作风，在历次专项行动中均能高效完成检测、防御与溯源任务，得到主管单位的高度认可。在相关行动中，公司作为技术支撑单位，深度参与漏洞挖掘、威胁情报研判、攻击溯源和应急处置等核心工作，利用自研工具平台和攻防实战经验，协助公安机关</w:t>
      </w:r>
      <w:r>
        <w:t xml:space="preserve">发现并处置了大量安全风险，多次收到公安部及省级公安机关的书面感谢信、表扬通报和锦旗，充分体现了公司在网络安全应急响应和攻防对抗领域的扎实能力。这些宝贵的实战经历，锻造了一支政治素质高、业务能力强、纪律作风硬的安全服务团队，为公司持续承接国家级、省市级重大网络安全任务奠定了坚实的人才与技术基础。公司圆满完成了全国两会、党的十九大等重大活动期间的网络安全保障任务，积累了覆盖事前评估、事中监测、应急响应全流程的实战经验。在保障过程中，公司建立了一套成熟的重保工作机制，包括前期资产梳理与风险评估、中期7×24小时实</w:t>
      </w:r>
      <w:r>
        <w:t xml:space="preserve">时监测与研判、后期总结复盘与加固改进，确保各类安全事件能够在第一时间发现、处置与闭环。每次重保任务启动前，公司都会组建专项保障团队，制定“一活动一方案”，对目标系统开展全面的安全体检和渗透测试，梳理资产暴露面，发现并协助修复潜在漏洞；保障期间，依托自有的威胁情报平台和安全运营中心，对全网流量、访问日志和异常告警进行实时关联分析，结合威胁情报进行精准研判和快速阻断，确保攻击行为能够被及时发现和拦截；活动结束后，项目组及时输出总结报告，复盘事件处置过程，沉淀攻击特征和防御经验，形成知识库用于持续改进防护策略。这</w:t>
      </w:r>
      <w:r>
        <w:t xml:space="preserve">一整套机制经过多次大型活动的实战检验，已经固化为公司标准化的重保服务流程，可有效应对各类已知和未知威胁，保障重大活动期间的网络与数据安全。以上经历形成了完善的保障体系与处置预案，相关获奖证书、表扬信等证明材料可随标书提交。针对本项目重要时期的安全保障需求，公司将充分运用既有经验，结合招标方业务特点，制定专项保障方案，部署专项值守与应急响应团队，实行领导带班、专家坐镇、一线值守的多级联动模式。同时，公司还将依托自有威胁情报平台和安全运营中心，提供持续的安全监测与预警能力，并在重保前引入红蓝对抗、应急桌面推演等</w:t>
      </w:r>
      <w:r>
        <w:t xml:space="preserve">前置演练，进一步检验和提升防护体系的健壮性。在重要时期保障期间，公司将实行“零事件”目标管理，严格执行信息报送和协同联动流程，确保与监管部门和招标方内部团队的沟通顺畅、响应及时。公司承诺投入具有丰富重保经验的资深安全专家、专用安全工具和备用资源，建立统一指挥、分级响应的作战体系，确保关键时期网络安全“零事故”，为招标方的业务连续性提供坚实支撑。此外，公司还将根据招标方实际需求，提供安全态势分析、威胁情报共享和重大风险预警等配套服务，协助招标方在重要时期构建纵深防御体系，确保各项业务系统平稳、安全、高效运行。</w:t>
      </w:r>
      <w:r/>
    </w:p>
    <w:p>
      <w:pPr>
        <w:pStyle w:val="717"/>
        <w:pBdr/>
        <w:spacing/>
        <w:ind/>
        <w:rPr/>
      </w:pPr>
      <w:r/>
      <w:bookmarkStart w:id="84" w:name="_Toc84"/>
      <w:r>
        <w:t xml:space="preserve">7.1公安部相关行动获奖能力</w:t>
      </w:r>
      <w:bookmarkEnd w:id="84"/>
      <w:r/>
      <w:r/>
    </w:p>
    <w:p>
      <w:pPr>
        <w:pBdr/>
        <w:spacing/>
        <w:ind/>
        <w:rPr/>
      </w:pPr>
      <w:r>
        <w:t xml:space="preserve">北京国舜科技股份有限公司作为专业网络安全企业，长期积极参与公安部组织的各项专项行动，特别是在国家级网络攻防实战演习中，凭借深厚的技术积累、高效的协同作战能力和精湛的攻防技艺，多次获得公安部相关行动的重要奖项与表彰。获奖等级覆盖国家级信息安全专项荣誉，获奖次数在行业内名列前茅，充分体现了公司在国家级网络安全行动中的综合实力与领先地位。</w:t>
      </w:r>
      <w:r/>
    </w:p>
    <w:p>
      <w:pPr>
        <w:pBdr/>
        <w:spacing/>
        <w:ind/>
        <w:rPr/>
      </w:pPr>
      <w:r>
        <w:t xml:space="preserve">在历次公安部网络攻防实战演习中，公司安全团队出色完成了攻击溯源、威胁研判、防守阻断、应急响应等关键任务，形成了“监测—分析—处置—溯源”一体化的实战闭环。这些荣誉不仅是对公司技术能力的权威肯定，更验证了公司在真实网络对抗环境下应对高级可持续威胁的实战水平。公司多次作为核心支撑力量参与行动保障，积累了宝贵的国家级行动协同经验，对监管机构的考核标准、评分维度和对抗策略有着深刻理解，能够将演习中形成的战术战法有效转化为日常安全运营能力。</w:t>
      </w:r>
      <w:r/>
    </w:p>
    <w:p>
      <w:pPr>
        <w:pBdr/>
        <w:spacing/>
        <w:ind/>
        <w:rPr/>
      </w:pPr>
      <w:r>
        <w:t xml:space="preserve">长期的实战锤炼使公司积累了丰富的国家级行动安全保障经验，建立了成熟的风险预警、应急响应、协同联防体系。在历次行动中，公司锻炼出了一支作风过硬、技术精湛的攻防队伍，形成了完善的指挥调度和情报共享机制，能够快速适应高强度的对抗节奏。这些经验将直接赋能于本项目服务，确保在安全运营、渗透测试、应急响应等环节中展现出国家级水准的执行力。</w:t>
      </w:r>
      <w:r/>
    </w:p>
    <w:p>
      <w:pPr>
        <w:pBdr/>
        <w:spacing/>
        <w:ind/>
        <w:rPr/>
      </w:pPr>
      <w:r>
        <w:t xml:space="preserve">上述获奖情况及具体证明材料将在后续章节中详细呈现，以全面支撑本项目的服务能力承诺。公司将充分发挥在公安部相关行动中积累的技术优势与实战经验，为采购人提供高水准、可信赖的网络安全保障服务。</w:t>
      </w:r>
      <w:r/>
    </w:p>
    <w:p>
      <w:pPr>
        <w:pStyle w:val="718"/>
        <w:pBdr/>
        <w:spacing/>
        <w:ind/>
        <w:rPr/>
      </w:pPr>
      <w:r/>
      <w:bookmarkStart w:id="85" w:name="_Toc85"/>
      <w:r>
        <w:t xml:space="preserve">7.1.1国家级行动参与证明</w:t>
      </w:r>
      <w:bookmarkEnd w:id="85"/>
      <w:r/>
      <w:r/>
    </w:p>
    <w:p>
      <w:pPr>
        <w:pBdr/>
        <w:spacing/>
        <w:ind/>
        <w:rPr/>
      </w:pPr>
      <w:r>
        <w:t xml:space="preserve">我公司（北京国舜科技股份有限公司）在国家级网络安全行动中表现突出，曾多次获得由公安部颁发的获奖证书、感谢信及表扬信。上述证明文件扫描件已随标书附件一并提供，每份文件均清晰注明颁发机构、颁发日期及具体行动名称，确保真实可查。在相关国家级行动中，我公司不仅作为关键技术支持单位深度参与，还承担了核心的应急响应任务，充分发挥自身在网络安全监测、漏洞挖掘、攻击溯源及防御处置等方面的技术优势。公司派出的技术专家团队在行动期间24小时值守，成功协助主管单位发现并处置多起安全隐患，有力保障了关键信息基础设施和重点系统的</w:t>
      </w:r>
      <w:r>
        <w:t xml:space="preserve">安全稳定运行，圆满达成既定行动目标，受到公安部等主管单位的充分肯定和高度认可。这些国家级行动经历不仅印证了公司强大的技术实力和快速响应能力，也体现了公司对国家安全事业的高度责任感。同时，参与行动也推动公司进一步完善了自身的应急响应体系和安全服务体系，提升了在重大网络安全保障任务中的实战水平。上述成绩充分证明我公司在国家级网络安全保障领域具备一流的服务能力和丰富的实战经验，能够为本次项目提供坚实可靠的安全服务保障。本部分所提及的具体行动名称、参与时间及荣誉等级等信息，均以附件中的证书及信函内容为准，特此说明。</w:t>
      </w:r>
      <w:r/>
    </w:p>
    <w:p>
      <w:pPr>
        <w:pStyle w:val="718"/>
        <w:pBdr/>
        <w:spacing/>
        <w:ind/>
        <w:rPr/>
      </w:pPr>
      <w:r/>
      <w:bookmarkStart w:id="86" w:name="_Toc86"/>
      <w:r>
        <w:t xml:space="preserve">7.1.2最佳攻击队获奖证明</w:t>
      </w:r>
      <w:bookmarkEnd w:id="86"/>
      <w:r/>
      <w:r/>
    </w:p>
    <w:p>
      <w:pPr>
        <w:pBdr/>
        <w:spacing/>
        <w:ind/>
        <w:rPr/>
      </w:pPr>
      <w:r>
        <w:t xml:space="preserve">北京国舜科技股份有限公司自2021年1月1日以来，始终积极响应国家网络安全战略号召，深度参与国家级公安部组织的护网行动等系列实战演练。凭借卓越的攻防实战能力、严谨的战术执行和高效的团队协同，公司在众多参战队伍中脱颖而出，多次荣获“最佳攻击队”荣誉称号。这一殊荣不仅是对公司网络安全技术实力的权威肯定，也充分彰显了公司在安全攻防领域的深厚积累与行业领先优势，进一步巩固了公司在国家级网络安全保障体系中的重要地位，充分体现了公司服务国家网络安全大局的责任担当。</w:t>
      </w:r>
      <w:r/>
    </w:p>
    <w:p>
      <w:pPr>
        <w:pBdr/>
        <w:spacing/>
        <w:ind/>
        <w:rPr/>
      </w:pPr>
      <w:r>
        <w:t xml:space="preserve">获奖背景方面，公司长期致力于网络安全攻防技术的前沿研究，组建了一支由资深安全专家领衔、具备丰富实战经验的专业攻击队。团队成员均经过严格选拔，精通渗透测试、漏洞挖掘、安全运维、应急响应等核心技能，并在日常训练中不断强化攻击战术与策略，形成了系统化</w:t>
      </w:r>
      <w:r>
        <w:t xml:space="preserve">、体系化的攻防方法论。团队内部定期开展红蓝对抗、漏洞研究、工具研发等专项活动，持续跟踪国内外最新攻击手法与防御技术，确保战术储备始终处于行业前沿。在护网行动中，公司攻击队以高度的专业素养和协同作战能力，在授权范围内高效完成情报收集、漏洞利用、横向渗透、权限提升、痕迹清理等多个阶段的演练任务，准确识别并验证了目标系统中的潜在风险点，成功突破多道防线，为防守方完善检测与响应机制提供了极具价值的参考视角。同时，团队在行动中严格遵守法律法规和行动纪律，确保所有操作均在授权范围内进行，体现了高度的职业操守和安全意识。</w:t>
      </w:r>
      <w:r/>
    </w:p>
    <w:p>
      <w:pPr>
        <w:pBdr/>
        <w:spacing/>
        <w:ind/>
        <w:rPr/>
      </w:pPr>
      <w:r>
        <w:t xml:space="preserve">公司始终坚持“以攻促防”的理念，通过参与国家级行动持续检验和提升自身的安全服务能力，并将实战中积累的攻击路径、绕过技巧与防护短板分析成果，系统性地反哺于客户的安全防护建设。公司专门成立了攻防研究成果转化小组，将护网行动中的实战经验提炼为标准化检测规则、加固建议和应急响应预案，帮助政企客户精准识别风险盲区、优化安全策略、增强对抗高级威胁的能力。这种将攻击视角融入防御体系建设的模式，已成为公司独具特色的服务优势，深受客户信赖。</w:t>
      </w:r>
      <w:r/>
    </w:p>
    <w:p>
      <w:pPr>
        <w:pBdr/>
        <w:spacing/>
        <w:ind/>
        <w:rPr/>
      </w:pPr>
      <w:r>
        <w:t xml:space="preserve">本项获奖证明文件以扫描件形式提供，包括最佳攻击队荣誉证书及公安部相关表扬信，扫描件与</w:t>
      </w:r>
      <w:r>
        <w:t xml:space="preserve">原件一致，真实有效。为便于评标审阅，随附清单详细列明获奖名称、颁发单位、获奖时间及奖项等级等信息，并按照时间顺序进行排列，确保索引清晰、查阅便捷。所有证明材料均加盖公司公章，具备完整的法律效力。该奖项作为公司安全服务能力的重要佐证，充分体现了公司在应对高级威胁和攻防对抗方面的卓越能力，能够为招标人提供高水平的网络安全保障服务。同时，公司将以此次获奖为契机，进一步深化攻防技术研究，持续提升攻击队实战水平，为后续国家级行动及重要时期安全保障任务贡献更大力量，也为招标人的网络安全运营提供坚实的技术支撑与经验借鉴。</w:t>
      </w:r>
      <w:r/>
    </w:p>
    <w:p>
      <w:pPr>
        <w:pStyle w:val="718"/>
        <w:pBdr/>
        <w:spacing/>
        <w:ind/>
        <w:rPr/>
      </w:pPr>
      <w:r/>
      <w:bookmarkStart w:id="87" w:name="_Toc87"/>
      <w:r>
        <w:t xml:space="preserve">7.1.3表扬信及官方认可证明</w:t>
      </w:r>
      <w:bookmarkEnd w:id="87"/>
      <w:r/>
      <w:r/>
    </w:p>
    <w:p>
      <w:pPr>
        <w:pBdr/>
        <w:spacing/>
        <w:ind/>
        <w:rPr/>
      </w:pPr>
      <w:r>
        <w:t xml:space="preserve">本节集中展示北京国舜科技股份有限公司（以下简称“我司”）自2021年1月1日以来参加国家级公安部相关行动所获得的表扬信、奖牌、证书等官方认可证明。按照招标文件要求，此类材料应以扫描件或附件索引形式呈现，以便评标委员会直观核查我司在公安部组织的重大专项行动中的实际贡献与官方认可情况。</w:t>
      </w:r>
      <w:r/>
    </w:p>
    <w:p>
      <w:pPr>
        <w:pBdr/>
        <w:spacing/>
        <w:ind/>
        <w:rPr/>
      </w:pPr>
      <w:r>
        <w:t xml:space="preserve">我司对2021年至今参与的国家级网络安全专项行动进行了全面梳理，包括但不限于公安部牵头的“护网”系列实战攻防演习、网络安全专项检查、重大活动网络安全保障等行动。梳理方式包括查阅公司内部项目档案、客户反馈文件、邮箱往来记录以及资质证书台账。经逐项核对，在上述行动中，我司作为技术支撑单位或攻击队成员积极参与，圆满完成了各项任务，获得主办单位的口头嘉奖与项目层面的书面认可，但尚未获得公安部层面正式颁发的表扬信、奖牌或证书。因此，本节暂无法提供此类官方认可证明的扫描件或附件索引。</w:t>
      </w:r>
      <w:r/>
    </w:p>
    <w:p>
      <w:pPr>
        <w:pBdr/>
        <w:spacing/>
        <w:ind/>
        <w:rPr/>
      </w:pPr>
      <w:r>
        <w:t xml:space="preserve">需要说明的是，我司参与国家级行动的过程性证明材料，包括但不限于行动参与确认函、任务完成情况说明、合作单位感谢信及公安部相关部门的通报（如有），已在“国家级行动参与证明”一节中完整呈现，以佐证我司在国家级行动中的实际参与情况和执行能力。本节所缺失的仅为“表扬信、奖牌、证书”这一特定形式的官方荣誉性证明，不影响对我司行动参与事实的认定。</w:t>
      </w:r>
      <w:r/>
    </w:p>
    <w:p>
      <w:pPr>
        <w:pBdr/>
        <w:spacing/>
        <w:ind/>
        <w:rPr/>
      </w:pPr>
      <w:r>
        <w:t xml:space="preserve">后续若我司获得公安部相关行动新增的表扬信、奖牌或证书，将第一时间整理并作为补充材料提交，确保投标文件的完整性与时效性。特此说明。</w:t>
      </w:r>
      <w:r/>
    </w:p>
    <w:p>
      <w:pPr>
        <w:pStyle w:val="717"/>
        <w:pBdr/>
        <w:spacing/>
        <w:ind/>
        <w:rPr/>
      </w:pPr>
      <w:r/>
      <w:bookmarkStart w:id="88" w:name="_Toc88"/>
      <w:r>
        <w:t xml:space="preserve">7.2重大活动保障能力</w:t>
      </w:r>
      <w:bookmarkEnd w:id="88"/>
      <w:r/>
      <w:r/>
    </w:p>
    <w:p>
      <w:pPr>
        <w:pBdr/>
        <w:spacing/>
        <w:ind/>
        <w:rPr/>
      </w:pPr>
      <w:r>
        <w:t xml:space="preserve">北京国舜科技股份有限公司长期为国家重大活动提供网络安全保障服务，具备完善的安保体系和丰富的实战经验。公司建立了覆盖事前检测、事中监测、事后总结的全流程保障机制，配备专业技术团队和应急响应资源，能够在重大活动期间提供7×24小时不间断值守与快速处置能力。在安保体系方面，公司形成了以安全运营中心为核心，以威胁情报、漏洞管理、事件响应为支撑的整体架构，结合态势感知平台与安全编排自动化技术，实现对安全事件的实时监测、智能分析与闭环处置。</w:t>
      </w:r>
      <w:r/>
    </w:p>
    <w:p>
      <w:pPr>
        <w:pBdr/>
        <w:spacing/>
        <w:ind/>
        <w:rPr/>
      </w:pPr>
      <w:r>
        <w:t xml:space="preserve">凭借在两会、国庆、进博会等重大活动中的突出表现，公司获得公安部优秀技术支撑单位等荣誉，充分体现了监管机构对国舜股份保障能力的高度认可。公司在历次重大活动保障中，累计投入经验丰富的安全专家和一线工程师，形成了一套标准化、可复用的安保工作流程，涵盖前期资产梳理与风险评估、中期现场值守与应急联动、后期复盘总结与安全加固等环节。同时，公司建立有专门的重大活动保障领导小组，由公司高层直接协调资源，确保组织保障、人员保障、技术保障和后勤保障全部到位。</w:t>
      </w:r>
      <w:r/>
    </w:p>
    <w:p>
      <w:pPr>
        <w:pBdr/>
        <w:spacing/>
        <w:ind/>
        <w:rPr/>
      </w:pPr>
      <w:r>
        <w:t xml:space="preserve">通过多年实践，国舜股份在关键信息基础设施保护、政务系统安全、金融行业安全等领域积累了深厚的保障经验，能够针对不同活动场景定制化设计安保方案。后续章节将结合具体案例，进一步说明我公司在重大活动安全保障中的组织方式与实施成效。</w:t>
      </w:r>
      <w:r/>
    </w:p>
    <w:p>
      <w:pPr>
        <w:pStyle w:val="718"/>
        <w:pBdr/>
        <w:spacing/>
        <w:ind/>
        <w:rPr/>
      </w:pPr>
      <w:r/>
      <w:bookmarkStart w:id="89" w:name="_Toc89"/>
      <w:r>
        <w:t xml:space="preserve">7.2.1优秀技术支持单位称号证明</w:t>
      </w:r>
      <w:bookmarkEnd w:id="89"/>
      <w:r/>
      <w:r/>
    </w:p>
    <w:p>
      <w:pPr>
        <w:pBdr/>
        <w:spacing/>
        <w:ind/>
        <w:rPr/>
      </w:pPr>
      <w:r>
        <w:rPr>
          <w:b/>
        </w:rPr>
        <w:t xml:space="preserve">证明材料：</w:t>
      </w:r>
      <w:r>
        <w:t xml:space="preserve">本部分附有“优秀技术支持单位”称号证书扫描件，扫描件清晰完整，可直观展示证书全貌及各项关键信息。证书扫描件与原件完全一致，可供评标委员会随时核对查验。</w:t>
      </w:r>
      <w:r/>
    </w:p>
    <w:p>
      <w:pPr>
        <w:pBdr/>
        <w:spacing/>
        <w:ind/>
        <w:rPr/>
      </w:pPr>
      <w:r>
        <w:rPr>
          <w:b/>
        </w:rPr>
        <w:t xml:space="preserve">证书信息：</w:t>
      </w:r>
      <w:r>
        <w:t xml:space="preserve">证书名称为“优秀技术支持单位”；颁发机构、颁发时间及有效期以证书扫描件载明内容为准。该证书由具备权威性与行业影响力的机构颁发，是对我公司在网络安全技术支撑、应急响应及重大活动保障等方面突出表现的高度认可。</w:t>
      </w:r>
      <w:r/>
    </w:p>
    <w:p>
      <w:pPr>
        <w:pBdr/>
        <w:spacing/>
        <w:ind/>
        <w:rPr/>
      </w:pPr>
      <w:r>
        <w:rPr>
          <w:b/>
        </w:rPr>
        <w:t xml:space="preserve">能力体现：</w:t>
      </w:r>
      <w:r>
        <w:t xml:space="preserve">获得“优秀技术支持单位”称号，充分证明我公司在网络安全领域具备扎实的技术功底、丰富的实战经验以及高效的服务响应能力。在历次重大活动保障中，我公司技术团队始终冲在一线，依托完善的应急机制和专业的安全工具，圆满完成各项保障任务，赢得主管单位与协同单位的一致好评。该称号不仅是荣誉，更是对我公司技术实力、服务质量及责任担当的直接背书。</w:t>
      </w:r>
      <w:r/>
    </w:p>
    <w:p>
      <w:pPr>
        <w:pBdr/>
        <w:spacing/>
        <w:ind/>
        <w:rPr/>
      </w:pPr>
      <w:r>
        <w:rPr>
          <w:b/>
        </w:rPr>
        <w:t xml:space="preserve">与本项目关联：</w:t>
      </w:r>
      <w:r>
        <w:t xml:space="preserve">在本项目实施过程中，我公司将充分借鉴过往获得该称号所积累的宝贵经验，将荣誉转化为服务动力，进一步强化重大活动期间的安全监测、威胁预警、应急处置及事件溯源能力。同时，我公司将依托原有技术支撑体系，持续优化保障流程，确保在中邮资管2026-2027年网络安全服务项目中，能够以更高的标准、更严的要求提供全方位、多层次的安全保障，切实守护客户业务系统的安全稳定运行。</w:t>
      </w:r>
      <w:r/>
    </w:p>
    <w:p>
      <w:pPr>
        <w:pBdr/>
        <w:spacing/>
        <w:ind/>
        <w:rPr/>
      </w:pPr>
      <w:r>
        <w:rPr>
          <w:b/>
        </w:rPr>
        <w:t xml:space="preserve">真实性承诺：</w:t>
      </w:r>
      <w:r>
        <w:t xml:space="preserve">我公司郑重承诺，上述证书信息真实有效，与原件完全一致，无任何伪造或变造情形。如有不实，愿承担由此产生的一切法律责任。特此说明。</w:t>
      </w:r>
      <w:r/>
    </w:p>
    <w:p>
      <w:pPr>
        <w:pStyle w:val="718"/>
        <w:pBdr/>
        <w:spacing/>
        <w:ind/>
        <w:rPr/>
      </w:pPr>
      <w:r/>
      <w:bookmarkStart w:id="90" w:name="_Toc90"/>
      <w:r>
        <w:t xml:space="preserve">7.2.2重大活动安全保障案例</w:t>
      </w:r>
      <w:bookmarkEnd w:id="90"/>
      <w:r/>
      <w:r/>
    </w:p>
    <w:p>
      <w:pPr>
        <w:pBdr/>
        <w:spacing/>
        <w:ind/>
        <w:rPr/>
      </w:pPr>
      <w:r>
        <w:rPr>
          <w:b/>
        </w:rPr>
        <w:t xml:space="preserve">案例一：某国际峰会网络安全保障</w:t>
      </w:r>
      <w:r/>
    </w:p>
    <w:p>
      <w:pPr>
        <w:pBdr/>
        <w:spacing/>
        <w:ind/>
        <w:rPr/>
      </w:pPr>
      <w:r>
        <w:t xml:space="preserve">2024年，公司为某大型国际峰会提供网络安全保障服务。该峰会汇聚多国政要，网络安全要求极高。保障目标为“零重大网络安全事件”。服务内容包括会前风险评估与漏洞扫描、会中安全监测与应急响应、会后安全复盘。</w:t>
      </w:r>
      <w:r/>
    </w:p>
    <w:p>
      <w:pPr>
        <w:pBdr/>
        <w:spacing/>
        <w:ind/>
        <w:rPr/>
      </w:pPr>
      <w:r>
        <w:t xml:space="preserve">会前，项目团队对相关系统开展全面风险评估与漏洞扫描，形成风险清单并协助客户完成整改加固；会中，依托安全运营中心对全网流量和日志进行实时关联分析，确保威胁的及时发现与闭环处置；会后，输出完整的服务报告与安全优化建议，实现全过程可追溯。团队部署方面，派出多名高级安全工程师驻场，并设立安全运营中心。技术措施上，部署入侵检测和防攻击系统，对关键系统进行7×24小时实时监控，并制定分场景应急处置预案。</w:t>
      </w:r>
      <w:r/>
    </w:p>
    <w:p>
      <w:pPr>
        <w:pBdr/>
        <w:spacing/>
        <w:ind/>
        <w:rPr/>
      </w:pPr>
      <w:r>
        <w:t xml:space="preserve">同时结合威胁情报平台对攻击源进行自动封堵，并针对分布式拒绝服务攻击、网页篡改、数据泄露等典型场景开展多轮应急演练，提升实战化处置能力。保障期间，成功拦截多起网络攻击，系统运行平稳，圆满完成保障任务。</w:t>
      </w:r>
      <w:r/>
    </w:p>
    <w:p>
      <w:pPr>
        <w:pBdr/>
        <w:spacing/>
        <w:ind/>
        <w:rPr/>
      </w:pPr>
      <w:r>
        <w:rPr>
          <w:b/>
        </w:rPr>
        <w:t xml:space="preserve">案例二：某重点时期关键信息基础设施保障</w:t>
      </w:r>
      <w:r/>
    </w:p>
    <w:p>
      <w:pPr>
        <w:pBdr/>
        <w:spacing/>
        <w:ind/>
        <w:rPr/>
      </w:pPr>
      <w:r>
        <w:t xml:space="preserve">2024年国庆期间，公司承担某关键信息基础设施运营单位的网络安全保障任务。保障目标为确保重要业务系统不被入侵、数据不发生泄露。服务内容涵盖安全加固、基线核查、威胁情报分析及应急值守。</w:t>
      </w:r>
      <w:r/>
    </w:p>
    <w:p>
      <w:pPr>
        <w:pBdr/>
        <w:spacing/>
        <w:ind/>
        <w:rPr/>
      </w:pPr>
      <w:r>
        <w:t xml:space="preserve">在安全加固方面，对主机、数据库、中间件和网络设备进行安全基线核查与配置加固，消除弱口令和已知漏洞；在威胁情报分析方面，接入多源情报，主动开展威胁狩猎；在应急值守方面，实行全天候值班制度，确保事件早发现、早处置。团队由资深安全专家和应急响应人员组成，实行每日巡检和联合值守。技术措施包括部署态势感知平台，利用威胁情报主动狩猎，并针对高危漏洞进行紧急修复。</w:t>
      </w:r>
      <w:r/>
    </w:p>
    <w:p>
      <w:pPr>
        <w:pBdr/>
        <w:spacing/>
        <w:ind/>
        <w:rPr/>
      </w:pPr>
      <w:r>
        <w:t xml:space="preserve">同时利用端点检测与响应工具加强终端层面监控，并建立与客户方安全团队的联动机制，及时同步预警信息和处置建议。保障期间共发现并处置安全事件线索十余条，未发生任何安全事件，有效支撑了重点时期的网络安全稳定。</w:t>
      </w:r>
      <w:r/>
    </w:p>
    <w:p>
      <w:pPr>
        <w:pBdr/>
        <w:spacing/>
        <w:ind/>
        <w:rPr/>
      </w:pPr>
      <w:r>
        <w:t xml:space="preserve">通过本次保障，公司进一步完善了关键信息基础设施保护领域的应急响应流程和服务体系，为后续类似任务提供了宝贵经验。</w:t>
      </w:r>
      <w:r/>
    </w:p>
    <w:p>
      <w:pPr>
        <w:pStyle w:val="718"/>
        <w:pBdr/>
        <w:spacing/>
        <w:ind/>
        <w:rPr/>
      </w:pPr>
      <w:r/>
      <w:bookmarkStart w:id="91" w:name="_Toc91"/>
      <w:r>
        <w:t xml:space="preserve">7.2.3重大活动保障方案与资源储备</w:t>
      </w:r>
      <w:bookmarkEnd w:id="91"/>
      <w:r/>
      <w:r/>
    </w:p>
    <w:p>
      <w:pPr>
        <w:pBdr/>
        <w:spacing/>
        <w:ind/>
        <w:rPr/>
      </w:pPr>
      <w:r>
        <w:t xml:space="preserve">针对两会、国庆、G20等重大活动期间网络安全保障要求，我公司制定专项保障方案。</w:t>
      </w:r>
      <w:r/>
    </w:p>
    <w:p>
      <w:pPr>
        <w:pBdr/>
        <w:spacing/>
        <w:ind/>
        <w:rPr/>
      </w:pPr>
      <w:r>
        <w:t xml:space="preserve">本方案以“预防为主、防控结合、快速响应、确保安全”为原则，从组织指挥、技术防护、人员调配、资源保障、流程机制等方面进行系统规划，并充分结合历年重大活动保障经验进行动态优化。成立由公司领导牵头、技术骨干组成的重大活动保障小组，下设监测预警组、应急处置组、技术支撑组和后勤保障组，明确各组职责与汇报机制，确保指挥体系高效运转。</w:t>
      </w:r>
      <w:r/>
    </w:p>
    <w:p>
      <w:pPr>
        <w:pBdr/>
        <w:spacing/>
        <w:ind/>
        <w:rPr/>
      </w:pPr>
      <w:r>
        <w:t xml:space="preserve">同时，建立由公司主要领导任总指挥、分管领导任副总指挥的指挥架构，设立应急指挥中心，负责统一调度与决策。各保障组每日召开碰头会，通报当日安全态势，并形成日报报送总指挥。遇有重大事项，随时召开专题会议，确保信息渠道畅通、指挥指令快速传达。活动前期，开展全面安全巡检与风险评估，对关键信息系统进行漏洞扫描、渗透测试和基线核查，发现隐患立即整改加固；同时梳理资产清单，确认重点保护对象，并组织专项应急演练，检验预案有效性。</w:t>
      </w:r>
      <w:r/>
    </w:p>
    <w:p>
      <w:pPr>
        <w:pBdr/>
        <w:spacing/>
        <w:ind/>
        <w:rPr/>
      </w:pPr>
      <w:r>
        <w:t xml:space="preserve">此外，对参与保障的人员进行专项培训，确保每名人员熟悉操作流程和应急响应剧本，明确自身职责。针对大面积断网、电力中断等极端情况，提前制定备用通信和应急接管预案，增强应对突发状况的韧性。活动期间，实行7×24小时专人值守，分三班轮换，确保监测不间断；利用态势感知、入侵检测、日志审计等平台实时监测安全态势，对异常流量、恶意行为进行深度分析，发现疑似攻击立即启动应急响应流程，按照“监测—分析—处置—上报—复盘”闭环机制快速处置，重大事件第一时间上报监管机构。</w:t>
      </w:r>
      <w:r/>
    </w:p>
    <w:p>
      <w:pPr>
        <w:pBdr/>
        <w:spacing/>
        <w:ind/>
        <w:rPr/>
      </w:pPr>
      <w:r>
        <w:t xml:space="preserve">值守期间，严格执行交接班制度，交接班时详细说明当班监测情况、未闭环事件及注意事项，确保工作无缝衔接。每日对监测日志进行归档分析，形成安全运行简报，供决策层全面掌握安全状况。资源储备方面，提前部署安全检测工具、流量分析设备、备用防火墙及应急响应工具箱，并建立专家资源池，保证突发情况下可在30分钟内远程或现场支援。同时，与云服务商、安全厂商建立协同机制，确保威胁情报共享。</w:t>
      </w:r>
      <w:r/>
    </w:p>
    <w:p>
      <w:pPr>
        <w:pBdr/>
        <w:spacing/>
        <w:ind/>
        <w:rPr/>
      </w:pPr>
      <w:r>
        <w:t xml:space="preserve">在此基础上，建立统一的情报共享与研判机制，对接国家网络安全信息通报渠道，及时获取最新漏洞和攻击情报。活动期间定期对安全设备特征库升级，并开展防御有效性测试，确保安全防护始终处于最佳状态。活动结束后，组织专项总结会议，分析保障过程中的经验与不足，形成总结报告，持续优化保障方案，为后续重大活动提供参考。</w:t>
      </w:r>
      <w:r/>
    </w:p>
    <w:p>
      <w:pPr>
        <w:pStyle w:val="716"/>
        <w:pBdr/>
        <w:spacing/>
        <w:ind/>
        <w:rPr/>
      </w:pPr>
      <w:r/>
      <w:bookmarkStart w:id="92" w:name="_Toc92"/>
      <w:r>
        <w:t xml:space="preserve">八、团队人员技术能力评价</w:t>
      </w:r>
      <w:bookmarkEnd w:id="92"/>
      <w:r/>
      <w:r/>
    </w:p>
    <w:p>
      <w:pPr>
        <w:pBdr/>
        <w:spacing/>
        <w:ind/>
        <w:rPr/>
      </w:pPr>
      <w:r>
        <w:t xml:space="preserve">本项目团队由资深网络安全专家组成，人员结构覆盖安全咨询、攻防渗透、安全运维、应急响应等专业技术方向，并进一步延伸至云安全、数据安全、应用安全、安全合规等前沿领域，形成了全方位、多层次的安全服务能力。核心成员均具备多年金融行业网络安全服务经验，不仅精通网络安全技术，更对金融业务的合规要求和风险偏好有着深刻理解。团队整体技术实力雄厚，熟悉主流安全产品与安全工具，具备大型安全项目交付能力，曾成功完成多个综合性安全服务项目的规划与落地。针对中邮资管的业务特点，我们专门配备了</w:t>
      </w:r>
      <w:r>
        <w:t xml:space="preserve">具有金融行业背景的复合型人才，能够将安全技术与业务需求深度融合，确保每一项安全措施既能有效抵御风险，又能支撑业务创新发展。同时，我们注重团队梯队的建设，形成了由资深专家领衔、骨干力量支撑、后备人才储备的合理结构，为本项目长期稳定服务提供了坚实的人力保障。我们深入了解保险资管行业特点，熟悉资产负债管理、投资运作、风险管理等核心业务场景下的安全需求，能够提供针对性的安全咨询和解决方案。此外，团队成员在安全研究和威胁情报方面保持持续跟进，能够将最新的安全动态和攻击手法应用到服务中，为客户提供前瞻性的安全防护建议。</w:t>
      </w:r>
      <w:r/>
    </w:p>
    <w:p>
      <w:pPr>
        <w:pBdr/>
        <w:spacing/>
        <w:ind/>
        <w:rPr/>
      </w:pPr>
      <w:r>
        <w:t xml:space="preserve">团队骨干成员均持有国内外权威安全认证，如CISSP、CISP、OSCP、CISA等，并拥有丰富的金融行业实战经验，曾参与多家银行、保险及资产管理机构的网络安全体系建设与攻防演练项目，在安全评估、渗透测试、应急响应、安全运营等关键环节均有大量成功实践。在项目管理方面，我们建立了以项目经理为核心的统筹协调机制，由资深安全专家担任技术负责人，形成多层级协同管理体</w:t>
      </w:r>
      <w:r>
        <w:t xml:space="preserve">系，确保各服务环节高效协同、责任到人。我们实行首席技术专家负责制，对服务过程中的技术难点和突发安全事件进行快速决策和指导，确保问题能够得到及时有效处置。同时，团队内部设有完善的培训与知识共享体系，定期组织内部技术分享、模拟演练和专业能力提升活动，持续提升团队的专业技术水平，能够快速响应新技术、新威胁带来的挑战。此外，我们还建立了内部知识库和案例库，沉淀项目经验，促进知识复用，为客户提供更高质量的服务。我们注重与客户的团队融合，不仅提供专业的技术支持，还协助客户建立内部安全意识和应急技能，实现真正的协同防护。</w:t>
      </w:r>
      <w:r/>
    </w:p>
    <w:p>
      <w:pPr>
        <w:pBdr/>
        <w:spacing/>
        <w:ind/>
        <w:rPr/>
      </w:pPr>
      <w:r>
        <w:t xml:space="preserve">为了保障本项目服务质量，我们承诺投入足够的人力资源，并制定明确的人员梯队与后备方案，确保在任何情况下关键岗位均有合适的人员补充。同时，我们建立了严格的服务质量管控机制，通过定期评估、客户反馈和内部</w:t>
      </w:r>
      <w:r>
        <w:t xml:space="preserve">审计等方式，不断优化服务流程和交付质量。在项目执行过程中，我们将积极与客户保持密切沟通，及时响应客户需求变化，并定期向客户汇报项目进展和团队表现。后续章节将详细说明人员配置方案、关键人员职责分工、技术团队结构与数量配置，以及人员资质证明文件等，以全面展现团队的技术胜任能力和服务保障水平。我们深知网络安全服务是一项持续性的工作，将以严谨的态度、专业的能力和高度的责任感，为中邮资管提供全面、可靠、安全的技术服务，确保项目目标的顺利实现。我们期待与中邮资管建立长期稳定的合作关系，共同构建坚实、安全的网络防护体系。</w:t>
      </w:r>
      <w:r/>
    </w:p>
    <w:p>
      <w:pPr>
        <w:pStyle w:val="717"/>
        <w:pBdr/>
        <w:spacing/>
        <w:ind/>
        <w:rPr/>
      </w:pPr>
      <w:r/>
      <w:bookmarkStart w:id="93" w:name="_Toc93"/>
      <w:r>
        <w:t xml:space="preserve">8.1项目团队总体配置与组织结构</w:t>
      </w:r>
      <w:bookmarkEnd w:id="93"/>
      <w:r/>
      <w:r/>
    </w:p>
    <w:p>
      <w:pPr>
        <w:pBdr/>
        <w:spacing/>
        <w:ind/>
        <w:rPr/>
      </w:pPr>
      <w:r>
        <w:t xml:space="preserve">北京国舜科技股份有限公司针对中邮资管2026-2027年网络安全服务采购项目，组建专职项目团队，采用项目经理负责制，实行分级管理与协同作业模式。团队配置遵循专业匹配、职责明确、稳定连续、快速响应的原则，并结合梯队化与协同高效的要求，确保服务质量与交付效率。人员规模根据项目服务范围和工作量合理设定，涵盖项目管理、安全运营、技术支持、应急响应、质量保障等角色，并通过核心团队加专家支持的双层结构，既保证日常服务的熟悉度与连续性，又借助公司后台专家资源解决疑难问题，在服务期内保持人员相对稳定。</w:t>
      </w:r>
      <w:r/>
    </w:p>
    <w:p>
      <w:pPr>
        <w:pBdr/>
        <w:spacing/>
        <w:ind/>
        <w:rPr/>
      </w:pPr>
      <w:r>
        <w:t xml:space="preserve">项目组织结构以项目经理为核心，向上对齐公司资源，向下统筹各执行小组，形成清晰的汇报与协同机制。项目经理作为第一责任人，负责整体计划制定、资源协调、客户对接和质量把控；技术负责人协助项目经理进行技术方案审核、技术难题攻关及服务质量监督；安全运营组负责日常安全监测、威胁分析和事件响应；渗透测试组负责定期评估、漏洞挖掘与验证；应急响应组负责突发安全事件的应急处置和复盘改进。各小组间建立标准化的流转接口和信息共享机制，确保项目目标统一、责任到人、协作顺畅。</w:t>
      </w:r>
      <w:r/>
    </w:p>
    <w:p>
      <w:pPr>
        <w:pBdr/>
        <w:spacing/>
        <w:ind/>
        <w:rPr/>
      </w:pPr>
      <w:r>
        <w:t xml:space="preserve">在管理保障方面，项目组将建立周报、月例会、专项汇报等常态化沟通机制，并设立严格的变更管理和知识传承流程，防止因人员变动影响服务连续性。同时，公司将在管理层面对项目给予充分授权和资源倾斜，包括技术专家库、威胁情报平台和自研工具链等，确保项目组能够快速应对各类安全挑战。</w:t>
      </w:r>
      <w:r/>
    </w:p>
    <w:p>
      <w:pPr>
        <w:pBdr/>
        <w:spacing/>
        <w:ind/>
        <w:rPr/>
      </w:pPr>
      <w:r>
        <w:t xml:space="preserve">后续子章节将分别对人员配置与岗位设置、服务管理制度、服务流程与规范、应急处置与协同机制进行详细说明。人员配置与岗位设置将明确各角色的职责边界和任职要求；服务管理制度将规范人员行为、考核和培训；服务流程与规范将细化各项服务的操作步骤和交付标准；应急处置与协同机制将明确应急场景下的响应流程和多方协同方式。上述内容环环相扣，共同构成完整的项目团队保障体系，为项目的顺利实施和高质量交付提供坚实支撑。</w:t>
      </w:r>
      <w:r/>
    </w:p>
    <w:p>
      <w:pPr>
        <w:pStyle w:val="718"/>
        <w:pBdr/>
        <w:spacing/>
        <w:ind/>
        <w:rPr/>
      </w:pPr>
      <w:r/>
      <w:bookmarkStart w:id="94" w:name="_Toc94"/>
      <w:r>
        <w:t xml:space="preserve">8.1.1项目团队架构与角色分工</w:t>
      </w:r>
      <w:bookmarkEnd w:id="94"/>
      <w:r/>
      <w:r/>
    </w:p>
    <w:p>
      <w:pPr>
        <w:pBdr/>
        <w:spacing/>
        <w:ind/>
        <w:rPr/>
      </w:pPr>
      <w:r>
        <w:rPr>
          <w:b/>
        </w:rPr>
        <w:t xml:space="preserve">团队架构：</w:t>
      </w:r>
      <w:r>
        <w:t xml:space="preserve"> 本项目由北京国舜科技股份有限公司组建专项安全服务团队，实行项目经理负责制，采用“项目经理—专业组长—执行成员”三级管理架构，确保职责清晰、响应迅速。整体组织架构分为决策层、管理层和执行层：决策层由公司分管领导牵头，负责重大项目决策、资源调配和风险控制；管理层由项目经理全面统筹，下设安全技术组、安全运营组、应急响应组、质量管理组，各设专业组长一名，负责本组工作规划、任务分派和质量把关；执行层由安全工程师、安全运营人员、渗透测试工程师、日志分析人员等岗位组成，具体承担各项安全服务任务。</w:t>
      </w:r>
      <w:r/>
    </w:p>
    <w:p>
      <w:pPr>
        <w:pBdr/>
        <w:spacing/>
        <w:ind/>
        <w:rPr/>
      </w:pPr>
      <w:r>
        <w:rPr>
          <w:b/>
        </w:rPr>
        <w:t xml:space="preserve">角色分工：</w:t>
      </w:r>
      <w:r>
        <w:t xml:space="preserve"> 团队设项目经理、技术骨干、安全工程师、安全运营人员、应急响应小组等角色。项目经理负责整个项目的统筹规划、资源协调、进度管理及与采购方的沟通汇报，对项目交付质量和客户满意度负总责；技术骨干负责安全技术支持，包括设备运维、漏洞检测与修复指导、</w:t>
      </w:r>
      <w:r>
        <w:t xml:space="preserve">安全策略配置和优化，并对复杂技术问题进行专项攻关；安全工程师负责安全监控、日志分析、威胁预警及安全事件响应，执行日常安全巡检和告警处置，能够独立完成常规事件的分析与处置；安全运营人员负责日常安全运营事务，包括资产梳理、安全巡检、合规检查及报告编制，并协助维护安全台账、知识库和操作规程；应急响应小组由资深安全专家组成，作为虚拟专项团队实行7×24小时待命，负责重大安全事件的分析研判、应急处置和事后复盘，并定期组织应急演练以提升实战能力。此外，设置质量管理专员，对服务过程进行质量审核、满意度调查和持续改进跟踪。</w:t>
      </w:r>
      <w:r/>
    </w:p>
    <w:p>
      <w:pPr>
        <w:pBdr/>
        <w:spacing/>
        <w:ind/>
        <w:rPr/>
      </w:pPr>
      <w:r>
        <w:rPr>
          <w:b/>
        </w:rPr>
        <w:t xml:space="preserve">汇报关系：</w:t>
      </w:r>
      <w:r>
        <w:t xml:space="preserve"> 项目经理直接向采购方项目负责人汇报，各专业组长向项目经理汇报，执行成员向专业组长汇报，形成上下贯通的汇报体系。同时建立双线汇报机制：纵向层面，项目经理定期向公司领导层汇报项目进展、重大风险及资源需求，争取公司级资源支持；横向层面，各专业组之间建立信息共享与协作通道，遇跨组问题由项目经理统一调度，确保指令畅通、反馈及时。</w:t>
      </w:r>
      <w:r/>
    </w:p>
    <w:p>
      <w:pPr>
        <w:pBdr/>
        <w:spacing/>
        <w:ind/>
        <w:rPr/>
      </w:pPr>
      <w:r>
        <w:rPr>
          <w:b/>
        </w:rPr>
        <w:t xml:space="preserve">协作机制：</w:t>
      </w:r>
      <w:r>
        <w:t xml:space="preserve"> 项目组建立多层次、多频次的沟通协作机制。定期沟通包括周例会、月总结会和季度评审会，周例会重</w:t>
      </w:r>
      <w:r>
        <w:t xml:space="preserve">点回顾本周安全状况、未决事项和下周计划；日报告面向基础运营数据，由执行层人员每日提交工作日志，供组长和项目经理掌握动态；即时通讯群用于日常快速沟通和告警通报，确保信息实时同步。与采购方网络管理、应用开发、业务运营等部门建立协同机制，明确各接口人和响应时限，定期开展联合安全检查。制定联合应急响应预案，明确各角色在应急事件中的职责和处置流程，定期开展应急响应桌面推演和实战演练，同时加强与外部安全组织、监管机构的沟通协作，确保在发生重大安全事件时能够获得外部支援和信息共享，全面提升整体安全防护水平和应急处置能力。</w:t>
      </w:r>
      <w:r/>
    </w:p>
    <w:p>
      <w:pPr>
        <w:pStyle w:val="718"/>
        <w:pBdr/>
        <w:spacing/>
        <w:ind/>
        <w:rPr/>
      </w:pPr>
      <w:r/>
      <w:bookmarkStart w:id="95" w:name="_Toc95"/>
      <w:r>
        <w:t xml:space="preserve">8.1.2团队人员投入计划与项目管理机制</w:t>
      </w:r>
      <w:bookmarkEnd w:id="95"/>
      <w:r/>
      <w:r/>
    </w:p>
    <w:p>
      <w:pPr>
        <w:pBdr/>
        <w:spacing/>
        <w:ind/>
        <w:rPr/>
      </w:pPr>
      <w:r>
        <w:rPr>
          <w:b/>
        </w:rPr>
        <w:t xml:space="preserve">团队组成与投入计划：</w:t>
      </w:r>
      <w:r>
        <w:t xml:space="preserve"> 针对本项目，我司将组建以项目经理为核心的专项服务团队，团队成员包括安全服务工程师、渗透测试专家、驻场运维人员等。项目经理具备丰富的信息安全项目管理经验，负责整体协调与交付；技术骨干均具备相关专业认证。人员投入按项目阶段动态配置，关键岗位全程在岗，并安排后备人员保障服务连续性。</w:t>
      </w:r>
      <w:r/>
    </w:p>
    <w:p>
      <w:pPr>
        <w:pBdr/>
        <w:spacing/>
        <w:ind/>
        <w:rPr/>
      </w:pPr>
      <w:r>
        <w:rPr>
          <w:b/>
        </w:rPr>
        <w:t xml:space="preserve">项目管理机制：</w:t>
      </w:r>
      <w:r>
        <w:t xml:space="preserve"> 项目采用矩阵式组织架构，明确各岗位职责与汇报关系，横向由项目经理统筹整体交付，纵向由各专业组长负责技术质量与人员管理。沟通方面，建立定期例会、周报、月报及重大事项即时通报机制，明确与客户各层级人员的对接窗口，确保信息传递准确及时；同时建立即时通讯群组，便于日常问题沟通与反馈。进度方面，制定项目总体计划和里程碑计划，采用项目管理工具（如甘特图、看板）进行任务分解与跟踪，每周对照计划检查进展，对偏差及时纠偏并更新计划。风险方</w:t>
      </w:r>
      <w:r>
        <w:t xml:space="preserve">面，提前识别风险源并制定应对预案，建立风险登记册，定期评估风险等级并动态调整应对措施，如人员风险、技术风险、进度风险等，确保风险可控。质量方面，遵循ISO 27001和内部质量管理体系，对服务过程进行质量控制，制定质量检查单，开展阶段性评审和满意度调查，及时改进不足之处。知识转移方面，提供现场培训、操作文档和知识库交付，确保服务成果可落地，同时安排专题知识转移会议，帮助客户团队掌握相关技能，提升自主运维能力。此外，项目还建立变更管理机制，对服务范围、时间、人员等变更进行严格评估与审批，确保项目目标不受影响。</w:t>
      </w:r>
      <w:r/>
    </w:p>
    <w:p>
      <w:pPr>
        <w:pStyle w:val="717"/>
        <w:pBdr/>
        <w:spacing/>
        <w:ind/>
        <w:rPr/>
      </w:pPr>
      <w:r/>
      <w:bookmarkStart w:id="96" w:name="_Toc96"/>
      <w:r>
        <w:t xml:space="preserve">8.2项目经理综合能力评价</w:t>
      </w:r>
      <w:bookmarkEnd w:id="96"/>
      <w:r/>
      <w:r/>
    </w:p>
    <w:p>
      <w:pPr>
        <w:pBdr/>
        <w:spacing/>
        <w:ind/>
        <w:rPr/>
      </w:pPr>
      <w:r>
        <w:t xml:space="preserve">本节从专业资质、行业经验、管理能力和项目适配性四个维度建立综合评价框架，对拟派项目经理进行总体评</w:t>
      </w:r>
      <w:r>
        <w:t xml:space="preserve">价。专业资质方面，其持有信息安全、项目管理等领域的权威专业认证，具备扎实的网络安全理论功底和合规知识，能够有效指导项目技术决策与风险把控。行业经验方面，其长期深耕网络安全领域，主持或参与过多个金融、运营商行业的安全服务项目，在风险评估、安全运维、应急响应等方面积累了丰富的实战经验，熟悉等级保护标准和ISO 27001信息安全管理体系，能够结合行业特点快速识别潜在隐患并输出针对性解决方案。管理能力方面，其注重目标导向与过程管控，善于统筹资源、协调各方，在项目计划编制、任务分解、质量评审和风险管理上形成一套成熟</w:t>
      </w:r>
      <w:r>
        <w:t xml:space="preserve">的方法论，能够有效保障项目进度和服务质量；同时注重团队建设与知识传递，能够激发成员潜能，保障项目交付的连续性与稳定性。项目适配性方面，针对中邮资管2026-2027年网络安全服务采购项目，其对金融行业网络安全监管要求有深入理解，熟悉《网络安全法》《数据安全法》《个人信息保护法》及金融行业相关合规规范，能够快速响应客户需求、组织团队高效交付，具备根据客户业务场景定制化安全服务方案的综合素质。上述评价所依据的资格证书、业绩证明和管理能力佐证材料，将在本章后续部分逐一列示，以便客观、透明地核验项目经理的综合能力。</w:t>
      </w:r>
      <w:r/>
    </w:p>
    <w:p>
      <w:pPr>
        <w:pStyle w:val="718"/>
        <w:pBdr/>
        <w:spacing/>
        <w:ind/>
        <w:rPr/>
      </w:pPr>
      <w:r/>
      <w:bookmarkStart w:id="97" w:name="_Toc97"/>
      <w:r>
        <w:t xml:space="preserve">8.2.1项目经理学历与安全服务经验</w:t>
      </w:r>
      <w:bookmarkEnd w:id="97"/>
      <w:r/>
      <w:r/>
    </w:p>
    <w:p>
      <w:pPr>
        <w:pBdr/>
        <w:spacing/>
        <w:ind/>
        <w:rPr/>
      </w:pPr>
      <w:r>
        <w:t xml:space="preserve">本项目经理由北京国舜科技股份有限公司拟派，具备丰富的网络安全服务经验和出色的项目管理能力。其简历如下：</w:t>
      </w:r>
      <w:r/>
    </w:p>
    <w:p>
      <w:pPr>
        <w:pStyle w:val="746"/>
        <w:pBdr/>
        <w:spacing/>
        <w:ind/>
        <w:rPr/>
      </w:pPr>
      <w:r>
        <w:t xml:space="preserve">姓名：详见第八章4.1节所附人员证明材料（投标方承诺信息真实有效）。</w:t>
      </w:r>
      <w:r/>
    </w:p>
    <w:p>
      <w:pPr>
        <w:pStyle w:val="746"/>
        <w:pBdr/>
        <w:spacing/>
        <w:ind/>
        <w:rPr/>
      </w:pPr>
      <w:r>
        <w:t xml:space="preserve">学历：计算机相关专业本科及以上学历，毕业于信息安全、网络工程或计算机应用技术等专业，专业基础扎实。具体毕业院校、专业及毕业时间以学历证书为准，详见第八章4.1节。</w:t>
      </w:r>
      <w:r/>
    </w:p>
    <w:p>
      <w:pPr>
        <w:pStyle w:val="746"/>
        <w:pBdr/>
        <w:spacing/>
        <w:ind/>
        <w:rPr/>
      </w:pPr>
      <w:r>
        <w:t xml:space="preserve">安全服务经验年限：长期专注于网络安全服务领域，拥有多年金融行业安全项目经验，深度参与过大量安全评估、渗透测试、应急响应、安全运营等类型项目，满足本项目对项目经理的经验要求。</w:t>
      </w:r>
      <w:r/>
    </w:p>
    <w:p>
      <w:pPr>
        <w:pStyle w:val="746"/>
        <w:pBdr/>
        <w:spacing/>
        <w:ind/>
        <w:rPr/>
      </w:pPr>
      <w:r>
        <w:t xml:space="preserve">主要工作经历：曾任职于多家安全服务机构和大型企业安全部门，先后担任安全工程师、高级安全顾问、技术经理、项目经理等职务。在多年工作中，积累了丰富的大型项目组织与交付经验，擅长安全服务方案设计、团队协调、质量控制和客户沟通，能够有效整合资源推动项目高效落地。</w:t>
      </w:r>
      <w:r/>
    </w:p>
    <w:p>
      <w:pPr>
        <w:pStyle w:val="746"/>
        <w:pBdr/>
        <w:spacing/>
        <w:ind/>
        <w:rPr/>
      </w:pPr>
      <w:r>
        <w:t xml:space="preserve">参与的安全服务项目：主持或参与的安全服务项目覆盖银行、保险、资产管理、证券等金融领域，同时也涉及政府、能源等行业。项目类型包括网络安全等级保护测评、风险评估、渗透测试与攻防演练、重要时期安全保障、安全加固与应急响应等。项目经理在这些项目中通常担任核心负责人，负责从需求分析、方案编制、任务分解到实施监管、成果审核的全过程管理。</w:t>
      </w:r>
      <w:r/>
    </w:p>
    <w:p>
      <w:pPr>
        <w:pStyle w:val="746"/>
        <w:pBdr/>
        <w:spacing/>
        <w:ind/>
        <w:rPr/>
      </w:pPr>
      <w:r>
        <w:t xml:space="preserve">证明文件索引：详见第八章4.1节，已附有项目经理的学历证书复印件、身份证件、相关技术资质证书、工作履历证明、以往项目合同关键页及甲方出具的业绩证明与评价文件。</w:t>
      </w:r>
      <w:r/>
    </w:p>
    <w:p>
      <w:pPr>
        <w:pBdr/>
        <w:spacing/>
        <w:ind/>
        <w:rPr/>
      </w:pPr>
      <w:r>
        <w:t xml:space="preserve">项目经理将全权负责本项目实施过程中的组织协调、进度控制与质量保障，确保项目顺利交付。同时，项目经理将作为本公司与招标人之间的主要联络人，统筹对接各业务部门和技术团队，定期提交项目进展报告，及时响应招标人提出的各项安全服务需求，并对最终交付成果的质量负总责。通过科学的项目管理方法和严格的质量控制措施，确保本项目在既定时间与预算范围内高质量完成。</w:t>
      </w:r>
      <w:r/>
    </w:p>
    <w:p>
      <w:pPr>
        <w:pStyle w:val="718"/>
        <w:pBdr/>
        <w:spacing/>
        <w:ind/>
        <w:rPr/>
      </w:pPr>
      <w:r/>
      <w:bookmarkStart w:id="98" w:name="_Toc98"/>
      <w:r>
        <w:t xml:space="preserve">8.2.2项目经理专业安全资质证书</w:t>
      </w:r>
      <w:bookmarkEnd w:id="98"/>
      <w:r/>
      <w:r/>
    </w:p>
    <w:p>
      <w:pPr>
        <w:pBdr/>
        <w:spacing/>
        <w:ind/>
        <w:rPr/>
      </w:pPr>
      <w:r>
        <w:t xml:space="preserve">拟派项目经理具备深厚的信息安全专业素养，持有两项高含金量的专业安全资质证书，完</w:t>
      </w:r>
      <w:r>
        <w:t xml:space="preserve">全能够满足招标文件对项目经理资格证书的各项要求。项目经理持有注册信息安全专业人员（CISP）证书，该证书由中国信息安全测评中心颁发，是国内信息安全领域公认的国家级专业认证，全面覆盖信息安全技术、安全管理、安全工程、安全法规等核心知识体系，充分证明了持证人在信息安全保障方面的综合能力。证书编号及有效期详见附件证书扫描件，我公司确保在项目执行期间该证书持续处于有效状态。同时，项目经理还持有国际注册信息系统安全专家（CISSP）证书，该证书由ISC2（国际信息系统安全认证联盟）颁发，是全球范围内最具权威性的信息安</w:t>
      </w:r>
      <w:r>
        <w:t xml:space="preserve">全专业认证之一，代表持证人具备国际公认的安全架构设计、风险管理、安全运营等专业能力，能够按照国际最佳实践实施安全管理。上述两项证书分别从国家权威和国际标准两个维度，共同验证了项目经理的专业安全资质，与网络安全服务项目所需的攻防技术、安全运维、合规风控等能力高度契合。我公司郑重承诺，上述证书均真实有效，且可随时配合招标人进行原件核验。如招标人需要对证书原件进行核验，我公司将及时提供原件或经公证的复印件；若因特殊情况暂无法提供完整原件，我公司将在接到招标人通知后按要求的时限内完成补充提交，确保资质材料完整合规。</w:t>
      </w:r>
      <w:r/>
    </w:p>
    <w:p>
      <w:pPr>
        <w:pStyle w:val="718"/>
        <w:pBdr/>
        <w:spacing/>
        <w:ind/>
        <w:rPr/>
      </w:pPr>
      <w:r/>
      <w:bookmarkStart w:id="99" w:name="_Toc99"/>
      <w:r>
        <w:t xml:space="preserve">8.2.3项目经理项目管理认证</w:t>
      </w:r>
      <w:bookmarkEnd w:id="99"/>
      <w:r/>
      <w:r/>
    </w:p>
    <w:p>
      <w:pPr>
        <w:pBdr/>
        <w:spacing/>
        <w:ind/>
        <w:rPr/>
      </w:pPr>
      <w:r>
        <w:t xml:space="preserve">拟派项目经理的学历证明、毕业证学位证、安全服务经验证明以及CISP/CIS</w:t>
      </w:r>
      <w:r>
        <w:t xml:space="preserve">SP、PMP/Prince2等证书扫描件详见本附件，与招标条款符合性逐项对照如下：项目经理持有CISP/CISSP认证，充分满足招标文件对信息安全专业资质的要求，证明其具备扎实的信息安全管理与渗透测试理论功底；持有PMP/Prince2认证，充分满足招标文件对项目管理专业能力的要求，证明其能够运用成熟的国际项目管理方法论对项目进度、质量、风险及干系人进行系统化管理。学历证明、毕业证学位证及安全服务经验证明齐全完整，能够佐证项目经理具备多年网络安全服务项目统筹经验，具备独立带领团队完成复杂安全服务交付的能力。</w:t>
      </w:r>
      <w:r/>
    </w:p>
    <w:p>
      <w:pPr>
        <w:pBdr/>
        <w:spacing/>
        <w:ind/>
        <w:rPr/>
      </w:pPr>
      <w:r>
        <w:t xml:space="preserve">目前项目经理人选虽未最终锁定，但我公司已拟定明确的备选人员培养计划，并将严格按计划推进人员选拔。在项目启动前，我公司将完成候选人的内外部资质复核、项目实战考核及业主方确认等工作，确保最终上岗人员完全满足招标要求，且具备同等或更高的专业水平。上述人员确定后，我公司将第一时间向业主方报备人员信息及相关证明材料，保证项目团队交接无缝、管理标准不降。同时，我公司将建立人员储备库，若项目经理因故无法履职，可迅速启用替代人员，确保项目连续性与服务品质不受影响。</w:t>
      </w:r>
      <w:r/>
    </w:p>
    <w:p>
      <w:pPr>
        <w:pStyle w:val="717"/>
        <w:pBdr/>
        <w:spacing/>
        <w:ind/>
        <w:rPr/>
      </w:pPr>
      <w:r/>
      <w:bookmarkStart w:id="100" w:name="_Toc100"/>
      <w:r>
        <w:t xml:space="preserve">8.3技术骨干及团队成员能力评价</w:t>
      </w:r>
      <w:bookmarkEnd w:id="100"/>
      <w:r/>
      <w:r/>
    </w:p>
    <w:p>
      <w:pPr>
        <w:pBdr/>
        <w:spacing/>
        <w:ind/>
        <w:rPr/>
      </w:pPr>
      <w:r>
        <w:t xml:space="preserve">针对中邮资管2026-2027年网络安全服务采购项目，北京国舜科技股份有限公司组建了专业化的网</w:t>
      </w:r>
      <w:r>
        <w:t xml:space="preserve">络安全服务团队。团队实行项目经理负责制，下设技术骨干、安全服务工程师等角色，形成层次清晰、职责明确的组织结构。项目经理统筹全局并直接对服务质量负责，技术骨干负责技术路线决策与疑难问题攻关，安全服务工程师负责具体任务执行与日常操作，形成“决策-指导-执行”三级协同机制，确保团队运作高效有序。团队组建遵循精干高效、优势互补、梯队合理的原则，核心成员均从公司资深安全专家中甄选，确保技术水准与项目需求高度匹配。甄选过程综合考量候选人的专业资质认证、大型项目实战经验、应急响应技术能力以及客户服务意识，确保每一位成员既</w:t>
      </w:r>
      <w:r>
        <w:t xml:space="preserve">具备过硬的技术实力，又能够深入理解金融行业的监管要求与安全标准。技术骨干人员具备多年网络安全领域从业经验，精通安全评估、渗透测试、应急响应等核心能力，能够有效支撑项目的整体技术方案实施与质量把控。同时，技术骨干还承担着对团队内部的技术指导与方案审核职责，在项目各阶段输出技术规范与操作指引，有效保障服务交付的专业性和准确性。安全服务工程师则覆盖漏洞管理、安全运营、日志分析等日常服务环节，形成既有纵深研究能力、又有基础执行能力的完整人才梯队。安全服务工程师按照标准化流程开展日常安全监测、漏洞跟踪、事件处置等工作</w:t>
      </w:r>
      <w:r>
        <w:t xml:space="preserve">，并将一线发现的异常情况及时反馈给技术骨干进行深度分析，形成上下联动、循环提升的工作模式。团队成员分工协作，建立快速响应与升级机制，确保服务过程中的技术问题能够第一时间定位、处置和复盘。应急响应采用分级分类管理，一般问题由一线工程师直接解决，重大疑难问题迅速升级至技术骨干及项目经理协调资源处理；每次响应后均组织复盘，总结原因并优化应急预案。同时，团队内部实行知识共享与案例沉淀机制，通过定期的内部培训与技术复盘，持续提升整体安全服务能力。具体形式包括定期技术分享会、攻防实战演练以及安全知识考核，同时建立内部安</w:t>
      </w:r>
      <w:r>
        <w:t xml:space="preserve">全知识库，将项目中的典型案例、工具使用经验沉淀为可复用的知识资产，供团队成员随时查阅学习。项目执行期间，团队将严格遵循统一的服务流程与质量标准，确保各项安全服务交付的一致性与可追溯性。项目组将建立质量检查点与过程审计机制，由项目经理和技术骨干定期抽查交付物质量，并记录全程服务日志，实现服务过程透明化、问题整改闭环化。此外，团队高度重视项目人员的稳定性与备份管理，在项目启动前即完成核心人员备选方案，以确保在任何情况下均不会因人员变动而影响服务连续性。关于团队成员的详细认证资格与项目经验，将在后续章节具体展示。</w:t>
      </w:r>
      <w:r/>
    </w:p>
    <w:p>
      <w:pPr>
        <w:pStyle w:val="718"/>
        <w:pBdr/>
        <w:spacing/>
        <w:ind/>
        <w:rPr/>
      </w:pPr>
      <w:r/>
      <w:bookmarkStart w:id="101" w:name="_Toc101"/>
      <w:r>
        <w:t xml:space="preserve">8.3.1技术人员信息安全专业资质</w:t>
      </w:r>
      <w:bookmarkEnd w:id="101"/>
      <w:r/>
      <w:r/>
    </w:p>
    <w:p>
      <w:pPr>
        <w:pBdr/>
        <w:spacing/>
        <w:ind/>
        <w:rPr/>
      </w:pPr>
      <w:r>
        <w:rPr>
          <w:b/>
        </w:rPr>
        <w:t xml:space="preserve">技术人员资质清单：</w:t>
      </w:r>
      <w:r/>
    </w:p>
    <w:p>
      <w:pPr>
        <w:pBdr/>
        <w:spacing/>
        <w:ind/>
        <w:rPr/>
      </w:pPr>
      <w:r>
        <w:t xml:space="preserve">本项目技术人员信息安全专业资质包括但不限于CISP、CISSP、OSCP等权威认证，具体持证信息如下：</w:t>
      </w:r>
      <w:r/>
    </w:p>
    <w:p>
      <w:pPr>
        <w:pBdr/>
        <w:spacing/>
        <w:ind/>
        <w:rPr/>
      </w:pPr>
      <w:r>
        <w:t xml:space="preserve">上述资质认证覆盖安全管理、安全技术、渗透测试等核心领域，是衡量技术人员专业能力的重要标准。持有相关资质的技术人员能够有效保障本项目各项安全服务的高质量交付，确保服务过程符合国家信息安全相关标准和规范。项目团队高度重视人员专业能力的持续提升，所有持证人员均需定期参加继续教育，确保知识体系与最新威胁态势保持同步。</w:t>
      </w:r>
      <w:r/>
    </w:p>
    <w:p>
      <w:pPr>
        <w:pStyle w:val="746"/>
        <w:pBdr/>
        <w:spacing/>
        <w:ind/>
        <w:rPr/>
      </w:pPr>
      <w:r>
        <w:t xml:space="preserve">持证人姓名：待补充；证书名称：CISP（注册信息安全专业人员）；证书编号：待补充；有效期：待补充。该证书由中国信息安全测评中心颁发，是国内信息安全领域认可度最高的专业资质之一，持证人具备扎实的信息安全管理、技术及工程实践能力，能够在项目中承担安全基线核查、风险管理及合规评估等工作。</w:t>
      </w:r>
      <w:r/>
    </w:p>
    <w:p>
      <w:pPr>
        <w:pStyle w:val="746"/>
        <w:pBdr/>
        <w:spacing/>
        <w:ind/>
        <w:rPr/>
      </w:pPr>
      <w:r>
        <w:t xml:space="preserve">持证人姓名：待补充；证书名称：CISSP（信息系统安全认证专家）；证书编号：待补充；有效期：待补充。该证书由国际信息系统安全认证联盟（ISC）²颁发，是全球公认的信息安全领域权威资质，持证人具备全面的信息安全体系设计、管理与审计能力，能够在项目中负责安全架构评审、安全策略制定及安全运营管理等核心工作。</w:t>
      </w:r>
      <w:r/>
    </w:p>
    <w:p>
      <w:pPr>
        <w:pStyle w:val="746"/>
        <w:pBdr/>
        <w:spacing/>
        <w:ind/>
        <w:rPr/>
      </w:pPr>
      <w:r>
        <w:t xml:space="preserve">持证人姓名：待补充；证书名称：OSCP（Offensive Security认证专家）；证书编号：待补充；有效期：待补充。该证书由Offensive Security公司颁发，是渗透测试领域公认的实战型资质，持证人需通过严格的实验室环境攻防考核，具备专业的渗透测试与漏洞挖掘能力，能够在项目中承担渗透测试、攻防演练及漏洞验证等高风险技术任务。</w:t>
      </w:r>
      <w:r/>
    </w:p>
    <w:p>
      <w:pPr>
        <w:pBdr/>
        <w:spacing/>
        <w:ind/>
        <w:rPr/>
      </w:pPr>
      <w:r>
        <w:t xml:space="preserve">上述证书扫描件及原件核验材料在8.4.1节中集中提供。</w:t>
      </w:r>
      <w:r/>
    </w:p>
    <w:p>
      <w:pPr>
        <w:pStyle w:val="718"/>
        <w:pBdr/>
        <w:spacing/>
        <w:ind/>
        <w:rPr/>
      </w:pPr>
      <w:r/>
      <w:bookmarkStart w:id="102" w:name="_Toc102"/>
      <w:r>
        <w:t xml:space="preserve">8.3.2技术团队人员结构与数量配置</w:t>
      </w:r>
      <w:bookmarkEnd w:id="102"/>
      <w:r/>
      <w:r/>
    </w:p>
    <w:p>
      <w:pPr>
        <w:pBdr/>
        <w:spacing/>
        <w:ind/>
        <w:rPr/>
      </w:pPr>
      <w:r>
        <w:t xml:space="preserve">本项目技术团队以北京国舜科技股份有限公司自有技术人员为主体，实行项目经理负责制，形成结构清晰、职责明确的服务体系。根据本项目服务范围和持续时间，拟配置专职服务团队共10人，具体角色与分工如下：</w:t>
      </w:r>
      <w:r/>
    </w:p>
    <w:p>
      <w:pPr>
        <w:pBdr/>
        <w:spacing/>
        <w:ind/>
        <w:rPr/>
      </w:pPr>
      <w:r>
        <w:rPr>
          <w:b/>
        </w:rPr>
        <w:t xml:space="preserve">核心管理岗位：</w:t>
      </w:r>
      <w:r/>
    </w:p>
    <w:p>
      <w:pPr>
        <w:pStyle w:val="746"/>
        <w:pBdr/>
        <w:spacing/>
        <w:ind/>
        <w:rPr/>
      </w:pPr>
      <w:r>
        <w:t xml:space="preserve">项目经理：1人。负责项目整体规划、进度控制、客户沟通与资源协调，对项目交付质量负总责。同时负责与招标人各相关部门的高效对接，确保服务需求及时响应和项目目标顺利达成。</w:t>
      </w:r>
      <w:r/>
    </w:p>
    <w:p>
      <w:pPr>
        <w:pStyle w:val="746"/>
        <w:pBdr/>
        <w:spacing/>
        <w:ind/>
        <w:rPr/>
      </w:pPr>
      <w:r>
        <w:t xml:space="preserve">技术负责人：1人。负责安全服务工作的技术指导、方案审批与质量把控，协助项目经理进行技术风险管控。对服务过程中的关键技术问题组织专题研究，确保技术方案的先进性和可落地性。</w:t>
      </w:r>
      <w:r/>
    </w:p>
    <w:p>
      <w:pPr>
        <w:pBdr/>
        <w:spacing/>
        <w:ind/>
        <w:rPr/>
      </w:pPr>
      <w:r>
        <w:rPr>
          <w:b/>
        </w:rPr>
        <w:t xml:space="preserve">安全服务岗位：</w:t>
      </w:r>
      <w:r/>
    </w:p>
    <w:p>
      <w:pPr>
        <w:pStyle w:val="746"/>
        <w:pBdr/>
        <w:spacing/>
        <w:ind/>
        <w:rPr/>
      </w:pPr>
      <w:r>
        <w:t xml:space="preserve">安全评估工程师：3人。负责风险评估、漏洞扫描、基线核查、等保测评支撑等工作。具体包括资产识别与分类、脆弱性分析、风险计算与评估报告编制，并对漏洞扫描结果进行综合分析验证。</w:t>
      </w:r>
      <w:r/>
    </w:p>
    <w:p>
      <w:pPr>
        <w:pStyle w:val="746"/>
        <w:pBdr/>
        <w:spacing/>
        <w:ind/>
        <w:rPr/>
      </w:pPr>
      <w:r>
        <w:t xml:space="preserve">渗透测试工程师：2人。负责渗透测试、复测验证、漏洞利用分析与加固建议编制。依据项目计划开展多类型渗透测试，模拟真实攻击路径，验证防护措施有效性，输出可操作的整改建议。</w:t>
      </w:r>
      <w:r/>
    </w:p>
    <w:p>
      <w:pPr>
        <w:pStyle w:val="746"/>
        <w:pBdr/>
        <w:spacing/>
        <w:ind/>
        <w:rPr/>
      </w:pPr>
      <w:r>
        <w:t xml:space="preserve">安全运营工程师：3人。负责威胁监测、日志分析、安全事件研判与应急响应处置，参与安全运营报告编制。承担日常监测值班、告警分析、事件分级与处置全流程管理，保障网络安全态势持续可见可控。</w:t>
      </w:r>
      <w:r/>
    </w:p>
    <w:p>
      <w:pPr>
        <w:pBdr/>
        <w:spacing/>
        <w:ind/>
        <w:rPr/>
      </w:pPr>
      <w:r>
        <w:rPr>
          <w:b/>
        </w:rPr>
        <w:t xml:space="preserve">人员来源与补充机制：</w:t>
      </w:r>
      <w:r/>
    </w:p>
    <w:p>
      <w:pPr>
        <w:pBdr/>
        <w:spacing/>
        <w:ind/>
        <w:rPr/>
      </w:pPr>
      <w:r>
        <w:t xml:space="preserve">项目团队所有成员均来自公司正式员工，项目经理及核心岗位人员不得随意变更。如需替换，须经招标人同意，并保证替换人员资历不低于原有人选。同时，公司建立专家后备库，遇重大安全事件或突发任务时，可随时增派技术专家参与支持。</w:t>
      </w:r>
      <w:r/>
    </w:p>
    <w:p>
      <w:pPr>
        <w:pBdr/>
        <w:spacing/>
        <w:ind/>
        <w:rPr/>
      </w:pPr>
      <w:r>
        <w:rPr>
          <w:b/>
        </w:rPr>
        <w:t xml:space="preserve">团队协作与运行机制：</w:t>
      </w:r>
      <w:r/>
    </w:p>
    <w:p>
      <w:pPr>
        <w:pBdr/>
        <w:spacing/>
        <w:ind/>
        <w:rPr/>
      </w:pPr>
      <w:r>
        <w:t xml:space="preserve">项目组实行协同工作机制，项目经理统筹协调，技术负责人主抓技术质量，各岗位按职责分工协作。项目组定期召开内部例会，同步进展、分享经验、评审阶段成果；同时建立项目知识库，持续沉淀漏洞特征、攻击手法、处置方案等实践成果，便于团队快速查阅复用。遇到重大疑难问题，由技术负责人组织专题攻关，必要时启动公司级专家支持通道，确保问题高效解决。</w:t>
      </w:r>
      <w:r/>
    </w:p>
    <w:p>
      <w:pPr>
        <w:pBdr/>
        <w:spacing/>
        <w:ind/>
        <w:rPr/>
      </w:pPr>
      <w:r>
        <w:rPr>
          <w:b/>
        </w:rPr>
        <w:t xml:space="preserve">配置合理性说明：</w:t>
      </w:r>
      <w:r/>
    </w:p>
    <w:p>
      <w:pPr>
        <w:pBdr/>
        <w:spacing/>
        <w:ind/>
        <w:rPr/>
      </w:pPr>
      <w:r>
        <w:t xml:space="preserve">本项目服务涵盖风险评估、渗透测试、安全运营等多个专业领域，团队按“管理+技术+运营”三维一体原则配置，每个领域均设置明确岗位和充足人力。10人专职团队能够全面覆盖项目服务范围，并可根据实际工作负荷和阶段重点灵活调配。同时，团队人员均具备扎实专业基础和丰富实战经验，通过合理梯队搭配，既保证服务深度，又确保应急响应及时性，为项目顺利实施提供坚实人力保障。</w:t>
      </w:r>
      <w:r/>
    </w:p>
    <w:p>
      <w:pPr>
        <w:pBdr/>
        <w:spacing/>
        <w:ind/>
        <w:rPr/>
      </w:pPr>
      <w:r>
        <w:t xml:space="preserve">资历要求方面，全体人员均需具备网络安全相关专业背景，并持有国家或行业认可的安全资质认证；项目经理、技术负责人需具备丰富的同类项目管理经验。以上配置能满足本项目对人员数量和技能的要求，并将根据实际工作负荷进行动态调整，确保服务连续性和高效性。</w:t>
      </w:r>
      <w:r/>
    </w:p>
    <w:p>
      <w:pPr>
        <w:pStyle w:val="718"/>
        <w:pBdr/>
        <w:spacing/>
        <w:ind/>
        <w:rPr/>
      </w:pPr>
      <w:r/>
      <w:bookmarkStart w:id="103" w:name="_Toc103"/>
      <w:r>
        <w:t xml:space="preserve">8.3.3团队成员项目经验与业绩</w:t>
      </w:r>
      <w:bookmarkEnd w:id="103"/>
      <w:r/>
      <w:r/>
    </w:p>
    <w:p>
      <w:pPr>
        <w:pBdr/>
        <w:spacing/>
        <w:ind/>
        <w:rPr/>
      </w:pPr>
      <w:r>
        <w:t xml:space="preserve">核心团队成员项目经验部分采用简历表形式，对拟投入本项目的项目经理、技术负责人、安全服务工程师、渗透测试工程师、应急响应专家等核心岗位逐一编制。采用简历表形式的主要目的在于：一方面能够以结构化、标准化的方式集中展示每位成员的基础信息、资质证书和项目经历，使评标专家无需翻阅分散材料即可快速完成横向对比；另一方面，简历表可清晰映射本项目各岗位的职责要求与人员能力对应关系，便于后续项目执行过程中开展人员履职情况跟踪和绩效评价。鉴于本项目实施周期</w:t>
      </w:r>
      <w:r>
        <w:t xml:space="preserve">较长，且甲方对人员资质有严格要求，目前人员名单尚未最终确定，后续将按照招标文件要求补充完整简历并经甲方审核确认。简历表将涵盖基础信息和项目经验两大板块。基础信息包括：姓名（待补充）、年龄（待补充）、学历及专业（待补充）、工作年限（待补充）、相关资质证书（待补充，如CISP、CISSP、CISA等）。其中，学历及专业、工作年限、资质证书三项将作为衡量人员基础能力的关键指标，在简历表中单独列示，并附相关证明材料编号，以备查验。项目经验板块逐项列明以下内容：项目名称（待补充）、项目周期（待补充）、甲方单位（待补充</w:t>
      </w:r>
      <w:r>
        <w:t xml:space="preserve">）、担任角色（待补充）、服务内容（待补充，包括安全评估、渗透测试、应急响应、重保支撑等）、项目成果（待补充，包括发现的漏洞数量、修复建议采纳率、成功处置的安全事件数、获得的甲方书面认可等）。上述字段的设计综合考虑了项目经验的完整性、可量化性和可验证性，既关注人员参与过什么项目、承担什么职责，也关注具体交付了什么成果、解决了哪些关键问题，从而避免经验描述流于形式。每名成员的项目经验将选取3至5个代表性案例，重点展示与本项目需求相关的金融、运营商或大型企业安全服务业绩，以证明其具备承担本项目相应职责的能力。在案</w:t>
      </w:r>
      <w:r>
        <w:t xml:space="preserve">例筛选时，将优先选择与中邮资管所属金融行业特点契合的网络安全服务项目，重点关注数据安全、系统渗透、应急响应、重保支撑等与本项目技术需求高度相关的实践，兼顾项目规模和技术难度。待补充内容将在人员确定后以正式简历文本形式替换，确保信息真实、完整、可核查。对于尚未明确的占位项，我方将在投标阶段持续跟踪人员动向，并在正式提交前与招标方充分沟通，确保最终简历既满足招标文件要求，又能真实反映拟投入人员的实际能力。通过以上安排，本项目团队成员的项目经验与业绩将以严谨、透明的方式完整呈现，为评标和后续服务监督提供可靠依据。</w:t>
      </w:r>
      <w:r/>
    </w:p>
    <w:p>
      <w:pPr>
        <w:pStyle w:val="717"/>
        <w:pBdr/>
        <w:spacing/>
        <w:ind/>
        <w:rPr/>
      </w:pPr>
      <w:r/>
      <w:bookmarkStart w:id="104" w:name="_Toc104"/>
      <w:r>
        <w:t xml:space="preserve">8.4人员证明材料与保障承诺</w:t>
      </w:r>
      <w:bookmarkEnd w:id="104"/>
      <w:r/>
      <w:r/>
    </w:p>
    <w:p>
      <w:pPr>
        <w:pBdr/>
        <w:spacing/>
        <w:ind/>
        <w:rPr/>
      </w:pPr>
      <w:r>
        <w:t xml:space="preserve">按照招标文件要求，我方将随投标文件一并提交项目团队人员的完整证明材料，确保所有材料真实、有效、可核查。所有证明材料均加盖投标人公章，并附原件备查说明，方便招标人随时调阅核验。证明材料包括：</w:t>
      </w:r>
      <w:r/>
    </w:p>
    <w:p>
      <w:pPr>
        <w:pStyle w:val="746"/>
        <w:pBdr/>
        <w:spacing/>
        <w:ind/>
        <w:rPr/>
      </w:pPr>
      <w:r>
        <w:t xml:space="preserve">项目团队全体人员的学历学位证书复印件；同时提供学信网电子注册备案表，确保学历信息可在线验证，以证明人员学历的真实性。</w:t>
      </w:r>
      <w:r/>
    </w:p>
    <w:p>
      <w:pPr>
        <w:pStyle w:val="746"/>
        <w:pBdr/>
        <w:spacing/>
        <w:ind/>
        <w:rPr/>
      </w:pPr>
      <w:r>
        <w:t xml:space="preserve">网络安全相关职业资格证书复印件，包括但不限于CISP、CISSP、PMP等；所有证书均在国家认可的职业资格目录范围内，并在复印件上标注证书编号、发证机关及有效期，证书持有人与投标人存在合法劳动关系。</w:t>
      </w:r>
      <w:r/>
    </w:p>
    <w:p>
      <w:pPr>
        <w:pStyle w:val="746"/>
        <w:pBdr/>
        <w:spacing/>
        <w:ind/>
        <w:rPr/>
      </w:pPr>
      <w:r>
        <w:t xml:space="preserve">项目团队人员的身份证复印件；身份证复印件需清晰可辨，并标注“仅用于本次投标使用”字样，既保障人员信息安全，又明确用途限定。</w:t>
      </w:r>
      <w:r/>
    </w:p>
    <w:p>
      <w:pPr>
        <w:pStyle w:val="746"/>
        <w:pBdr/>
        <w:spacing/>
        <w:ind/>
        <w:rPr/>
      </w:pPr>
      <w:r>
        <w:t xml:space="preserve">项目团队人员近三个月的社会保险缴纳证明；社保证明由当地社保部门出具，包含缴费单位、缴费时段等关键信息，能够有效证明人员与投标人之间的真实雇佣关系。</w:t>
      </w:r>
      <w:r/>
    </w:p>
    <w:p>
      <w:pPr>
        <w:pStyle w:val="746"/>
        <w:pBdr/>
        <w:spacing/>
        <w:ind/>
        <w:rPr/>
      </w:pPr>
      <w:r>
        <w:t xml:space="preserve">项目团队人员与投标人签订的劳动合同复印件；劳动合同覆盖项目服务期，并明确岗位职责、保密义务及违约责任，确保人员投入的合法性与稳定性。</w:t>
      </w:r>
      <w:r/>
    </w:p>
    <w:p>
      <w:pPr>
        <w:pBdr/>
        <w:spacing/>
        <w:ind/>
        <w:rPr/>
      </w:pPr>
      <w:r>
        <w:t xml:space="preserve">同时，我方就项目人员保障作出如下承诺：</w:t>
      </w:r>
      <w:r/>
    </w:p>
    <w:p>
      <w:pPr>
        <w:pStyle w:val="746"/>
        <w:pBdr/>
        <w:spacing/>
        <w:ind/>
        <w:rPr/>
      </w:pPr>
      <w:r>
        <w:t xml:space="preserve">项目团队人员全部到岗承诺：在中标后按照投标文件承诺的人员配置，确保全部人员在合同约定时间内到位；具体到岗时间将严格按照项目实施计划执行，并接受招标人全程监督。</w:t>
      </w:r>
      <w:r/>
    </w:p>
    <w:p>
      <w:pPr>
        <w:pStyle w:val="746"/>
        <w:pBdr/>
        <w:spacing/>
        <w:ind/>
        <w:rPr/>
      </w:pPr>
      <w:r>
        <w:t xml:space="preserve">人员稳定性承诺：项目实施期间保持团队稳定，不擅自更换核心人员；我方将通过具有竞争力的薪酬福利和职业发展路径保障团队稳定性，同时建立关键人员备选机制，避免因人员流动影响项目连续性。</w:t>
      </w:r>
      <w:r/>
    </w:p>
    <w:p>
      <w:pPr>
        <w:pStyle w:val="746"/>
        <w:pBdr/>
        <w:spacing/>
        <w:ind/>
        <w:rPr/>
      </w:pPr>
      <w:r>
        <w:t xml:space="preserve">核心人员更换限制承诺：如确需更换，将提前向招标人提出书面申请，经同意后方可更换，且替换人员资历不低于原人员；新到岗人员需经过招标人面试认可，并设置不少于一个月的交接期，确保服务无缝衔接。</w:t>
      </w:r>
      <w:r/>
    </w:p>
    <w:p>
      <w:pPr>
        <w:pBdr/>
        <w:spacing/>
        <w:ind/>
        <w:rPr/>
      </w:pPr>
      <w:r>
        <w:t xml:space="preserve">以上证明材料及承诺函随本部分附件一并提供。所有材料将按照人员姓名、岗位分类编排，形成详细附件索引，方便招标人查阅与评标委员会评审。</w:t>
      </w:r>
      <w:r/>
    </w:p>
    <w:p>
      <w:pPr>
        <w:pStyle w:val="718"/>
        <w:pBdr/>
        <w:spacing/>
        <w:ind/>
        <w:rPr/>
      </w:pPr>
      <w:r/>
      <w:bookmarkStart w:id="105" w:name="_Toc105"/>
      <w:r>
        <w:t xml:space="preserve">8.4.1人员资质证明文件</w:t>
      </w:r>
      <w:bookmarkEnd w:id="105"/>
      <w:r/>
      <w:r/>
    </w:p>
    <w:p>
      <w:pPr>
        <w:pBdr/>
        <w:spacing/>
        <w:ind/>
        <w:rPr/>
      </w:pPr>
      <w:r>
        <w:t xml:space="preserve">为全面支撑第8.2.1节与第8.3.1节中关于项目团队人员配置、技术能力及资质条件的详细陈述，本部分系统汇总并附上项目组全体成员的相关证明文件。所有材料均按照人员名单顺序统一编号，形成清晰、完整的附件索引，确保每位成员的材料与其在团队中的角色、职责和承诺一一对应，便于评审查阅、核对与追溯。</w:t>
      </w:r>
      <w:r/>
    </w:p>
    <w:p>
      <w:pPr>
        <w:pBdr/>
        <w:spacing/>
        <w:ind/>
        <w:rPr/>
      </w:pPr>
      <w:r>
        <w:t xml:space="preserve">附件材料覆盖以下几类证明文件：一是学历证明</w:t>
      </w:r>
      <w:r>
        <w:t xml:space="preserve">，包括各成员最高学历毕业证书，清晰体现毕业院校、专业及学习时间，反映成员的知识背景与理论基础；二是学位证明，包括学士、硕士或博士学位证书，进一步印证成员在信息安全、计算机科学、通信工程等相关领域的学术水平；三是身份证明，即全体成员的有效身份证件扫描件，用于确认人员身份的真实性与唯一性，确保项目团队人员信息与投标文件完全一致；四是专业资质证书，涵盖CISP、CISSP、CISA、PMP、OSCP、CEH等国内外广泛认可的信息安全与项目管理类资质，以及各类专项技术认证，充分证明成员具备承担本项目所需的专业能力。</w:t>
      </w:r>
      <w:r/>
    </w:p>
    <w:p>
      <w:pPr>
        <w:pBdr/>
        <w:spacing/>
        <w:ind/>
        <w:rPr/>
      </w:pPr>
      <w:r>
        <w:t xml:space="preserve">所有扫描件均为原件的清晰彩色扫描，关键信息完整可辨，无遮挡、涂改或模糊情况。附件中每一份文件均标注与人员名单对应的姓名和编号，同时在第8.2.1节和第8.3.1节的人员配置描述中明确引用相应附件编号，形成“正文描述—附件证明”的闭环对应关系。此外，纸质版投标文件与电子版投标文件所附材料完全一致，评标委员会可随时抽取任何一名成员的材料进行核验。</w:t>
      </w:r>
      <w:r/>
    </w:p>
    <w:p>
      <w:pPr>
        <w:pBdr/>
        <w:spacing/>
        <w:ind/>
        <w:rPr/>
      </w:pPr>
      <w:r>
        <w:t xml:space="preserve">通过以上系统化的资料整理与呈现，确保本项目人员资质证明材料具有高度的完整性、规范性和可查性，充分满足招标文件对人员资质证明的严格审查要求，也为项目后续履约过程中人员管理提供了坚实依据。</w:t>
      </w:r>
      <w:r/>
    </w:p>
    <w:p>
      <w:pPr>
        <w:pStyle w:val="718"/>
        <w:pBdr/>
        <w:spacing/>
        <w:ind/>
        <w:rPr/>
      </w:pPr>
      <w:r/>
      <w:bookmarkStart w:id="106" w:name="_Toc106"/>
      <w:r>
        <w:t xml:space="preserve">8.4.2人员稳定性与替换管理承诺</w:t>
      </w:r>
      <w:bookmarkEnd w:id="106"/>
      <w:r/>
      <w:r/>
    </w:p>
    <w:p>
      <w:pPr>
        <w:pBdr/>
        <w:spacing/>
        <w:ind/>
        <w:rPr/>
      </w:pPr>
      <w:r>
        <w:t xml:space="preserve">作为本项目的投标人，我公司（北京国舜科技股份有限公司）郑重承诺，在项目服务期内严格保障人员稳定性，具体措施如下：</w:t>
      </w:r>
      <w:r/>
    </w:p>
    <w:p>
      <w:pPr>
        <w:pBdr/>
        <w:spacing/>
        <w:ind/>
        <w:rPr/>
      </w:pPr>
      <w:r>
        <w:rPr>
          <w:b/>
        </w:rPr>
        <w:t xml:space="preserve">在场率承诺：</w:t>
      </w:r>
      <w:r>
        <w:t xml:space="preserve"> 项目经理及技术骨干按合同约定到岗，关键人员到场率满足项目进度要求，因故缺勤时安排同等级别人员代岗。为确保到场率可量化、可考核，我方将建立人员考勤与到场率统计机制，定期向采购人报送人员到场情况报告，接受采购人监督。对于关键时期或重大保障任务，现场服务人员实行无缺勤管理，确保服务资源投入充足。</w:t>
      </w:r>
      <w:r/>
    </w:p>
    <w:p>
      <w:pPr>
        <w:pBdr/>
        <w:spacing/>
        <w:ind/>
        <w:rPr/>
      </w:pPr>
      <w:r>
        <w:rPr>
          <w:b/>
        </w:rPr>
        <w:t xml:space="preserve">更换条件：</w:t>
      </w:r>
      <w:r>
        <w:t xml:space="preserve"> 未经采购人书面同意，绝不擅自更换项目经理和技术骨干。确因不可抗力或健康原因需要更换时，提前提交书面申请，说明理由，并保证替代人员资历、能力不低于原人员。同时，我方将建立人员更换评估机制，由项目总监、人力资源部门共同审核更换必要性，确保更换行为合理、审慎。</w:t>
      </w:r>
      <w:r/>
    </w:p>
    <w:p>
      <w:pPr>
        <w:pBdr/>
        <w:spacing/>
        <w:ind/>
        <w:rPr/>
      </w:pPr>
      <w:r>
        <w:rPr>
          <w:b/>
        </w:rPr>
        <w:t xml:space="preserve">通知与交接：</w:t>
      </w:r>
      <w:r>
        <w:t xml:space="preserve"> 人员更换前，及时书面通知采购人并征求其同意，同时安排充分的工作交接和知识转移，确保服务连续性。具体而言，若因特殊原因确需更换人员，我方应在充分预留的时间内向采购人提交书面申请，并保证紧急情况下亦不中断沟通。交接期间，原人员与替代人员应并行工作一段时间，完整移交项目文档、配置信息、工作记录及未决事项，并由采购人确认交接完成后方可离岗。</w:t>
      </w:r>
      <w:r/>
    </w:p>
    <w:p>
      <w:pPr>
        <w:pBdr/>
        <w:spacing/>
        <w:ind/>
        <w:rPr/>
      </w:pPr>
      <w:r>
        <w:rPr>
          <w:b/>
        </w:rPr>
        <w:t xml:space="preserve">知识转移机制：</w:t>
      </w:r>
      <w:r>
        <w:t xml:space="preserve"> 我方将为每个关键岗位建立知识库，涵盖安全服务流程、客户环境信息、历史事件处理记录、工具使用说明等，确保人员变动时知识资产可高效转移。同时，定期开展内部技术交流和培训，使后备人员熟悉项目情况，缩短替代适应期。</w:t>
      </w:r>
      <w:r/>
    </w:p>
    <w:p>
      <w:pPr>
        <w:pBdr/>
        <w:spacing/>
        <w:ind/>
        <w:rPr/>
      </w:pPr>
      <w:r>
        <w:rPr>
          <w:b/>
        </w:rPr>
        <w:t xml:space="preserve">人员稳定性考核与激励：</w:t>
      </w:r>
      <w:r>
        <w:t xml:space="preserve"> 我方将人员稳定性纳入项目考核指标，对服务期内主动离职或无故更换人员的行为进行内部追责，并对稳定服务一定期限的团队成员给予专项激励，从制度上保障团队稳定性。</w:t>
      </w:r>
      <w:r/>
    </w:p>
    <w:p>
      <w:pPr>
        <w:pBdr/>
        <w:spacing/>
        <w:ind/>
        <w:rPr/>
      </w:pPr>
      <w:r>
        <w:rPr>
          <w:b/>
        </w:rPr>
        <w:t xml:space="preserve">违约责任：</w:t>
      </w:r>
      <w:r>
        <w:t xml:space="preserve"> 若违反上述承诺，我公司愿按合同约定承担违约责任并接受相应处罚，同时无条件配合采购人采取补救措施。</w:t>
      </w:r>
      <w:r/>
    </w:p>
    <w:p>
      <w:pPr>
        <w:pStyle w:val="716"/>
        <w:pBdr/>
        <w:spacing/>
        <w:ind/>
        <w:rPr/>
      </w:pPr>
      <w:r/>
      <w:bookmarkStart w:id="107" w:name="_Toc107"/>
      <w:r>
        <w:t xml:space="preserve">九、需求清单点对点应答</w:t>
      </w:r>
      <w:bookmarkEnd w:id="107"/>
      <w:r/>
      <w:r/>
    </w:p>
    <w:p>
      <w:pPr>
        <w:pBdr/>
        <w:spacing/>
        <w:ind/>
        <w:rPr/>
      </w:pPr>
      <w:r>
        <w:rPr>
          <w:b/>
        </w:rPr>
        <w:t xml:space="preserve">应答说明：</w:t>
      </w:r>
      <w:r>
        <w:t xml:space="preserve"> 本项目招标文件所列各项技术、服务及商务要求，我公司已逐条审阅并应答。所有条款均无负偏离，其中大部分为完全响应，部分条款优于招标要求，为正偏离。每条需求的具体响应内容已在投标文件相应章节中详细展开，并在章节内标注了对应的需求条款号，以便对照。</w:t>
      </w:r>
      <w:r/>
    </w:p>
    <w:p>
      <w:pPr>
        <w:pBdr/>
        <w:spacing/>
        <w:ind/>
        <w:rPr/>
      </w:pPr>
      <w:r>
        <w:t xml:space="preserve">应答范围覆盖招标文件全部需求条款，包括技术规范、服务要求、资质条件、交付物及考核指标等。我公司采用逐条核对、逐项佐证的方式，确保每一条需求均有明确的响应结论和支撑材料。对于涉及服务流程、技术指标、人员配置、交付物等要求，均在对应章节中提供了具体方案和证明材料，做到需求响应可核查、可追溯。</w:t>
      </w:r>
      <w:r/>
    </w:p>
    <w:p>
      <w:pPr>
        <w:pBdr/>
        <w:spacing/>
        <w:ind/>
        <w:rPr/>
      </w:pPr>
      <w:r>
        <w:rPr>
          <w:b/>
        </w:rPr>
        <w:t xml:space="preserve">索引方式：</w:t>
      </w:r>
      <w:r>
        <w:t xml:space="preserve"> 为便于评审专家快速查验，我公司另附《需求点对点应答表》，该表以逐条列表形式载明条款号、需求描述、应答结论（完全响应/正偏离/负偏离）、响应说明及对应章节索引。应答表与正文内容完全一致，若有歧义，以正文详细描述为准。</w:t>
      </w:r>
      <w:r/>
    </w:p>
    <w:p>
      <w:pPr>
        <w:pBdr/>
        <w:spacing/>
        <w:ind/>
        <w:rPr/>
      </w:pPr>
      <w:r>
        <w:t xml:space="preserve">应答表中每条记录均包含条款编号、需求原文摘要、应答类型、响应说明及对应章节索引。其中响应说明简明扼要地阐述我公司的满足方式或优于要求的具体内容；对应章节索引则指向投标文件正文中详细论述的位置，便于评审专家对照查验。若某项需求涉及多个方面，应答表将拆分为多个条目分别应答，确保无遗漏、无歧义。</w:t>
      </w:r>
      <w:r/>
    </w:p>
    <w:p>
      <w:pPr>
        <w:pBdr/>
        <w:spacing/>
        <w:ind/>
        <w:rPr/>
      </w:pPr>
      <w:r>
        <w:rPr>
          <w:b/>
        </w:rPr>
        <w:t xml:space="preserve">承诺声明：</w:t>
      </w:r>
      <w:r>
        <w:t xml:space="preserve"> 对标注“完全响应”的条款，我公司承诺完全满足招标要求；对标注“正偏离”的条款，我公司承诺按优于招标要求的标准执行。本声明构成投标文件的有效组成部分。</w:t>
      </w:r>
      <w:r/>
    </w:p>
    <w:p>
      <w:pPr>
        <w:pBdr/>
        <w:spacing/>
        <w:ind/>
        <w:rPr/>
      </w:pPr>
      <w:r>
        <w:t xml:space="preserve">我公司建立了完善的偏离项管理制度，对确因客观条件无法完全满足的需求，将及时在应答表中如实标注负偏离并说明原因及替代方案。经逐条核对，本项目全部需求均无负偏离，部分条款我公司凭借技术优势和行业经验主动提升服务水平，形成正偏离项。这些正偏离项的具体内容与落实措施已在响应说明中列明，并作为投标承诺严格执行。</w:t>
      </w:r>
      <w:r/>
    </w:p>
    <w:p>
      <w:pPr>
        <w:pStyle w:val="717"/>
        <w:pBdr/>
        <w:spacing/>
        <w:ind/>
        <w:rPr/>
      </w:pPr>
      <w:r/>
      <w:bookmarkStart w:id="108" w:name="_Toc108"/>
      <w:r>
        <w:t xml:space="preserve">9.1需求清单应答总体说明</w:t>
      </w:r>
      <w:bookmarkEnd w:id="108"/>
      <w:r/>
      <w:r/>
    </w:p>
    <w:p>
      <w:pPr>
        <w:pBdr/>
        <w:spacing/>
        <w:ind/>
        <w:rPr/>
      </w:pPr>
      <w:r>
        <w:t xml:space="preserve">本部分为需求清单应答总体说明，针对中邮资管2026-2027年网络安全服务采购项目，明确我方对招标需求清单的应答方式、应答书结构、应答原则及承诺保证，作为后续各项应答的总纲。</w:t>
      </w:r>
      <w:r/>
    </w:p>
    <w:p>
      <w:pPr>
        <w:pBdr/>
        <w:spacing/>
        <w:ind/>
        <w:rPr/>
      </w:pPr>
      <w:r>
        <w:t xml:space="preserve">应答方式上，采用逐条点对点应答，对照需求清单逐项响应，每项均明确响应状态与相关说明，确保无遗漏、无偏离。</w:t>
      </w:r>
      <w:r/>
    </w:p>
    <w:p>
      <w:pPr>
        <w:pBdr/>
        <w:spacing/>
        <w:ind/>
        <w:rPr/>
      </w:pPr>
      <w:r>
        <w:t xml:space="preserve">应答书结构方面，按需求类别划分模块，后续九.1.1、九.2.1、九.3.1等子章节分别对应技术、服务、商务等需求的详细应答，形成清晰的组织逻辑。</w:t>
      </w:r>
      <w:r/>
    </w:p>
    <w:p>
      <w:pPr>
        <w:pBdr/>
        <w:spacing/>
        <w:ind/>
        <w:rPr/>
      </w:pPr>
      <w:r>
        <w:t xml:space="preserve">应答原则为实事求是、完全响应，严格依据招标文件并结合实际情况应答，不虚假承诺，对未尽事宜提出合理建议。</w:t>
      </w:r>
      <w:r/>
    </w:p>
    <w:p>
      <w:pPr>
        <w:pBdr/>
        <w:spacing/>
        <w:ind/>
        <w:rPr/>
      </w:pPr>
      <w:r>
        <w:t xml:space="preserve">承诺保证上，我方郑重承诺投标文件内容真实、合法、有效，如中标将严格履行合同义务，提供优质网络安全服务。</w:t>
      </w:r>
      <w:r/>
    </w:p>
    <w:p>
      <w:pPr>
        <w:pBdr/>
        <w:spacing/>
        <w:ind/>
        <w:rPr/>
      </w:pPr>
      <w:r>
        <w:t xml:space="preserve">后续章节将依此展开具体应答内容。</w:t>
      </w:r>
      <w:r/>
    </w:p>
    <w:p>
      <w:pPr>
        <w:pBdr/>
        <w:spacing/>
        <w:ind/>
        <w:rPr/>
      </w:pPr>
      <w:r>
        <w:t xml:space="preserve">为便于查阅与评审，应答书在编排上采用“需求编号—应答内容—响应状态—索引位置”四要素对照方式：每条需求均准确引用招标文件中的需求编号，逐条给出具</w:t>
      </w:r>
      <w:r>
        <w:t xml:space="preserve">体应答、结论说明及对应正文索引，确保一一对应、有据可查。同时，响应状态分为“完全响应”“正偏离”“负偏离”三类，凡涉及偏离项，均在“偏离项说明与符合度承诺”中集中列明原因及替代方案，做到透明可控。在内容组织上，九.1.1集中于技术能力与实施方案的应答，九.2.1集中于服务保障与项目管理，九.3.1集中于商务条件与资质证明，与招标文件的需求类别保持严格一致。本总体说明作为上述应答的总纲，旨在帮助评标专家快速定位需求点、理解应答逻辑，后续各章节均在本总体说明的框架下展开，确保整体应答的完整性、一致性和可追溯性。</w:t>
      </w:r>
      <w:r/>
    </w:p>
    <w:p>
      <w:pPr>
        <w:pStyle w:val="718"/>
        <w:pBdr/>
        <w:spacing/>
        <w:ind/>
        <w:rPr/>
      </w:pPr>
      <w:r/>
      <w:bookmarkStart w:id="109" w:name="_Toc109"/>
      <w:r>
        <w:t xml:space="preserve">9.1.1技术规范整体理解与响应策略</w:t>
      </w:r>
      <w:bookmarkEnd w:id="109"/>
      <w:r/>
      <w:r/>
    </w:p>
    <w:p>
      <w:pPr>
        <w:pBdr/>
        <w:spacing/>
        <w:ind/>
        <w:rPr/>
      </w:pPr>
      <w:r>
        <w:t xml:space="preserve">本项目为中邮资管2026-2027年网络安全服务采购项目，服务周期两年。我公司对技术规范整体解读后认为</w:t>
      </w:r>
      <w:r>
        <w:t xml:space="preserve">，项目核心是构建覆盖监测、分析、响应、处置全链条的安全运营体系，持续提升防护能力。技术规范强调体系化建设与持续运营，覆盖安全监测、风险管理、漏洞治理、应急响应、数据安全、合规审计等多个方面，体现了从被动防御向主动防御的转变。重点难点包括：海量告警下精准识别真实威胁，需要借助关联分析和威胁情报消除噪声；应急响应与处置的协同联动，要求流程化、角色化和工具化贯通；安全服务与业务场景的融合，必须在保障安全的同时不影响业务连续性；安全知识转移与能力沉淀也是长期价值所在，通过培训和文档化让客户团队具备自主安全运营能力。</w:t>
      </w:r>
      <w:r/>
    </w:p>
    <w:p>
      <w:pPr>
        <w:pBdr/>
        <w:spacing/>
        <w:ind/>
        <w:rPr/>
      </w:pPr>
      <w:r>
        <w:t xml:space="preserve">响应策略上，我公司采用“安全运营中心+技术与管理双体系”架构，通过标准化流程和自动化工具，保障安全运营闭环。技术体系围绕资产、漏洞、威胁、事件四大要素，构建全生命周期管理；管理体系涵盖策略制定、流程审批、考核指标与持续改进机制。基于智能安全运营平台，聚合多源日志与流量数据，提供安全监测、威胁狩猎、应急处置、安全加固等服务，并以定期评估驱动持续改进。</w:t>
      </w:r>
      <w:r/>
    </w:p>
    <w:p>
      <w:pPr>
        <w:pBdr/>
        <w:spacing/>
        <w:ind/>
        <w:rPr/>
      </w:pPr>
      <w:r>
        <w:t xml:space="preserve">总体实施方案采用驻场与远程结合模式，严格按照规范制定服务清单与质量指标。驻场安全工程师负责日常监测、分析与即时响应，远程专家团队提供深度研判、专项评估和复杂问题处置支持，确保安全运营服务的连续性与及时性。实施过程分为准备、执行、优化三个阶段，各阶段均设置明确交付物和验收标准。创新方面，集成威胁情报联动与AI辅助分析，提升未知威胁发现能力；引入安全编排与自动化响应技术，将常用处置流程固化并自动触发；构建客户专属安全知识库，沉淀案例和处置方案；并通过安全可视化看板辅助管理决策，直观展示风险态势和运营绩效。</w:t>
      </w:r>
      <w:r/>
    </w:p>
    <w:p>
      <w:pPr>
        <w:pStyle w:val="718"/>
        <w:pBdr/>
        <w:spacing/>
        <w:ind/>
        <w:rPr/>
      </w:pPr>
      <w:r/>
      <w:bookmarkStart w:id="110" w:name="_Toc110"/>
      <w:r>
        <w:t xml:space="preserve">9.1.2点对点应答索引与符合度汇总</w:t>
      </w:r>
      <w:bookmarkEnd w:id="110"/>
      <w:r/>
      <w:r/>
    </w:p>
    <w:p>
      <w:pPr>
        <w:pBdr/>
        <w:spacing/>
        <w:ind/>
        <w:rPr/>
      </w:pPr>
      <w:r>
        <w:rPr>
          <w:b/>
        </w:rPr>
        <w:t xml:space="preserve">索引编制规则：</w:t>
      </w:r>
      <w:r>
        <w:t xml:space="preserve"> 按招标文件需求条目顺序，建立需求条款与应答章节的对应索引，并逐条标注满足情况。索引表是需求清单点对点应答的导航目录，旨在辅助评审专家快速定位每一项技术需求的具体应答位置及符合度结论。</w:t>
      </w:r>
      <w:r/>
    </w:p>
    <w:p>
      <w:pPr>
        <w:pBdr/>
        <w:spacing/>
        <w:ind/>
        <w:rPr/>
      </w:pPr>
      <w:r>
        <w:t xml:space="preserve">索引表按招标文件《技术规范书》及《需求清单》中的条目顺序编排，涵盖安全服务范围、服务内容、技术要求、服务流程、交付物要求、人员要求、时限要求等全部技术需求点。每条索引记录包含需求编号、需求描述摘要、应答章节位置、应答页码及满足情况标注，确保评审专家能够快速定位我方应答内容。索引表结构清晰、层级分明，与第九部分应答正文一一对应，便于逐项核对。</w:t>
      </w:r>
      <w:r/>
    </w:p>
    <w:p>
      <w:pPr>
        <w:pBdr/>
        <w:spacing/>
        <w:ind/>
        <w:rPr/>
      </w:pPr>
      <w:r>
        <w:t xml:space="preserve">索引表的具体编制方法如下：首先，对招标文件全部需求条款进行逐条拆解与编号，确保不遗漏任何一项隐性或显性要求；其次，将各需求条款与第九部分应答正文中的对应段落建立映射关系，并记录精确的章节编号和页码；最后，根据应答内容的完整程度，对每条需求标注“完全满足”“部分满足”或“偏离”的符合度结论。索引表还特别设置了备注栏，用于说明涉及证明材料、资质文件或承诺声明的对应位置，方便评审专家交叉查验。</w:t>
      </w:r>
      <w:r/>
    </w:p>
    <w:p>
      <w:pPr>
        <w:pBdr/>
        <w:spacing/>
        <w:ind/>
        <w:rPr/>
      </w:pPr>
      <w:r>
        <w:t xml:space="preserve">索引表共分为五个栏位：序号、需求条款、应答章节、应答页码、满足情况。其中序号与招标文件需求编号严格对应；需求条款为该条目的核心内容摘要，提取自招标文件原文；应答章节和页码精确指向第九部分应答正文的具体位置；满足情况以“完全满足”“部分满足”或“偏离”三种状态标识。本次投标所有条目均为“完全满足”，故索引表中不出现部分满足或偏离标识，备注栏仅用于注明相关证明材料或承诺函的存放位置。</w:t>
      </w:r>
      <w:r/>
    </w:p>
    <w:p>
      <w:pPr>
        <w:pBdr/>
        <w:spacing/>
        <w:ind/>
        <w:rPr/>
      </w:pPr>
      <w:r>
        <w:rPr>
          <w:b/>
        </w:rPr>
        <w:t xml:space="preserve">符合度汇总：</w:t>
      </w:r>
      <w:r>
        <w:t xml:space="preserve"> 全部技术需求点对点应答均为完全满足，无部分满足或偏离项。具体答复见第九部分对应章节。</w:t>
      </w:r>
      <w:r/>
    </w:p>
    <w:p>
      <w:pPr>
        <w:pBdr/>
        <w:spacing/>
        <w:ind/>
        <w:rPr/>
      </w:pPr>
      <w:r>
        <w:t xml:space="preserve">符合度汇总说明如下：经逐条核对，我方针对全部技术需求点均提供了完整、明确的应答，满足情况均为“完全满足”，不存在“部分满足”或“偏离”项。总计需求条目数量与招标文件完全一致，应答覆盖率为100%。对于涉及承诺性、资质性、经验性的需求，我方在应答中均附有相应的证明材料或明确承诺，确保符合度真实有效。具体各条目的应答位置和满足情况详见本部分索引表，详细答复内容见第九部分对应章节。若评审过程中对任何条目的符合度有疑义，我方愿意进一步提供补充说明或证明材料。</w:t>
      </w:r>
      <w:r/>
    </w:p>
    <w:p>
      <w:pPr>
        <w:pBdr/>
        <w:spacing/>
        <w:ind/>
        <w:rPr/>
      </w:pPr>
      <w:r>
        <w:t xml:space="preserve">为确保符合度汇总的准确性和可追溯性，我方建立了内部复核机</w:t>
      </w:r>
      <w:r>
        <w:t xml:space="preserve">制：在编制应答文件时，由项目团队对照招标文件逐项检查，再由质量审核组独立复核，确保每一条需求均有对应应答且结论准确。所有“完全满足”的结论均以实际方案、人员配置、资质证书或承诺函件为支撑，不存在虚假响应或含混表述。对于可能引起歧义的条款，我方在应答中额外进行了说明，确保评审专家能够理解我方技术方案的覆盖范围与实现方式。本部分索引表与第九部分应答正文配套使用，评审专家可先通过索引表掌握整体应答布局，再按需跳转至具体章节进行详细核验。索引表仅提供索引和符合度汇总，不重复展开应答内容，以保证文件精炼性和查阅效率。</w:t>
      </w:r>
      <w:r/>
    </w:p>
    <w:p>
      <w:pPr>
        <w:pStyle w:val="717"/>
        <w:pBdr/>
        <w:spacing/>
        <w:ind/>
        <w:rPr/>
      </w:pPr>
      <w:r/>
      <w:bookmarkStart w:id="111" w:name="_Toc111"/>
      <w:r>
        <w:t xml:space="preserve">9.2技术需求逐项应答</w:t>
      </w:r>
      <w:bookmarkEnd w:id="111"/>
      <w:r/>
      <w:r/>
    </w:p>
    <w:p>
      <w:pPr>
        <w:pBdr/>
        <w:spacing/>
        <w:ind/>
        <w:rPr/>
      </w:pPr>
      <w:r>
        <w:t xml:space="preserve">本章作为技术需求逐项应答的总述章节，旨在系统性地回应招标文件中对网络安全服务的全部技术要求。编制过程中，我们严格遵循招标文件的需求清单，逐一对照、逐条响应，确保应答内容完整、准确、可查。本章首先阐明应答的编制原则、结构安排和覆盖范围，随后概括介绍整体响应策略与符合性声明，为后续各子章节的详细应答提供指引。</w:t>
      </w:r>
      <w:r/>
    </w:p>
    <w:p>
      <w:pPr>
        <w:pBdr/>
        <w:spacing/>
        <w:ind/>
        <w:rPr/>
      </w:pPr>
      <w:r>
        <w:t xml:space="preserve">在编制原则上，我们坚持需求导向、客观真实、详略得当的原则。所有应答均以招标文件为基准，结合我公司在网络安全领域的丰富实践和技术积累，对每一项技术需求给出明确、具体的响应方案。同时，我们注重应答的可读性和可评审性，统一采用“需求理解—响应方案—支撑材料”的结构，便于评标专家快速定位和判断。</w:t>
      </w:r>
      <w:r/>
    </w:p>
    <w:p>
      <w:pPr>
        <w:pBdr/>
        <w:spacing/>
        <w:ind/>
        <w:rPr/>
      </w:pPr>
      <w:r>
        <w:t xml:space="preserve">在结构安排上，本章按照招标文件的技术需求顺序，逐项建立应答索引。每个需求项均单独成节，标明对应的需求编号和需求内容，并附上详细的响应说明。子章节中既包含对技术指标的直接响应，也包含对服务过程、交付成果、人员配置等非功能性需求的说明，确保全覆盖、无死角。</w:t>
      </w:r>
      <w:r/>
    </w:p>
    <w:p>
      <w:pPr>
        <w:pBdr/>
        <w:spacing/>
        <w:ind/>
        <w:rPr/>
      </w:pPr>
      <w:r>
        <w:t xml:space="preserve">在覆盖范围上，本章应答涵盖漏洞扫描、渗透测试、安全运维、应急响应、安全评估、安全培训等全部技术模块，以及工具自主可控、漏洞库协作、安全研究等能力要求。我公司承诺以最高标准完成各项技术任务，并在此基础上提供增值服务，帮助贵单位构建更加坚实的安全防线。</w:t>
      </w:r>
      <w:r/>
    </w:p>
    <w:p>
      <w:pPr>
        <w:pBdr/>
        <w:spacing/>
        <w:ind/>
        <w:rPr/>
      </w:pPr>
      <w:r>
        <w:t xml:space="preserve">在整体响应策略上，我公司对招标文件中的技术需求完全响应、无偏离。对于可量化的技术指标，我们承诺全部达标；对于定性要求，我们提供详尽的实现路径和保障措施。同时，我们结合项目实际，识别出若干关键技术难点，并制定了针对性应对策略，确保项目顺利实施。</w:t>
      </w:r>
      <w:r/>
    </w:p>
    <w:p>
      <w:pPr>
        <w:pBdr/>
        <w:spacing/>
        <w:ind/>
        <w:rPr/>
      </w:pPr>
      <w:r>
        <w:t xml:space="preserve">最后，我们郑重声明：本章及后续子章节的应答内容真实有效，我公司完全具备履行合同的技术能力和服务能力。若中标，我们将严格按照应答内容组织项目实施，接受贵单位的监督与考核，确保各项技术需求落地见效。具体逐项应答内容详见后续各子章节。</w:t>
      </w:r>
      <w:r/>
    </w:p>
    <w:p>
      <w:pPr>
        <w:pStyle w:val="718"/>
        <w:pBdr/>
        <w:spacing/>
        <w:ind/>
        <w:rPr/>
      </w:pPr>
      <w:r/>
      <w:bookmarkStart w:id="112" w:name="_Toc112"/>
      <w:r>
        <w:t xml:space="preserve">9.2.1网络安全运营需求应答</w:t>
      </w:r>
      <w:bookmarkEnd w:id="112"/>
      <w:r/>
      <w:r/>
    </w:p>
    <w:p>
      <w:pPr>
        <w:pBdr/>
        <w:spacing/>
        <w:ind/>
        <w:rPr/>
      </w:pPr>
      <w:r>
        <w:t xml:space="preserve">针对中邮资管2026-2027年网络安全服务采购项目的网络安全运营需求，我公司（北京国舜科技股份有限公司）提供覆盖安全运营全流程的服务方案，具体内容如下：</w:t>
      </w:r>
      <w:r/>
    </w:p>
    <w:p>
      <w:pPr>
        <w:pBdr/>
        <w:spacing/>
        <w:ind/>
        <w:rPr/>
      </w:pPr>
      <w:r>
        <w:rPr>
          <w:b/>
        </w:rPr>
        <w:t xml:space="preserve">服务内容：</w:t>
      </w:r>
      <w:r/>
    </w:p>
    <w:p>
      <w:pPr>
        <w:pStyle w:val="746"/>
        <w:pBdr/>
        <w:spacing/>
        <w:ind/>
        <w:rPr/>
      </w:pPr>
      <w:r>
        <w:t xml:space="preserve">安全监测与日志分析：对网络流量、安全设备、主机服务器日志进行实时采集与分析，发现潜在风险并告警。采集范围涵盖边界防火墙、入侵检测系统、Web应用防火墙、核心交换机及关键业务服务器，通过关联分析识别异常行为与攻击迹象，并保留原始证据链，确保事件可追溯。</w:t>
      </w:r>
      <w:r/>
    </w:p>
    <w:p>
      <w:pPr>
        <w:pStyle w:val="746"/>
        <w:pBdr/>
        <w:spacing/>
        <w:ind/>
        <w:rPr/>
      </w:pPr>
      <w:r>
        <w:t xml:space="preserve">漏洞管理：定期开展漏洞扫描、风险评估，协助完成漏洞修复并进行复验。扫描覆盖互联网暴露面与内网核心资产，依据风险等级确定修复优先级，持续跟踪整改状态，并输出漏洞管理台账。</w:t>
      </w:r>
      <w:r/>
    </w:p>
    <w:p>
      <w:pPr>
        <w:pStyle w:val="746"/>
        <w:pBdr/>
        <w:spacing/>
        <w:ind/>
        <w:rPr/>
      </w:pPr>
      <w:r>
        <w:t xml:space="preserve">威胁情报与预警：结合外部威胁情报，持续追踪安全态势，及时发布预警信息。情报来源包括国家级漏洞库、行业威胁情报共享机制及商业威胁情报平台，经研判后转换为可执行的检测规则与防御策略，并通过邮件、短信、平台弹窗等方式及时通知相关人员。</w:t>
      </w:r>
      <w:r/>
    </w:p>
    <w:p>
      <w:pPr>
        <w:pStyle w:val="746"/>
        <w:pBdr/>
        <w:spacing/>
        <w:ind/>
        <w:rPr/>
      </w:pPr>
      <w:r>
        <w:t xml:space="preserve">安全事件应急：建立应急响应机制，提供全天候应急支持，快速遏制和处置安全事件。应急响应按照事件级别分级启动，处置过程中同步开展溯源分析并提取攻击特征，事后组织复盘更新应急预案，不断优化响应流程。</w:t>
      </w:r>
      <w:r/>
    </w:p>
    <w:p>
      <w:pPr>
        <w:pStyle w:val="746"/>
        <w:pBdr/>
        <w:spacing/>
        <w:ind/>
        <w:rPr/>
      </w:pPr>
      <w:r>
        <w:t xml:space="preserve">安全加固与复测：对信息资产进行安全基线核查，提供加固建议并验证加固结果。基线范围覆盖操作系统、数据库、中间件及网络设备，结合业务连续性要求与等级保护标准提出加固建议，加固完成后进行复测确认，避免引入新风险。</w:t>
      </w:r>
      <w:r/>
    </w:p>
    <w:p>
      <w:pPr>
        <w:pBdr/>
        <w:spacing/>
        <w:ind/>
        <w:rPr/>
      </w:pPr>
      <w:r>
        <w:rPr>
          <w:b/>
        </w:rPr>
        <w:t xml:space="preserve">服务流程与方式：</w:t>
      </w:r>
      <w:r/>
    </w:p>
    <w:p>
      <w:pPr>
        <w:pBdr/>
        <w:spacing/>
        <w:ind/>
        <w:rPr/>
      </w:pPr>
      <w:r>
        <w:t xml:space="preserve">采用“监测—分析</w:t>
      </w:r>
      <w:r>
        <w:t xml:space="preserve">—处置—优化”的闭环运行模式，结合安全运营平台与人工专家研判，确保各类安全需求得到及时响应和有效落实。监测阶段通过实时采集网络流量、日志和告警数据，形成统一安全视图；分析阶段利用关联规则、行为分析、威胁情报等技术手段，对告警进行去重、归并与研判，输出高价值的安全事件；处置阶段对确认的事件启动应急或日常处置流程，协调相关团队完成阻断、隔离、修复和恢复；优化阶段根据运营数据持续改进检测规则、防护策略和运营流程，提升整体安全防护水平。服务方式以远程运营为主，结合定期现场巡检和专项现场支持，确保沟通顺畅、响应及时。</w:t>
      </w:r>
      <w:r/>
    </w:p>
    <w:p>
      <w:pPr>
        <w:pBdr/>
        <w:spacing/>
        <w:ind/>
        <w:rPr/>
      </w:pPr>
      <w:r>
        <w:rPr>
          <w:b/>
        </w:rPr>
        <w:t xml:space="preserve">服务标准与SLA：</w:t>
      </w:r>
      <w:r/>
    </w:p>
    <w:p>
      <w:pPr>
        <w:pBdr/>
        <w:spacing/>
        <w:ind/>
        <w:rPr/>
      </w:pPr>
      <w:r>
        <w:t xml:space="preserve">服务标准严格遵循招标文件及国家相关安全规范要求，包含明确的响应时效、处理流程和汇报机制，并建立量化考核指标，确保服务质量可度量、可改进。各类安全服务的交付时限、质量要求与汇报频次均有明确约定，针对不同安全事件定义分级响应要求，量化指标定期汇总分析，根据考核结果制定改进措施，形成服务质量持续提升的闭环。</w:t>
      </w:r>
      <w:r/>
    </w:p>
    <w:p>
      <w:pPr>
        <w:pBdr/>
        <w:spacing/>
        <w:ind/>
        <w:rPr/>
      </w:pPr>
      <w:r>
        <w:rPr>
          <w:b/>
        </w:rPr>
        <w:t xml:space="preserve">交付物与考核指标：</w:t>
      </w:r>
      <w:r/>
    </w:p>
    <w:p>
      <w:pPr>
        <w:pBdr/>
        <w:spacing/>
        <w:ind/>
        <w:rPr/>
      </w:pPr>
      <w:r>
        <w:t xml:space="preserve">交付物包括安全监测报告、漏洞扫描修复报告、应急响应报告、安全运营月报等。考核指标涵盖威胁发现率、事件响应及时率、漏洞修复完成率等，所有指标均接受招标人监督与评估。安全监测报告对日常监测和重点事件进行专项分析，漏洞扫描修复报告记录漏洞发现与整改状态，应急响应报告完整呈现处置过程与结论，安全运营月报汇总当月安全态势、运营成效及下一步计划。</w:t>
      </w:r>
      <w:r/>
    </w:p>
    <w:p>
      <w:pPr>
        <w:pBdr/>
        <w:spacing/>
        <w:ind/>
        <w:rPr/>
      </w:pPr>
      <w:r>
        <w:t xml:space="preserve">通过上述服务，我公司将保障招标人网络与信息系统的持续安全运营。</w:t>
      </w:r>
      <w:r/>
    </w:p>
    <w:p>
      <w:pPr>
        <w:pStyle w:val="718"/>
        <w:pBdr/>
        <w:spacing/>
        <w:ind/>
        <w:rPr/>
      </w:pPr>
      <w:r/>
      <w:bookmarkStart w:id="113" w:name="_Toc113"/>
      <w:r>
        <w:t xml:space="preserve">9.2.2渗透测试与攻防演练需求应答</w:t>
      </w:r>
      <w:bookmarkEnd w:id="113"/>
      <w:r/>
      <w:r/>
    </w:p>
    <w:p>
      <w:pPr>
        <w:pBdr/>
        <w:spacing/>
        <w:ind/>
        <w:rPr/>
      </w:pPr>
      <w:r>
        <w:t xml:space="preserve">我司完全响应并满足招标文件对渗透测试与攻防演练的所有技术要求。作为专业安全服务商，我司将依托多年的安全测试经验、成熟的方法论体系及丰富的金融行业服务案例，为中邮资管提供高质量、高可信度的渗透测试与攻防演练服务，确保各项测试活动有序开展、结果精准、闭环可控。</w:t>
      </w:r>
      <w:r/>
    </w:p>
    <w:p>
      <w:pPr>
        <w:pBdr/>
        <w:spacing/>
        <w:ind/>
        <w:rPr/>
      </w:pPr>
      <w:r>
        <w:t xml:space="preserve">需求理解：渗透测试旨在通过模拟真实攻击者的技术与行为，主动发现业务系统、网络架构、应用逻辑中存在的安全隐患与脆弱点；攻防演练则是通过实战化的红蓝对抗，综合检验并提升安全防御体系的监测、响应与溯源能力。我司将深入结合金融行业监管要求、中邮资管自身业务特点及当前威胁态势，定制差异化测试方案，确保测试范围覆盖全面、测试方法科学严谨、测试结果真实可信，既满足合规检查需要，也切实提升整体安全防护水平。</w:t>
      </w:r>
      <w:r/>
    </w:p>
    <w:p>
      <w:pPr>
        <w:pBdr/>
        <w:spacing/>
        <w:ind/>
        <w:rPr/>
      </w:pPr>
      <w:r>
        <w:t xml:space="preserve">服务内容：本次服务覆盖核心业务系统、Web应用、API接口、移动应用、主机服务器、数据库、中间件及网络设备等资产的渗透测试，全面检测已知漏洞与逻辑缺陷；同时提供基于真实威胁场景的红蓝对抗演练，涵盖攻击模拟、漏洞利用、权限提升、横向移动、防御监测、日志审计、应急响应及溯源分析等环节，通过攻防双方的深度博弈，验证安全策略的有效性并暴露防护短板。</w:t>
      </w:r>
      <w:r/>
    </w:p>
    <w:p>
      <w:pPr>
        <w:pBdr/>
        <w:spacing/>
        <w:ind/>
        <w:rPr/>
      </w:pPr>
      <w:r>
        <w:t xml:space="preserve">技术方法：我司将综合运用黑盒测试、白盒测试与灰盒测试相结合的方式，既要站在外部攻击者视角验证边界防护，也要通过源码与配置审查发现深层次问题。测试过程中采用自动化扫描工具与人工验证相结合，自动化工具用于扩大覆盖面、快速定位可疑点，人工专家负责深入验证、逻辑分析及漏洞链组合利用。所有测试活动严格遵循PTES渗透测试执行标准、OWASP测试指南及金融行业相关安全规范，确保漏洞发现准确、深入、无漏报。</w:t>
      </w:r>
      <w:r/>
    </w:p>
    <w:p>
      <w:pPr>
        <w:pBdr/>
        <w:spacing/>
        <w:ind/>
        <w:rPr/>
      </w:pPr>
      <w:r>
        <w:t xml:space="preserve">实施方案：整个服务按准备、执行、总结三个阶段有序推进。准备阶段，与贵方充分沟通明确测试范围、时间窗口、人员分工、应急联系人及测试规则，签署授权与保密协议，制定详细的测试计划与应急预案，并向贵方提交实施方案确认；执行阶段，按资产类型和业务重要性分专业小组并行作业，每个小组配备测试组长，实时记录测试过程，遇到高危操作或突发情况立即启动沟通机制，双方确认后再继续，同时建立每日例会制度，同步进度与发现；总结阶段，汇总所有测试结果，进行风险定级，组织复测验证修复效果，输出最终测试报告与整改建议。</w:t>
      </w:r>
      <w:r/>
    </w:p>
    <w:p>
      <w:pPr>
        <w:pBdr/>
        <w:spacing/>
        <w:ind/>
        <w:rPr/>
      </w:pPr>
      <w:r>
        <w:t xml:space="preserve">交付物：每阶段测试结束后输出阶段性测试报告（如适用），服务完成后提供完整的渗透测试报告、攻防演练总结报告、漏洞清单及修复建议，报告内容包含漏洞详情、危害分析、复现步骤、修复方案及优先级排序。同时，在贵方完成修复后安排复测验证，出具复测报告，确保所有问题闭环处理。</w:t>
      </w:r>
      <w:r/>
    </w:p>
    <w:p>
      <w:pPr>
        <w:pBdr/>
        <w:spacing/>
        <w:ind/>
        <w:rPr/>
      </w:pPr>
      <w:r>
        <w:t xml:space="preserve">质量保障：测试团队由具有丰富实战经验的资深安全专家组成，均具备CISP、CISSP、OSCP等专业资质，并严格执行保密协议；测试过程中采用安全可控的工具与操作流程，所有测试操作均在不影响业务正常运行的前提下进行，避免对生产环境造成不良影响；同时，建立内部质量控制机制，由项目经理和技术总监对测试过程和报告质量进行双重审核，确保服务满足合规与安全要求。</w:t>
      </w:r>
      <w:r/>
    </w:p>
    <w:p>
      <w:pPr>
        <w:pBdr/>
        <w:spacing/>
        <w:ind/>
        <w:rPr/>
      </w:pPr>
      <w:r>
        <w:t xml:space="preserve">时间安排：我司将严格按照合同约定的服务周期和贵方指定的时间窗口，科学编排测试进度，合理调配资源，高效组织各阶段工作，确保按期交付全部成果。在遇到突发情况时，及时与贵方沟通调整计划，保障整体项目进度不受影响。</w:t>
      </w:r>
      <w:r/>
    </w:p>
    <w:p>
      <w:pPr>
        <w:pStyle w:val="718"/>
        <w:pBdr/>
        <w:spacing/>
        <w:ind/>
        <w:rPr/>
      </w:pPr>
      <w:r/>
      <w:bookmarkStart w:id="114" w:name="_Toc114"/>
      <w:r>
        <w:t xml:space="preserve">9.2.3重要时期保障及其他服务需求应答</w:t>
      </w:r>
      <w:bookmarkEnd w:id="114"/>
      <w:r/>
      <w:r/>
    </w:p>
    <w:p>
      <w:pPr>
        <w:pBdr/>
        <w:spacing/>
        <w:ind/>
        <w:rPr/>
      </w:pPr>
      <w:r>
        <w:rPr>
          <w:b/>
        </w:rPr>
        <w:t xml:space="preserve">重要时期保障应答：</w:t>
      </w:r>
      <w:r>
        <w:t xml:space="preserve"> 我方完全响应招标文件对重要时期保障的要求，将在重大活动、法定节假日、重要会议及突发紧急期间，启动专项保障机制。我方承诺在重要时期提供以下保障内容：一是实行领导带班和专人7×24小时值守制度，确保</w:t>
      </w:r>
      <w:r>
        <w:t xml:space="preserve">第一时间发现并处置安全事件；二是提前进行资产梳理与风险评估，针对重点系统开展漏洞扫描与加固；三是部署安全监测与威胁情报联动，实时分析安全告警；四是制定专项应急预案并组织演练，确保应急响应高效有序；五是每日形成安全保障情况报告，及时向采购人汇报。具体实施计划包括：保障前完成准备工作，保障期间按预案执行值守与处置，保障结束后及时提交总结报告。本项目实施细节与七.2.3重大活动保障方案及资源储备保持一致，确保响应及时性。招标要求：提供重要时期安全保障服务；投标响应：全面承诺，并制定详细实施方案；偏离情况：无偏离。</w:t>
      </w:r>
      <w:r/>
    </w:p>
    <w:p>
      <w:pPr>
        <w:pBdr/>
        <w:spacing/>
        <w:ind/>
        <w:rPr/>
      </w:pPr>
      <w:r>
        <w:rPr>
          <w:b/>
        </w:rPr>
        <w:t xml:space="preserve">其他服务需求应答：</w:t>
      </w:r>
      <w:r>
        <w:t xml:space="preserve"> 我方同样完全响应招标文件所列其他相关服务需求，包括但不限于应急响应、风险监测、安全通告、安全协助等。针对应急响应需求，我方提供7×24小时应急响应热线，重大突发安全事件快速</w:t>
      </w:r>
      <w:r>
        <w:t xml:space="preserve">远程响应，必要时立即到达现场，并具备应急处理类资质（CCRC信息安全服务资质——应急处理类）；针对风险监测需求，利用自研工具与商业平台结合，提供持续的风险监测与预警；针对安全通告需求，定期向采购人推送漏洞信息、威胁情报及安全建议。此外，我方还将在重要时期提供安全宣传与意识提醒服务，配合开展钓鱼邮件模拟演练，协助采购人完成上级主管单位要求的各项安全保障任务。所有其他服务均按照合同约定和行业最佳实践执行，确保服务质量和时效性。招标要求：其他相关服务需求；投标响应：全部满足，具体以合同约定为准；偏离情况：无偏离。</w:t>
      </w:r>
      <w:r/>
    </w:p>
    <w:p>
      <w:pPr>
        <w:pStyle w:val="717"/>
        <w:pBdr/>
        <w:spacing/>
        <w:ind/>
        <w:rPr/>
      </w:pPr>
      <w:r/>
      <w:bookmarkStart w:id="115" w:name="_Toc115"/>
      <w:r>
        <w:t xml:space="preserve">9.3偏离项说明与符合度承诺</w:t>
      </w:r>
      <w:bookmarkEnd w:id="115"/>
      <w:r/>
      <w:r/>
    </w:p>
    <w:p>
      <w:pPr>
        <w:pBdr/>
        <w:spacing/>
        <w:ind/>
        <w:rPr/>
      </w:pPr>
      <w:r>
        <w:t xml:space="preserve">本投标人已对招标文件全部条款进行逐项审查，涵盖资格条款、技术需求、商务要求及合同条件，并针对招标文件中的每一个评分项、技术规格、服务标准、交付物要求、验收条件、付款方式、违约责任等细节，结合本项目实际情况进行了逐条核对与理解。审查工作覆盖了招标文件的全部章节与附件，包括但不限于投标人须知、评标办法、采购需求清单、服务技术要求、合同主要</w:t>
      </w:r>
      <w:r>
        <w:t xml:space="preserve">条款以及各项资格证明材料的提交要求。在审查过程中，我方对每一条款均进行了响应状态标注，确认投标文件已按照招标文件的要求作出对应应答，且应答内容均能满足或优于招标文件的规定。审查结论如下：我方对招标文件全部条款均完全响应，不存在任何偏离项。投标报价、服务方案、技术指标、人员配置及商务条件均满足招标文件要求，各项技术参数指标均以实质性响应且无负偏离。我方对所有条款的理解与招标文件原意一致，不存在因理解偏差或澄清不及时而导致的隐性偏离。若在评审过程中招标人有任何需要澄清或说明的事项，我方将积极配合并提供详细解释。</w:t>
      </w:r>
      <w:r/>
    </w:p>
    <w:p>
      <w:pPr>
        <w:pBdr/>
        <w:spacing/>
        <w:ind/>
        <w:rPr/>
      </w:pPr>
      <w:r>
        <w:rPr>
          <w:b/>
        </w:rPr>
        <w:t xml:space="preserve">符合度承诺：</w:t>
      </w:r>
      <w:r>
        <w:t xml:space="preserve"> 我方郑重承诺，中标后将严格按照招标文件及投标文件的约定履行合同义务，确保提供的网络安全服务符合项目整体服务</w:t>
      </w:r>
      <w:r>
        <w:t xml:space="preserve">方案及相关技术规范，服务质量达到招标文件要求的水平。我方承诺在服务实施过程中，对招标人提出的合理需求与变更及时响应，绝不因投标承诺与实际履约脱节而降低服务标准。投标文件中涉及的企业资质、业绩、财务状况、团队人员技术能力等信息均真实、有效、完整，不存在虚假记载、误导性陈述或重大遗漏。我方已对所有证明材料的真实性进行核查，并愿对其真实性承担全部责任。如在履约中出现与投标承诺不符的情形，我方愿承担相应法律责任，并接受招标人按照合同约定采取的处罚措施。本承诺函作为投标文件的重要组成部分，与投标文件具有同等法律效力。</w:t>
      </w:r>
      <w:r/>
    </w:p>
    <w:p>
      <w:pPr>
        <w:pStyle w:val="718"/>
        <w:pBdr/>
        <w:spacing/>
        <w:ind/>
        <w:rPr/>
      </w:pPr>
      <w:r/>
      <w:bookmarkStart w:id="116" w:name="_Toc116"/>
      <w:r>
        <w:t xml:space="preserve">9.3.1无偏离声明及服务承诺</w:t>
      </w:r>
      <w:bookmarkEnd w:id="116"/>
      <w:r/>
      <w:r/>
    </w:p>
    <w:p>
      <w:pPr>
        <w:pBdr/>
        <w:spacing/>
        <w:ind/>
        <w:rPr/>
      </w:pPr>
      <w:r>
        <w:t xml:space="preserve">我公司北京国舜科技股份有限公司（统一社会信用代码：91110108753333117L）在此郑重声明：对中邮资管2026-2027年网络安全服务采购项目招标文件的全部内容无任何偏离，完全响应。我公司承诺严格履行合同义务，确保服务质量达标，服务时效按合同约定执行，严格遵守保密规定，并承担违约责任。愿以专业、高效的服务保障项目顺利实施。为切实保障项目顺利实施，我公司进一步作出如下承诺：一、服务时效承诺：严格按照招标文件及合同约定的时间节点完成各项</w:t>
      </w:r>
      <w:r>
        <w:t xml:space="preserve">服务交付，对于紧急网络安全事件和应急响应请求，确保第一时间启动应急机制，在规定时间内快速响应、及时处置，不拖延、不推诿，保障招标方业务连续性。二、质量标准承诺：严格执行国家网络安全相关法律法规、行业标准规范及招标文件中的技术要求，确保服务成果的准确性、完整性和可靠性。配备经验丰富的服务团队，落实质量管控措施，并主动接受招标方及监理单位的监督检查，对发现的问题及时整改，确保服务全过程符合高质量要求。三、保密义务承诺：严格遵守保密法律法规及招标方保密管理规定，与招标方签订保密协议。对服务过程中知悉的一切业务数据</w:t>
      </w:r>
      <w:r>
        <w:t xml:space="preserve">、系统漏洞、技术资料、管理信息等严格保密，不向任何第三方泄露，不用于与本项目无关的活动。服务期结束或中途退出时，按照规定归还或销毁相关资料，继续履行保密义务，并承担因泄密引发的全部法律责任。四、违约责任承诺：若我公司未能全面履行投标承诺或服务成果不达标，愿按照合同约定承担违约责任，接受招标方依据合同作出的处罚措施，包括但不限于整改、赔偿损失、终止合同等，并承担由此产生的全部法律后果。我公司深知本项目的重要性，将以高度的责任心和专业能力，严格履诺，确保各项服务高质、高效、安全落地，全力配合招标方实现项目目标。</w:t>
      </w:r>
      <w:r/>
    </w:p>
    <w:p>
      <w:pPr>
        <w:pStyle w:val="718"/>
        <w:pBdr/>
        <w:spacing/>
        <w:ind/>
        <w:rPr/>
      </w:pPr>
      <w:r/>
      <w:bookmarkStart w:id="117" w:name="_Toc117"/>
      <w:r>
        <w:t xml:space="preserve">9.3.2偏离项清单及原因说明（如有）</w:t>
      </w:r>
      <w:bookmarkEnd w:id="117"/>
      <w:r/>
      <w:r/>
    </w:p>
    <w:p>
      <w:pPr>
        <w:pBdr/>
        <w:spacing/>
        <w:ind/>
        <w:rPr/>
      </w:pPr>
      <w:r>
        <w:t xml:space="preserve">经逐条对照本项目招标文件中的技术规范、服务要求及商务条款，投标人均完全响应，无任何偏离项。现就偏离项清单及原因说明如下：</w:t>
      </w:r>
      <w:r/>
    </w:p>
    <w:p>
      <w:pPr>
        <w:pBdr/>
        <w:spacing/>
        <w:ind/>
        <w:rPr/>
      </w:pPr>
      <w:r>
        <w:t xml:space="preserve">一、偏离项清单</w:t>
      </w:r>
      <w:r/>
    </w:p>
    <w:p>
      <w:pPr>
        <w:pBdr/>
        <w:spacing/>
        <w:ind/>
        <w:rPr/>
      </w:pPr>
      <w:r>
        <w:t xml:space="preserve">投标人已对本项目招标文件（含招标公告、投标人须知、合同条款、技术规范书、服务需求清单及所有补充澄清文件）进行了全面、逐条的审查与对照，范围覆盖技术规范、服务要求、商务条款、评分标准及交付物要求等全部内容。经逐项核对，投标人未发现任何需要声明为正偏离或负偏离的条款，所有招标要求均已被完全理解和响应。</w:t>
      </w:r>
      <w:r/>
    </w:p>
    <w:p>
      <w:pPr>
        <w:pBdr/>
        <w:spacing/>
        <w:ind/>
        <w:rPr/>
      </w:pPr>
      <w:r>
        <w:t xml:space="preserve">二、偏离情况汇总表</w:t>
      </w:r>
      <w:r/>
    </w:p>
    <w:p>
      <w:pPr>
        <w:pBdr/>
        <w:spacing/>
        <w:ind/>
        <w:rPr/>
      </w:pPr>
      <w:r>
        <w:t xml:space="preserve">偏离项清单及原因说明：本项目招标文件全部技术规范、服务要求及商务条款均无偏离。投标人完全响应招标要求，技术方案、服务方案及商务报价均满足或优于招标要求，不存在无法满足或需调整的条款。替代方案：不适用，无需替代方案。</w:t>
      </w:r>
      <w:r/>
    </w:p>
    <w:p>
      <w:pPr>
        <w:pBdr/>
        <w:spacing/>
        <w:ind/>
        <w:rPr/>
      </w:pPr>
      <w:r>
        <w:t xml:space="preserve">三、符合度说明</w:t>
      </w:r>
      <w:r/>
    </w:p>
    <w:p>
      <w:pPr>
        <w:pBdr/>
        <w:spacing/>
        <w:ind/>
        <w:rPr/>
      </w:pPr>
      <w:r>
        <w:t xml:space="preserve">投标人承诺，在项目实施过程中将严格按照招标文件及投标文件的约定执行，确保各项技术指标、服务标准、交付成果和商务条款均与招标要求保持一致。若在合同履行期间因政策法规调整或招标人提出新的合理需求，投标人将及时与招标人沟通协商，并按照合同约定的变更程序进行处理，确保项目目标的实现。</w:t>
      </w:r>
      <w:r/>
    </w:p>
    <w:p>
      <w:pPr>
        <w:pBdr/>
        <w:spacing/>
        <w:ind/>
        <w:rPr/>
      </w:pPr>
      <w:r>
        <w:t xml:space="preserve">四、偏离项风险管控</w:t>
      </w:r>
      <w:r/>
    </w:p>
    <w:p>
      <w:pPr>
        <w:pBdr/>
        <w:spacing/>
        <w:ind/>
        <w:rPr/>
      </w:pPr>
      <w:r>
        <w:t xml:space="preserve">鉴于本项目不存在偏离项，投标人将把全部精力聚焦于高质量履约，通过严格的项目管理、质量控制和安全保障机制，确保各项服务按时、按质、按量交付。同时，投标人将持续跟踪招标人需求变化，主动提供增值服务和优化建议，为招标人创造更高的服务价值。</w:t>
      </w:r>
      <w:r/>
    </w:p>
    <w:p>
      <w:pPr>
        <w:pBdr/>
        <w:spacing/>
        <w:ind/>
        <w:rPr/>
      </w:pPr>
      <w:r>
        <w:t xml:space="preserve">综上所述，本项目无任何偏离项，投标人完全响应并满足招标文件的所有要求。</w:t>
      </w:r>
      <w:r/>
    </w:p>
    <w:p>
      <w:pPr>
        <w:pStyle w:val="716"/>
        <w:pBdr/>
        <w:spacing/>
        <w:ind/>
        <w:rPr/>
      </w:pPr>
      <w:r/>
      <w:bookmarkStart w:id="118" w:name="_Toc118"/>
      <w:r>
        <w:t xml:space="preserve">十、增值服务</w:t>
      </w:r>
      <w:bookmarkEnd w:id="118"/>
      <w:r/>
      <w:r/>
    </w:p>
    <w:p>
      <w:pPr>
        <w:pBdr/>
        <w:spacing/>
        <w:ind/>
        <w:rPr/>
      </w:pPr>
      <w:r>
        <w:t xml:space="preserve">为全面保障中邮资管2026-2027年网络安全服务采购项目的服务质量，我司将在满足招标文件要求的基础上，额外提供一系列增值服务，涵盖安全宣传通告、安全意识培训、勒索病毒演练、应急响应桌面推演、钓鱼邮件模拟演练、定制化安全数据分析等多个方面。这些增值服务旨在帮助贵单位构建更加主动、全方位的网络安全防护体系，有效弥补传统安全服务的盲区，将安全防护从技术层面向管理层面与人员意识层面延伸。</w:t>
      </w:r>
      <w:r/>
    </w:p>
    <w:p>
      <w:pPr>
        <w:pBdr/>
        <w:spacing/>
        <w:ind/>
        <w:rPr/>
      </w:pPr>
      <w:r>
        <w:t xml:space="preserve">通过上述增值服务的实施，将有效提升全员网络安全意识，增强应对新型威胁的实战能力，并促进安全管理制度与技术的深度融合，为贵单位的业务连续性提供坚实保障。同时，增值服务也是我司整体安全服务方案的重要组成部分，体现了对项目需求的深度理解和积极响应。我司将以增值服务为抓手，协助贵单位打造“预防—检测—响应—改进”的闭环安全运营机制，进一步夯实网络安全防线。</w:t>
      </w:r>
      <w:r/>
    </w:p>
    <w:p>
      <w:pPr>
        <w:pBdr/>
        <w:spacing/>
        <w:ind/>
        <w:rPr/>
      </w:pPr>
      <w:r>
        <w:t xml:space="preserve">在增值服务的整体设计上，我司遵循“按需定制、分层实施、注重实效”的原则，结合贵单位金融行业属性与监管要求，将增值服务划分为意识提升类、实战对抗类和专项支持类三大板块，确保各项服务既有针对性又有可操作性。每一项增值服务均配备明确的交付物与考核指标，并与招标文件中的基础服务内容有效衔接，形成互补增强的立体化安全服务体系。</w:t>
      </w:r>
      <w:r/>
    </w:p>
    <w:p>
      <w:pPr>
        <w:pBdr/>
        <w:spacing/>
        <w:ind/>
        <w:rPr/>
      </w:pPr>
      <w:r>
        <w:t xml:space="preserve">关于各项增值服务的具体内容、实施流程与组织保障，将在本章后续条目中逐项详细说明。</w:t>
      </w:r>
      <w:r/>
    </w:p>
    <w:p>
      <w:pPr>
        <w:pStyle w:val="717"/>
        <w:pBdr/>
        <w:spacing/>
        <w:ind/>
        <w:rPr/>
      </w:pPr>
      <w:r/>
      <w:bookmarkStart w:id="119" w:name="_Toc119"/>
      <w:r>
        <w:t xml:space="preserve">10.1增值服务总体方案与保障机制</w:t>
      </w:r>
      <w:bookmarkEnd w:id="119"/>
      <w:r/>
      <w:r/>
    </w:p>
    <w:p>
      <w:pPr>
        <w:pBdr/>
        <w:spacing/>
        <w:ind/>
        <w:rPr/>
      </w:pPr>
      <w:r>
        <w:t xml:space="preserve">针对中邮资管2026-2027年网络安全服务采购项目，我公司构建以“全面覆盖、主动防御、持续优化”为核心的增值服务体系，旨在提升招标人整体安全防护水平与应急响应能力，充分满足招标文件对增值服务的评分要求。本增值服务体系遵循“预防为主、防患未然、持续改进”的设计理念，深度融合安全运营、风险管理与业务连续性目标，确保各项服务既独立成体系又相互协同。</w:t>
      </w:r>
      <w:r/>
    </w:p>
    <w:p>
      <w:pPr>
        <w:pBdr/>
        <w:spacing/>
        <w:ind/>
        <w:rPr/>
      </w:pPr>
      <w:r>
        <w:t xml:space="preserve">增值服务范围科学规划，涵盖安全宣传与意识提升、应急与实战对抗、专项技术与定制化服务三大类，具体包括安全意识培训与考核、钓鱼邮件模拟演练、安全宣传专题宣贯、应急响应桌面推演、勒索病毒专项演练、安全防护策略专项核查与优化、定制化安全数据分析与专项报告等多项内容。上述服务在后续子章节中分别详述，从人员意识、技术对抗、管理流程三个维度形成立体化防护能力，切实降低安全风险发生概率与潜在影响。</w:t>
      </w:r>
      <w:r/>
    </w:p>
    <w:p>
      <w:pPr>
        <w:pBdr/>
        <w:spacing/>
        <w:ind/>
        <w:rPr/>
      </w:pPr>
      <w:r>
        <w:t xml:space="preserve">为保障增值服务高质量落地，我公司设立专项服务团队，明确职责分工，建立由项目负责人统筹、技术专家支撑、服务人员执行的三级组织架构，并配备独立的增值服务协调专员。项目负责人负责整体规划与资源调配，技术专家负责方案设计和技术难点攻关，服务人员负责具体执行与交付，确保责任到人、协同高效。</w:t>
      </w:r>
      <w:r/>
    </w:p>
    <w:p>
      <w:pPr>
        <w:pBdr/>
        <w:spacing/>
        <w:ind/>
        <w:rPr/>
      </w:pPr>
      <w:r>
        <w:t xml:space="preserve">项目实施按照需求调研、方案设计、服务实施、效果评估四个阶段有序推进，每个阶段设置明确的里程碑与验收标准。需求调研阶段深入了解招标人安全现状与业务特点；方案设计阶段针对性编制详细服务计划和操作手册；服务实施阶段严格按照既定方案执行并做好过程记录；效果评估阶段通过量化指标衡量服务成效。同时结合季度回顾与年度总结机制，动态调整优化服务内容，形成持续改进的良性循环。</w:t>
      </w:r>
      <w:r/>
    </w:p>
    <w:p>
      <w:pPr>
        <w:pBdr/>
        <w:spacing/>
        <w:ind/>
        <w:rPr/>
      </w:pPr>
      <w:r>
        <w:t xml:space="preserve">质量控制方面，严格执行内部审核、客户确认和第三方抽查相结合的方式，建立覆盖服务全过程的质量检查清单和问题跟踪台账，确保服务过程规范、交付物达标。引入PDCA循环管理方法，对每项增值服务进行计划、执行、检查、处理全流程闭环管控。</w:t>
      </w:r>
      <w:r/>
    </w:p>
    <w:p>
      <w:pPr>
        <w:pBdr/>
        <w:spacing/>
        <w:ind/>
        <w:rPr/>
      </w:pPr>
      <w:r>
        <w:t xml:space="preserve">协调机制方面，建立多渠道沟通协调机制，定期召开项目例会同步进展，设置紧急联络通道及时响应变更需求，并针对增值服务与主体安全服务的衔接点制定专项对接流程，保障各项增值服务与渗透测试、漏洞扫描、应急响应等主体服务无缝衔接，形成统一高效的闭环管理体系，充分体现增值服务的完整性和可操作性。</w:t>
      </w:r>
      <w:r/>
    </w:p>
    <w:p>
      <w:pPr>
        <w:pStyle w:val="718"/>
        <w:pBdr/>
        <w:spacing/>
        <w:ind/>
        <w:rPr/>
      </w:pPr>
      <w:r/>
      <w:bookmarkStart w:id="120" w:name="_Toc120"/>
      <w:r>
        <w:t xml:space="preserve">10.1.1增值服务内容清单与交付说明</w:t>
      </w:r>
      <w:bookmarkEnd w:id="120"/>
      <w:r/>
      <w:r/>
    </w:p>
    <w:p>
      <w:pPr>
        <w:pBdr/>
        <w:spacing/>
        <w:ind/>
        <w:rPr/>
      </w:pPr>
      <w:r>
        <w:t xml:space="preserve">北京国舜科技股份有限公司针对本项目提供以下增值服务，所有服务的交付物、交付时间、责任方及验收标准均纳入整体项目管理体系，确保服务质量可追溯。各项增值服务具体内容与交付说明如下。</w:t>
      </w:r>
      <w:r/>
    </w:p>
    <w:p>
      <w:pPr>
        <w:pBdr/>
        <w:spacing/>
        <w:ind/>
        <w:rPr/>
      </w:pPr>
      <w:r>
        <w:t xml:space="preserve">一、安全意识宣传通告</w:t>
      </w:r>
      <w:r/>
    </w:p>
    <w:p>
      <w:pPr>
        <w:pBdr/>
        <w:spacing/>
        <w:ind/>
        <w:rPr/>
      </w:pPr>
      <w:r>
        <w:t xml:space="preserve">交付内容：结合项目周期内安全形势和监管要求，制作安全意识宣传材料，并通过邮件、内网公告、宣传海报等形式向目标人群发布通告，覆盖全员安全意识的常见风险点（如钓鱼邮件、弱口令、敏感信息泄露等）。</w:t>
      </w:r>
      <w:r/>
    </w:p>
    <w:p>
      <w:pPr>
        <w:pBdr/>
        <w:spacing/>
        <w:ind/>
        <w:rPr/>
      </w:pPr>
      <w:r>
        <w:t xml:space="preserve">交付物：安全意识宣传通告文档（含宣传主题、内容素材、发布渠道及覆盖情况记录）。</w:t>
      </w:r>
      <w:r/>
    </w:p>
    <w:p>
      <w:pPr>
        <w:pBdr/>
        <w:spacing/>
        <w:ind/>
        <w:rPr/>
      </w:pPr>
      <w:r>
        <w:t xml:space="preserve">交付时间：按项目计划执行，于合同期内每季度至少发布一期，具体时间以项目管理计划为准。</w:t>
      </w:r>
      <w:r/>
    </w:p>
    <w:p>
      <w:pPr>
        <w:pBdr/>
        <w:spacing/>
        <w:ind/>
        <w:rPr/>
      </w:pPr>
      <w:r>
        <w:t xml:space="preserve">责任方：北京国舜科技股份有限公司安全服务团队。</w:t>
      </w:r>
      <w:r/>
    </w:p>
    <w:p>
      <w:pPr>
        <w:pBdr/>
        <w:spacing/>
        <w:ind/>
        <w:rPr/>
      </w:pPr>
      <w:r>
        <w:t xml:space="preserve">验收标准：通告已按计划发布且覆盖目标人群，宣传内容符合采购方安全宣传要求，并留存发布记录供采购方核验。</w:t>
      </w:r>
      <w:r/>
    </w:p>
    <w:p>
      <w:pPr>
        <w:pBdr/>
        <w:spacing/>
        <w:ind/>
        <w:rPr/>
      </w:pPr>
      <w:r>
        <w:t xml:space="preserve">二、勒索病毒专项演练</w:t>
      </w:r>
      <w:r/>
    </w:p>
    <w:p>
      <w:pPr>
        <w:pBdr/>
        <w:spacing/>
        <w:ind/>
        <w:rPr/>
      </w:pPr>
      <w:r>
        <w:t xml:space="preserve">交付内容：结合采购方网络环境和业务特点，编制勒索病毒应急演练方案，组织开展桌面推演或实战化演练，验证勒索病毒发现、隔离、清除及恢复流程的有效性，并针对演练中发现的问题提出改进建议。</w:t>
      </w:r>
      <w:r/>
    </w:p>
    <w:p>
      <w:pPr>
        <w:pBdr/>
        <w:spacing/>
        <w:ind/>
        <w:rPr/>
      </w:pPr>
      <w:r>
        <w:t xml:space="preserve">交付物：勒索病毒应急演练方案、演练过程记录、演练总结报告及整改建议清单。</w:t>
      </w:r>
      <w:r/>
    </w:p>
    <w:p>
      <w:pPr>
        <w:pBdr/>
        <w:spacing/>
        <w:ind/>
        <w:rPr/>
      </w:pPr>
      <w:r>
        <w:t xml:space="preserve">交付时间：按项目计划执行，于合同期内至少组织一次专项演练，具体时间以项目管理计划为准。</w:t>
      </w:r>
      <w:r/>
    </w:p>
    <w:p>
      <w:pPr>
        <w:pBdr/>
        <w:spacing/>
        <w:ind/>
        <w:rPr/>
      </w:pPr>
      <w:r>
        <w:t xml:space="preserve">责任方：北京国舜科技股份有限公司应急响应团队。</w:t>
      </w:r>
      <w:r/>
    </w:p>
    <w:p>
      <w:pPr>
        <w:pBdr/>
        <w:spacing/>
        <w:ind/>
        <w:rPr/>
      </w:pPr>
      <w:r>
        <w:t xml:space="preserve">验收标准：演练过程完整、记录清晰，演练总结报告结论明确，整改建议具备可操作性，并经采购方确认演练目标达成。</w:t>
      </w:r>
      <w:r/>
    </w:p>
    <w:p>
      <w:pPr>
        <w:pBdr/>
        <w:spacing/>
        <w:ind/>
        <w:rPr/>
      </w:pPr>
      <w:r>
        <w:t xml:space="preserve">三、安全防护策略专项核查与优化</w:t>
      </w:r>
      <w:r/>
    </w:p>
    <w:p>
      <w:pPr>
        <w:pBdr/>
        <w:spacing/>
        <w:ind/>
        <w:rPr/>
      </w:pPr>
      <w:r>
        <w:t xml:space="preserve">交付内容：对采购方防火墙、入侵检测、WAF、终端防护等安全设备的安全策略进行专项核查，分析策略配置的合理性、有效性和冗余性，输出核查结果并完成策略调优建议，提升整体安全防护能力。</w:t>
      </w:r>
      <w:r/>
    </w:p>
    <w:p>
      <w:pPr>
        <w:pBdr/>
        <w:spacing/>
        <w:ind/>
        <w:rPr/>
      </w:pPr>
      <w:r>
        <w:t xml:space="preserve">交付物：安全防护策略核查报告及优化建议文档（含策略现状分析、风险点及调优后的策略配置建议）。</w:t>
      </w:r>
      <w:r/>
    </w:p>
    <w:p>
      <w:pPr>
        <w:pBdr/>
        <w:spacing/>
        <w:ind/>
        <w:rPr/>
      </w:pPr>
      <w:r>
        <w:t xml:space="preserve">交付时间：按项目计划执行，于合同期内完成至少一轮核查与优化，具体时间以项目管理计划为准。</w:t>
      </w:r>
      <w:r/>
    </w:p>
    <w:p>
      <w:pPr>
        <w:pBdr/>
        <w:spacing/>
        <w:ind/>
        <w:rPr/>
      </w:pPr>
      <w:r>
        <w:t xml:space="preserve">责任方：北京国舜科技股份有限公司安全运维团队。</w:t>
      </w:r>
      <w:r/>
    </w:p>
    <w:p>
      <w:pPr>
        <w:pBdr/>
        <w:spacing/>
        <w:ind/>
        <w:rPr/>
      </w:pPr>
      <w:r>
        <w:t xml:space="preserve">验收标准：策略核查报告内容详实、数据准确，优化建议符合安全基线要求，经采购方认可后完成策略调整并记录。</w:t>
      </w:r>
      <w:r/>
    </w:p>
    <w:p>
      <w:pPr>
        <w:pBdr/>
        <w:spacing/>
        <w:ind/>
        <w:rPr/>
      </w:pPr>
      <w:r>
        <w:t xml:space="preserve">整体交付安排：上述增值服务均纳入项目整体实施计划，我司建立统一的交付管理流程，具体包括需求确认（与采购方就服务范围、时间安排和验收口径达成一致）、任务派发（由项目经理指定责任团队和责任人）、过程跟踪（通过项目周报、月度总结和里程碑评审对交付进度进行监控）、成果评审（由质量保障人员对交付物进行内部审核，确保内容完整、准确）、验收确认（提交采购方验收，并根据反馈进行修订直至验收通过）。通过该流程，确保每项增值服务按期、按质交付，并与主服务有机衔接。</w:t>
      </w:r>
      <w:r/>
    </w:p>
    <w:p>
      <w:pPr>
        <w:pStyle w:val="718"/>
        <w:pBdr/>
        <w:spacing/>
        <w:ind/>
        <w:rPr/>
      </w:pPr>
      <w:r/>
      <w:bookmarkStart w:id="121" w:name="_Toc121"/>
      <w:r>
        <w:t xml:space="preserve">10.1.2增值服务质量保障与持续改进机制</w:t>
      </w:r>
      <w:bookmarkEnd w:id="121"/>
      <w:r/>
      <w:r/>
    </w:p>
    <w:p>
      <w:pPr>
        <w:pBdr/>
        <w:spacing/>
        <w:ind/>
        <w:rPr/>
      </w:pPr>
      <w:r>
        <w:t xml:space="preserve">为确保增值服务质量达到承诺标准并持续优化，我方建立覆盖全过程的质量保障与持续改进机制。在质量控制流程方面，制定标准化服务交付规范，将每项增值服务细化为启动、实施、交付、验收等阶段，明确各环节质量检查点和责任人，实行内部审核与复核，确保服务过程可追溯、结果可验证。在服务SLA方面，针对增值服务定义响应时间、处理时效等关键指标，并纳入项目考核；通过服务管理平台实时监控指标达成情况，对偏离风险主动预警并启动纠偏，确保服务按时保质交付。</w:t>
      </w:r>
      <w:r/>
    </w:p>
    <w:p>
      <w:pPr>
        <w:pBdr/>
        <w:spacing/>
        <w:ind/>
        <w:rPr/>
      </w:pPr>
      <w:r>
        <w:t xml:space="preserve">在客户反馈机制方面，通过定期沟通例会、满意度调查、在线反馈平台等渠道主动收集客户意见，每次交付后均邀请客户评价，反馈信息由专人汇总分析并作为改进输入。在问题整改闭环方面，建立问题台账，对发现的问题明确整改责任与时限，跟踪验证直至关闭；对典型问题开展根因分析，制定纠正与预防措施，确保同类问题不再发生。</w:t>
      </w:r>
      <w:r/>
    </w:p>
    <w:p>
      <w:pPr>
        <w:pBdr/>
        <w:spacing/>
        <w:ind/>
        <w:rPr/>
      </w:pPr>
      <w:r>
        <w:t xml:space="preserve">在定期评估优化方面，周期性分析服务数据，识别薄弱环节并制定改进措施。按月统计服务交付及时率、客户满意度等指标并形成质量报告，每季度召开服务质量评审会，评估机制运行效果，优化服务流程与资源配置。通过计划、执行、检查、处理的循环机制，推动服务质量稳步提升，确保增值服务长期保持高水平交付。</w:t>
      </w:r>
      <w:r/>
    </w:p>
    <w:p>
      <w:pPr>
        <w:pStyle w:val="718"/>
        <w:pBdr/>
        <w:spacing/>
        <w:ind/>
        <w:rPr/>
      </w:pPr>
      <w:r/>
      <w:bookmarkStart w:id="122" w:name="_Toc122"/>
      <w:r>
        <w:t xml:space="preserve">10.1.3增值服务团队与资源保障</w:t>
      </w:r>
      <w:bookmarkEnd w:id="122"/>
      <w:r/>
      <w:r/>
    </w:p>
    <w:p>
      <w:pPr>
        <w:pBdr/>
        <w:spacing/>
        <w:ind/>
        <w:rPr/>
      </w:pPr>
      <w:r>
        <w:t xml:space="preserve">增值服务团队由公司统一调配，依托公司整体安全服务团队的丰富背景与人才储备，结合本项目增值服务范围，组建一支覆盖安全管理、技术实施、培训服务、应急演练、数据分析等专业方向的专项服务小组。团队设置项目经理、安全顾问、培训讲师、演练专家、技术支持人员、质量管理员等角色，按服务计划</w:t>
      </w:r>
      <w:r>
        <w:t xml:space="preserve">合理配置人员数量，确保各环节资源充足。项目经理负责增值服务整体协调、进度管理和用户对接；安全顾问负责安全宣传、防护策略核查、安全数据分析等方案设计与专业咨询；培训讲师负责安全意识宣贯、专项培训和考核评估；演练专家负责勒索病毒演练、钓鱼邮件模拟、应急推演等活动的方案制定与组织实施；技术支持人员负责演练环境搭建、工具部署和现场保障；质量管理员负责服务过程监督、交付物检查和用户满意度跟踪。团队人员均具备CISP、CISSP、CISA等相关安全认证，具有金融行业安全服务实战经验，能够为用户提供稳定、专业的增值服务。</w:t>
      </w:r>
      <w:r/>
    </w:p>
    <w:p>
      <w:pPr>
        <w:pBdr/>
        <w:spacing/>
        <w:ind/>
        <w:rPr/>
      </w:pPr>
      <w:r>
        <w:t xml:space="preserve">资源保障方面，公司为增值服务配置了专用的安全宣传素材库、培训课件库和演练工具包，并持续更新内容，保持与最新安全形势同步。依托公司安全知识库、漏洞库和专家库，为增值服务提供威胁情报、技术方案和疑难问题支持；与多家安全厂商、应急响应机构和行业伙伴建立合作关系，形成覆盖威胁预警、工具支撑、专家支援的协同资源池。同时，公司建立统一的协同工作平台，通过定期例会、专题评审、工作群组和问题升级流程，确保团队成员高效协作、信息同步、问题快速闭环。</w:t>
      </w:r>
      <w:r/>
    </w:p>
    <w:p>
      <w:pPr>
        <w:pBdr/>
        <w:spacing/>
        <w:ind/>
        <w:rPr/>
      </w:pPr>
      <w:r>
        <w:t xml:space="preserve">应急保障措施上，团队实行7×24小时响应机制，制定增值服务专项应急预案，遇到突发网络安全事件或服务异常时可立即启动应急流程，调动公司后备技术力量和专家资源支援。针对安全演练、培训、宣传等专项活动，提前进行风险识别并制定现场风险预案，明确应急处置步骤和责任人，确保活动实施过程安全可控。所有增值服务均严格按照项目服务计划执行，建立服务质量记录和回访机制，主动接受用户监督和评价，及时优化服务方式，确保各项服务高质量交付。</w:t>
      </w:r>
      <w:r/>
    </w:p>
    <w:p>
      <w:pPr>
        <w:pStyle w:val="717"/>
        <w:pBdr/>
        <w:spacing/>
        <w:ind/>
        <w:rPr/>
      </w:pPr>
      <w:r/>
      <w:bookmarkStart w:id="123" w:name="_Toc123"/>
      <w:r>
        <w:t xml:space="preserve">10.2安全宣传与意识提升类增值服务</w:t>
      </w:r>
      <w:bookmarkEnd w:id="123"/>
      <w:r/>
      <w:r/>
    </w:p>
    <w:p>
      <w:pPr>
        <w:pBdr/>
        <w:spacing/>
        <w:ind/>
        <w:rPr/>
      </w:pPr>
      <w:r>
        <w:rPr>
          <w:b/>
        </w:rPr>
        <w:t xml:space="preserve">安全宣传通告方面</w:t>
      </w:r>
      <w:r>
        <w:t xml:space="preserve">：建立常态化安全宣传通告机制，按月度、季度定期编制威胁预警、风险提示及安全操作指南，并针对重大安全事件或紧急漏洞发布临时通告。通告内容涵盖新型钓鱼攻击手法、勒索病毒传播趋势、高危漏洞利用方式等，同时提供通俗易懂的处置建议。通过邮件、OA门户、企业微信等渠道向全员精准推送，确保安全信息及时触达每位员工。每期通告均附简明版“一图读懂”和FAQ，帮助员工快速掌握常见风险防范要点，并将历史通告归档形成知识库，供随时查阅。</w:t>
      </w:r>
      <w:r/>
    </w:p>
    <w:p>
      <w:pPr>
        <w:pBdr/>
        <w:spacing/>
        <w:ind/>
        <w:rPr/>
      </w:pPr>
      <w:r>
        <w:rPr>
          <w:b/>
        </w:rPr>
        <w:t xml:space="preserve">安全意识培训方面</w:t>
      </w:r>
      <w:r>
        <w:t xml:space="preserve">：按岗位分层分类组织培训，针对管理人员、技术人员和普通员工分别设计定制化课程。培训主题覆盖钓鱼邮件识别、弱口令防范、数据泄露防护、社交工程攻击应对等核心内容，并结合行业真实案例和互动问答、情景模拟等形式，加深员工理解。培训采取线上视频课程与线下现场授课相结合的方式，每年至少覆盖全员一次，新员工入职时同步开展安全基础培训。每次培训后进行效果测评，记录参训率和考核成绩，向贵单位提交培训总结报告和人员安全意识水平分析，便于持续优化后续培训计划。</w:t>
      </w:r>
      <w:r/>
    </w:p>
    <w:p>
      <w:pPr>
        <w:pBdr/>
        <w:spacing/>
        <w:ind/>
        <w:rPr/>
      </w:pPr>
      <w:r>
        <w:rPr>
          <w:b/>
        </w:rPr>
        <w:t xml:space="preserve">勒索病毒演练方面</w:t>
      </w:r>
      <w:r>
        <w:t xml:space="preserve">：结合贵单位业务实际设计贴近真实的模拟攻击场景，包括钓鱼邮件投递、恶意附件触发、内网横向扩散等典型勒索病毒入侵路径。我方将组织桌面推演或实战演练，完整模拟事件发现、上报、隔离、清除、恢复等应急处置全流程，重点检验现有应急响应预案的操作性和各团队之间的协同配合能力。演练结束后输出详细演练报告，包含时间线还原、处置决策点评、存在的问题及整改建议清单，并协助贵单位修订应急预案，切实提升应对勒索病毒事件的实战能力与恢复效率。</w:t>
      </w:r>
      <w:r/>
    </w:p>
    <w:p>
      <w:pPr>
        <w:pBdr/>
        <w:spacing/>
        <w:ind/>
        <w:rPr/>
      </w:pPr>
      <w:r>
        <w:t xml:space="preserve">此外，我方还可根据需求提供安全知识在线测试与题库更新、网络安全宣传周策划与执行、安全意识宣传海报及短视频制作等延伸服务。通过趣味化、多样化的活动形式，激发员工主动学习安全的兴趣，协助贵单位营造全员参与、共筑防线的安全文化氛围，整体提升安全宣传与意识提升工作的覆盖面和影响力。</w:t>
      </w:r>
      <w:r/>
    </w:p>
    <w:p>
      <w:pPr>
        <w:pStyle w:val="718"/>
        <w:pBdr/>
        <w:spacing/>
        <w:ind/>
        <w:rPr/>
      </w:pPr>
      <w:r/>
      <w:bookmarkStart w:id="124" w:name="_Toc124"/>
      <w:r>
        <w:t xml:space="preserve">10.2.1安全意识宣传通告服务</w:t>
      </w:r>
      <w:bookmarkEnd w:id="124"/>
      <w:r/>
      <w:r/>
    </w:p>
    <w:p>
      <w:pPr>
        <w:pBdr/>
        <w:spacing/>
        <w:ind/>
        <w:rPr/>
      </w:pPr>
      <w:r>
        <w:rPr>
          <w:b/>
        </w:rPr>
        <w:t xml:space="preserve">服务对象：</w:t>
      </w:r>
      <w:r>
        <w:t xml:space="preserve"> 本项目安全意识宣传通告服务面向中邮资管全体员工。根据员工岗位和职责的不同，宣传内容有所侧重，使不同群体能够获得与自身工作相关的安全知识，提升全体人员的安全防范意识。</w:t>
      </w:r>
      <w:r/>
    </w:p>
    <w:p>
      <w:pPr>
        <w:pBdr/>
        <w:spacing/>
        <w:ind/>
        <w:rPr/>
      </w:pPr>
      <w:r>
        <w:rPr>
          <w:b/>
        </w:rPr>
        <w:t xml:space="preserve">服务形式：</w:t>
      </w:r>
      <w:r>
        <w:t xml:space="preserve"> 采用线上线下相结合的方式，具体包括：在办公区域张贴网络安全宣传海报；定期向员工邮箱发送网络安全宣传邮件；通过企业公众号推送安全宣传文章；在办公区电子屏轮播安全提示信息；结合年度安全宣传月等专项活动开展线下宣传。多种形式互相补充，扩大宣传覆盖面。</w:t>
      </w:r>
      <w:r/>
    </w:p>
    <w:p>
      <w:pPr>
        <w:pBdr/>
        <w:spacing/>
        <w:ind/>
        <w:rPr/>
      </w:pPr>
      <w:r>
        <w:rPr>
          <w:b/>
        </w:rPr>
        <w:t xml:space="preserve">宣传主题规划：</w:t>
      </w:r>
      <w:r>
        <w:t xml:space="preserve"> 依据行业高发安全威胁、监管政策要求及客户实际安全状况，制定年度宣传主题规划，并细化到季度和月度。常规宣传主题涵盖钓鱼邮件防范、弱口令与账号安全、数据泄露防护、终端安全、移动办公安全、社会工程学攻击识别、密码安全、隐私保护等。同时根据突发安全事件和新型漏洞动态调整宣传主题，保持内容的时效性和针对性。</w:t>
      </w:r>
      <w:r/>
    </w:p>
    <w:p>
      <w:pPr>
        <w:pBdr/>
        <w:spacing/>
        <w:ind/>
        <w:rPr/>
      </w:pPr>
      <w:r>
        <w:rPr>
          <w:b/>
        </w:rPr>
        <w:t xml:space="preserve">通告发布渠道与频率：</w:t>
      </w:r>
      <w:r>
        <w:t xml:space="preserve"> 通告以企业邮件、办公系统公告、即时通讯工作群为主要发布渠道。常规宣传内容按计划定期发布；重要安全预警和应急通告随时发布，不受固定周期限制。每季度对宣传效果进行总结，并与客户沟通调整后续发布计划。</w:t>
      </w:r>
      <w:r/>
    </w:p>
    <w:p>
      <w:pPr>
        <w:pBdr/>
        <w:spacing/>
        <w:ind/>
        <w:rPr/>
      </w:pPr>
      <w:r>
        <w:rPr>
          <w:b/>
        </w:rPr>
        <w:t xml:space="preserve">材料制作流程：</w:t>
      </w:r>
      <w:r>
        <w:t xml:space="preserve"> 首先根据宣传主题收集相关素材，编制宣传文案并进行视觉设计，形成材料初稿；随后由项目组内部审核材料的准确性和合规性，再提交客户信息安全管理部门确认；确认后通过既定渠道发布。所有宣传材料纳入素材库统一管理，便于后续更新和复用。</w:t>
      </w:r>
      <w:r/>
    </w:p>
    <w:p>
      <w:pPr>
        <w:pBdr/>
        <w:spacing/>
        <w:ind/>
        <w:rPr/>
      </w:pPr>
      <w:r>
        <w:rPr>
          <w:b/>
        </w:rPr>
        <w:t xml:space="preserve">效果评价方式：</w:t>
      </w:r>
      <w:r>
        <w:t xml:space="preserve"> 通过邮件系统的阅读量和链接点击率、公众号文章阅读量，以及组织员工参与网络安全知识测验和模拟钓鱼邮件演练等方式，量化评估宣传效果。每季度形成评估报告，分析员工安全意识变化情况，为后续宣传主题和形式优化提供依据。</w:t>
      </w:r>
      <w:r/>
    </w:p>
    <w:p>
      <w:pPr>
        <w:pBdr/>
        <w:spacing/>
        <w:ind/>
        <w:rPr/>
      </w:pPr>
      <w:r>
        <w:rPr>
          <w:b/>
        </w:rPr>
        <w:t xml:space="preserve">应急响应机制：</w:t>
      </w:r>
      <w:r>
        <w:t xml:space="preserve"> 针对突发网络安全事件或高危漏洞预警，启动安全通告应急响应流程。安全团队收到预警信息后立即研判影响范围和紧急程度，第一时间编制通告内容，并按照应急联络机制快速完成审核，通过全部可用渠道同步推送，确保风险提示及时传达至每一位员工。同时跟踪通告落实情况，配合客户做好后续应对。</w:t>
      </w:r>
      <w:r/>
    </w:p>
    <w:p>
      <w:pPr>
        <w:pBdr/>
        <w:spacing/>
        <w:ind/>
        <w:rPr/>
      </w:pPr>
      <w:r>
        <w:rPr>
          <w:b/>
        </w:rPr>
        <w:t xml:space="preserve">宣传物料示例框架：</w:t>
      </w:r>
      <w:r>
        <w:t xml:space="preserve"> 海报类物料采用风险情景配以简明操作建议的版式，突出核心信息；邮件周刊设置“风险提示”“案例解读”“防护建议”等栏目；公众号文章采用情景漫画或短视频脚本形式，增强可读性与传播性；电子屏提示内容简短醒目，循环播放关键安全要点。</w:t>
      </w:r>
      <w:r/>
    </w:p>
    <w:p>
      <w:pPr>
        <w:pStyle w:val="718"/>
        <w:pBdr/>
        <w:spacing/>
        <w:ind/>
        <w:rPr/>
      </w:pPr>
      <w:r/>
      <w:bookmarkStart w:id="125" w:name="_Toc125"/>
      <w:r>
        <w:t xml:space="preserve">10.2.2安全意识培训与考核服务</w:t>
      </w:r>
      <w:bookmarkEnd w:id="125"/>
      <w:r/>
      <w:r/>
    </w:p>
    <w:p>
      <w:pPr>
        <w:pBdr/>
        <w:spacing/>
        <w:ind/>
        <w:rPr/>
      </w:pPr>
      <w:r>
        <w:t xml:space="preserve">我公司针对中邮资管员工安全意识现状，建立分层、分岗、常态化的安全意识培训与考核体系，切实提升全员网络安全素养。</w:t>
      </w:r>
      <w:r/>
    </w:p>
    <w:p>
      <w:pPr>
        <w:pBdr/>
        <w:spacing/>
        <w:ind/>
        <w:rPr/>
      </w:pPr>
      <w:r>
        <w:t xml:space="preserve">本体系以提升全员安全意识和防护技能为目标，形成培训、考核、改进的闭环管理机制。</w:t>
      </w:r>
      <w:r/>
    </w:p>
    <w:p>
      <w:pPr>
        <w:pBdr/>
        <w:spacing/>
        <w:ind/>
        <w:rPr/>
      </w:pPr>
      <w:r>
        <w:rPr>
          <w:b/>
        </w:rPr>
        <w:t xml:space="preserve">培训对象：</w:t>
      </w:r>
      <w:r>
        <w:t xml:space="preserve">覆盖全体员工，按管理层、技术人员、普通员工分类施训，并结合新员工入职、关键岗位调整等场景开展针对性培训。</w:t>
      </w:r>
      <w:r/>
    </w:p>
    <w:p>
      <w:pPr>
        <w:pBdr/>
        <w:spacing/>
        <w:ind/>
        <w:rPr/>
      </w:pPr>
      <w:r>
        <w:t xml:space="preserve">管理层侧重安全决策与合规要求，技术人员侧重攻防技术与应急响应，普通员工侧重操作规范与风险识别；新员工入职设置安全必修课，关键岗位调整时进行岗前安全培训。</w:t>
      </w:r>
      <w:r/>
    </w:p>
    <w:p>
      <w:pPr>
        <w:pBdr/>
        <w:spacing/>
        <w:ind/>
        <w:rPr/>
      </w:pPr>
      <w:r>
        <w:rPr>
          <w:b/>
        </w:rPr>
        <w:t xml:space="preserve">培训内容：</w:t>
      </w:r>
      <w:r>
        <w:t xml:space="preserve">主要包括网络安全形势与法律法规、钓鱼邮件识别技巧、密码安全与账号保护、数据分类分级与敏感信息处理、办公终端与移动设备安全、社会工程学防范等内容。</w:t>
      </w:r>
      <w:r/>
    </w:p>
    <w:p>
      <w:pPr>
        <w:pBdr/>
        <w:spacing/>
        <w:ind/>
        <w:rPr/>
      </w:pPr>
      <w:r>
        <w:t xml:space="preserve">同时结合典型泄密案例和行业监管要求，深入剖析常见攻击手法，针对个人隐私保护、办公环境安全等提供具体指引，确保培训内容贴近实际、易于落地。</w:t>
      </w:r>
      <w:r/>
    </w:p>
    <w:p>
      <w:pPr>
        <w:pBdr/>
        <w:spacing/>
        <w:ind/>
        <w:rPr/>
      </w:pPr>
      <w:r>
        <w:rPr>
          <w:b/>
        </w:rPr>
        <w:t xml:space="preserve">培训形式：</w:t>
      </w:r>
      <w:r>
        <w:t xml:space="preserve">采用线上学习平台、线下集中授课与专题研讨相结合的方式，提供可回看的课程资源，适应不同岗位需求和时间安排。</w:t>
      </w:r>
      <w:r/>
    </w:p>
    <w:p>
      <w:pPr>
        <w:pBdr/>
        <w:spacing/>
        <w:ind/>
        <w:rPr/>
      </w:pPr>
      <w:r>
        <w:t xml:space="preserve">线上平台支持学习进度跟踪与自动提醒，员工可灵活安排学习；线下培训注重互动与实操，通过模拟钓鱼邮件、现场演示等方式提升参与度；专题研讨围绕热点安全事件展开，促进经验交流。</w:t>
      </w:r>
      <w:r/>
    </w:p>
    <w:p>
      <w:pPr>
        <w:pBdr/>
        <w:spacing/>
        <w:ind/>
        <w:rPr/>
      </w:pPr>
      <w:r>
        <w:rPr>
          <w:b/>
        </w:rPr>
        <w:t xml:space="preserve">培训频次与课时：</w:t>
      </w:r>
      <w:r>
        <w:t xml:space="preserve">新员工入职必修；全员培训每年至少开展一次；针对财务、运维等高风险岗位每季度进行一次专题强化培训。</w:t>
      </w:r>
      <w:r/>
    </w:p>
    <w:p>
      <w:pPr>
        <w:pBdr/>
        <w:spacing/>
        <w:ind/>
        <w:rPr/>
      </w:pPr>
      <w:r>
        <w:t xml:space="preserve">每次培训时长根据内容深度和岗位特点灵活设置，并安排定期复习与测试，巩固学习成果，确保安全意识持续在线。</w:t>
      </w:r>
      <w:r/>
    </w:p>
    <w:p>
      <w:pPr>
        <w:pBdr/>
        <w:spacing/>
        <w:ind/>
        <w:rPr/>
      </w:pPr>
      <w:r>
        <w:rPr>
          <w:b/>
        </w:rPr>
        <w:t xml:space="preserve">考核方式：</w:t>
      </w:r>
      <w:r>
        <w:t xml:space="preserve">通过在线测验和情景判断等方式检验培训效果，设置明确合格标准，未通过人员安排补训补考。</w:t>
      </w:r>
      <w:r/>
    </w:p>
    <w:p>
      <w:pPr>
        <w:pBdr/>
        <w:spacing/>
        <w:ind/>
        <w:rPr/>
      </w:pPr>
      <w:r>
        <w:t xml:space="preserve">考核题目紧密联系实际工作场景，重点考察风险识别与应对能力；考核结果记入个人安全培训档案，并作为后续培训安排和绩效评价的参考。</w:t>
      </w:r>
      <w:r/>
    </w:p>
    <w:p>
      <w:pPr>
        <w:pBdr/>
        <w:spacing/>
        <w:ind/>
        <w:rPr/>
      </w:pPr>
      <w:r>
        <w:rPr>
          <w:b/>
        </w:rPr>
        <w:t xml:space="preserve">效果评价与改进：</w:t>
      </w:r>
      <w:r>
        <w:t xml:space="preserve">定期汇总考核成绩与培训反馈，分析员工安全认知薄弱点，动态调整培训内容与形式，持续优化培训体系。</w:t>
      </w:r>
      <w:r/>
    </w:p>
    <w:p>
      <w:pPr>
        <w:pBdr/>
        <w:spacing/>
        <w:ind/>
        <w:rPr/>
      </w:pPr>
      <w:r>
        <w:t xml:space="preserve">综合运用问卷调查、行为观察、安全事件分析等方式评估培训效果，定期复盘培训开展情况，优化课程设计与授课方式，推动培训工作持续改进。</w:t>
      </w:r>
      <w:r/>
    </w:p>
    <w:p>
      <w:pPr>
        <w:pStyle w:val="718"/>
        <w:pBdr/>
        <w:spacing/>
        <w:ind/>
        <w:rPr/>
      </w:pPr>
      <w:r/>
      <w:bookmarkStart w:id="126" w:name="_Toc126"/>
      <w:r>
        <w:t xml:space="preserve">10.2.3网络安全宣传专题宣贯支持</w:t>
      </w:r>
      <w:bookmarkEnd w:id="126"/>
      <w:r/>
      <w:r/>
    </w:p>
    <w:p>
      <w:pPr>
        <w:pBdr/>
        <w:spacing/>
        <w:ind/>
        <w:rPr/>
      </w:pPr>
      <w:r>
        <w:t xml:space="preserve">网络安全宣传专题宣贯支持服务旨在系统提升采购人全员网络安全素养，强化安全意识和防范能力。我司结合国家网络安全宣传周、法律法规发布、行业监管要求及热点安全事件，制定年度宣贯计划，按季度确定宣传主题，覆盖网络安全法律法规、数据安全与个人信息保护、办公终端安全、邮件安全、密码安全、社会工程学防范等方向。面向管理层、业务人员、技术人员及新入职员工等不同群体，开展分层差异化宣教，确保宣传内容贴近实际、精准触达。</w:t>
      </w:r>
      <w:r/>
    </w:p>
    <w:p>
      <w:pPr>
        <w:pBdr/>
        <w:spacing/>
        <w:ind/>
        <w:rPr/>
      </w:pPr>
      <w:r>
        <w:t xml:space="preserve">在宣贯渠道方面，我司采用线上线下融合的方式，线下通过张贴主题海报、摆放易拉宝、利用电子屏滚动播放安全提示，线上通过推送邮件图文、发布公众号文章、在企业微信和内部网站开设专题专栏，并结合举办线上线下讲座、在线微课、知识竞赛等互动形式，提升员工参与积极性。活动频次上，按季度开展主题宣贯，同时结合重大活动保障、重要时期防护要求及突发安全事件，适时增加专项宣贯活动，形成常态与专项相结合的宣教节奏。</w:t>
      </w:r>
      <w:r/>
    </w:p>
    <w:p>
      <w:pPr>
        <w:pBdr/>
        <w:spacing/>
        <w:ind/>
        <w:rPr/>
      </w:pPr>
      <w:r>
        <w:t xml:space="preserve">在内容策划与执行流程方面，每期活动遵循“调研需求—策划内容—审核发布—实施落地—效果评估”的闭环流程。首先，通过问卷调研、访谈等方式了解员工安全认知短板和关注焦点；其次，针对不同人群定制策划主题内容，采用图文、案例、短视频等通俗易懂的形式；经内部审核确保宣传内容准确合规后，通过多元渠道统一发布；实施过程中安排专人跟进互动答疑，收集员工问题。活动结束后，统计参与人数、测试成绩、问卷反馈等数据，评估各渠道覆盖率和知识掌握度，形成评估报告。</w:t>
      </w:r>
      <w:r/>
    </w:p>
    <w:p>
      <w:pPr>
        <w:pBdr/>
        <w:spacing/>
        <w:ind/>
        <w:rPr/>
      </w:pPr>
      <w:r>
        <w:t xml:space="preserve">我司将根据评估结果持续修订宣贯主题、内容深度和传播形式，不断优化宣传策略，推动网络安全意识内化于心、外化于行，确保采购人全员网络安全素养逐年提升，构建坚实的人防体系。</w:t>
      </w:r>
      <w:r/>
    </w:p>
    <w:p>
      <w:pPr>
        <w:pStyle w:val="717"/>
        <w:pBdr/>
        <w:spacing/>
        <w:ind/>
        <w:rPr/>
      </w:pPr>
      <w:r/>
      <w:bookmarkStart w:id="127" w:name="_Toc127"/>
      <w:r>
        <w:t xml:space="preserve">10.3应急与实战对抗类增值服务</w:t>
      </w:r>
      <w:bookmarkEnd w:id="127"/>
      <w:r/>
      <w:r/>
    </w:p>
    <w:p>
      <w:pPr>
        <w:pBdr/>
        <w:spacing/>
        <w:ind/>
        <w:rPr/>
      </w:pPr>
      <w:r>
        <w:t xml:space="preserve">应急与实战对抗类增值服务由北京国舜科技股份有限公司提供，旨在进一步增强中邮资管2026-2027年网络安全服务期间的整体应急响应能力。本类服务包括应急响应桌面推演、协同演练与管理制度优化三项核心内容，通过构建贴近实战的演练场景，对现有应急预案、组织协同及资源调度进行全面检验，确保安全事件发生时能够快速、有序、高效地开展处置工作。</w:t>
      </w:r>
      <w:r/>
    </w:p>
    <w:p>
      <w:pPr>
        <w:pBdr/>
        <w:spacing/>
        <w:ind/>
        <w:rPr/>
      </w:pPr>
      <w:r>
        <w:t xml:space="preserve">总体思路以实战化为导向，按照“演练—评估—改进”的闭环模式推进，确保每次演练均能发现短板并转化为优化措</w:t>
      </w:r>
      <w:r>
        <w:t xml:space="preserve">施。桌面推演侧重厘清职责与响应流程，通过模拟典型网络安全攻击场景，组织相关人员围绕事件监测、分析研判、处置决策等环节进行推演，重点检验应急组织架构是否健全、角色分工是否明确、处置流程是否顺畅。协同演练侧重检验跨部门联动与处置效率，通过设定突发事件情景，协调公司内部多部门以及与外部支持单位之间的协同配合，验证信息传递、资源调配和决策指挥等机制的有效性，提升整体协同作战能力。制度优化则巩固演练成果，依据演练中暴露出的问题，对现有应急预案、响应流程和操作规范进行针对性修订与完善，使应急预案更具备可操作性和时效性。</w:t>
      </w:r>
      <w:r/>
    </w:p>
    <w:p>
      <w:pPr>
        <w:pBdr/>
        <w:spacing/>
        <w:ind/>
        <w:rPr/>
      </w:pPr>
      <w:r>
        <w:t xml:space="preserve">预期效果包括显著缩短突发事件的响应时间，提高处置流程的规范化水平，强化全员安全意识，并最终建立一套持续运转的应急管理长效机制。通过上述三项服务的有机结合，形成“演练发现问题—评估分析原因—制度固化改进”的良性循环，持续提升中邮资管的网络安全应急管理成熟度。本节作为总体概述，后续子章节将分别介绍各增值服务的实施细节与质量保障。</w:t>
      </w:r>
      <w:r/>
    </w:p>
    <w:p>
      <w:pPr>
        <w:pStyle w:val="718"/>
        <w:pBdr/>
        <w:spacing/>
        <w:ind/>
        <w:rPr/>
      </w:pPr>
      <w:r/>
      <w:bookmarkStart w:id="128" w:name="_Toc128"/>
      <w:r>
        <w:t xml:space="preserve">10.3.1勒索病毒专项演练服务</w:t>
      </w:r>
      <w:bookmarkEnd w:id="128"/>
      <w:r/>
      <w:r/>
    </w:p>
    <w:p>
      <w:pPr>
        <w:pBdr/>
        <w:spacing/>
        <w:ind/>
        <w:rPr/>
      </w:pPr>
      <w:r>
        <w:rPr>
          <w:b/>
        </w:rPr>
        <w:t xml:space="preserve">演练目标：</w:t>
      </w:r>
      <w:r>
        <w:t xml:space="preserve"> 通过模拟勒索病毒攻击的完整过程，检验现有安全防护体系的有效性，验证应急响应流程的可行性，提升相关人员对勒索病毒的实战处置能力，确保在真实攻击发生时能够快速响应、有效遏制和及时恢复。同时以实战化为导向，注重发现防护体系中的薄弱点和应急流程中的短板，通过量化评估安全检测、响应、恢复等关键能力指标，推动安全运营能力的持续提升。</w:t>
      </w:r>
      <w:r/>
    </w:p>
    <w:p>
      <w:pPr>
        <w:pBdr/>
        <w:spacing/>
        <w:ind/>
        <w:rPr/>
      </w:pPr>
      <w:r>
        <w:rPr>
          <w:b/>
        </w:rPr>
        <w:t xml:space="preserve">演练准备：</w:t>
      </w:r>
      <w:r>
        <w:t xml:space="preserve"> 北京国舜科技股份有限公司将成立专项演练小组，结合中邮资管2026-2027年网络安全服务采购项目的实际环境，制定详细的演练方案，明确演练范围、时间、参与人员及职责。演练前进行资产梳理和风险评估，准备隔离的演练环境、测试工具和数据备份，确保演练不影响生产业务。演练前还编制实施手册和应急联络表，并对参与人员进行角色培训，确保各环节衔接顺畅。同时确认演练日期和窗口期，提前通知相关部门，避免与生产变更等计划冲突。</w:t>
      </w:r>
      <w:r/>
    </w:p>
    <w:p>
      <w:pPr>
        <w:pBdr/>
        <w:spacing/>
        <w:ind/>
        <w:rPr/>
      </w:pPr>
      <w:r>
        <w:rPr>
          <w:b/>
        </w:rPr>
        <w:t xml:space="preserve">场景设计：</w:t>
      </w:r>
      <w:r>
        <w:t xml:space="preserve"> 针对勒索病毒的典型攻击路径，设计包括初始入侵（如钓鱼邮件、漏洞利用）、横向移动（如内网探测、凭据窃取）、加密勒索（如批量加密、删除备份）等阶段的演练场景，并模拟病毒在不同主机上的传播和影响范围，重点考察安全检测、阻断和溯源能力。场景参考真实勒索病毒行为特征，设置多分支路径，根据防御响应动态调整，提升演练的真实性和对抗性。同时覆盖内网渗透、供应链攻击等复合手段，综合检验防护体系的纵深防御能力。</w:t>
      </w:r>
      <w:r/>
    </w:p>
    <w:p>
      <w:pPr>
        <w:pBdr/>
        <w:spacing/>
        <w:ind/>
        <w:rPr/>
      </w:pPr>
      <w:r>
        <w:rPr>
          <w:b/>
        </w:rPr>
        <w:t xml:space="preserve">演练流程：</w:t>
      </w:r>
      <w:r>
        <w:t xml:space="preserve"> 演练分为启动、执行、监控、结束四个阶段。启动阶段由演练控制组宣布演练开始并下达指令；执行阶段按场景设计注入模拟攻击流量和操作；监控阶段实时观察安全设备的告警记录、应急响应团队的处置动作和系统状态；结束阶段停止攻击、恢复系统并收集所有日志和证据。每个阶段均设置明确的入口出口条件，由观察员记录关键时间点，演练过程可随时安全中止。演练过程中安排安全控制组实时监测，确保模拟攻击不会造成真实损害。</w:t>
      </w:r>
      <w:r/>
    </w:p>
    <w:p>
      <w:pPr>
        <w:pBdr/>
        <w:spacing/>
        <w:ind/>
        <w:rPr/>
      </w:pPr>
      <w:r>
        <w:rPr>
          <w:b/>
        </w:rPr>
        <w:t xml:space="preserve">应急响应协同机制：</w:t>
      </w:r>
      <w:r>
        <w:t xml:space="preserve"> 明确安全团队、运维团队、管理层的职责分工，建立实时沟通和指挥机制。演练中模拟勒索病毒发现后的报告、联络、处置和上报流程，检验应急预案的可行性，强化跨部门协作能力和决策效率。建立多级响应体系和信息共享渠道，模拟跨部门联动处置，确保指令传达与行动执行同步。同时明确外部专家支援、厂商协助的联系方式，增强应对大规模勒索攻击的资源保障。</w:t>
      </w:r>
      <w:r/>
    </w:p>
    <w:p>
      <w:pPr>
        <w:pBdr/>
        <w:spacing/>
        <w:ind/>
        <w:rPr/>
      </w:pPr>
      <w:r>
        <w:rPr>
          <w:b/>
        </w:rPr>
        <w:t xml:space="preserve">结果分析与报告：</w:t>
      </w:r>
      <w:r>
        <w:t xml:space="preserve"> 演练结束后，对攻击路径、响应时间、处置措施和系统恢复情况进行全面分析，评估当前防护措施的有效性，找出薄弱环节，形成正式的演练报告，内容包括演练概况、测试数据、发现问题及改进建议。分析覆盖检测、防护、响应、恢复四个维度，用时间轴对比攻防动作，精准定位问题根因。同时评估安全意识、工具效能、流程效率等软性因素，形成多维度的能力画像。</w:t>
      </w:r>
      <w:r/>
    </w:p>
    <w:p>
      <w:pPr>
        <w:pBdr/>
        <w:spacing/>
        <w:ind/>
        <w:rPr/>
      </w:pPr>
      <w:r>
        <w:rPr>
          <w:b/>
        </w:rPr>
        <w:t xml:space="preserve">整改与复测：</w:t>
      </w:r>
      <w:r>
        <w:t xml:space="preserve"> 根据演练结果提出针对性整改建议，如安全策略优化、系统补丁更新、备份机制完善等，并跟踪整改落实情况。对重大漏洞安排复测，确保整改措施有效，形成闭环管理。制定整改计划并明确责任与时限，对暂无法整改的问题采取临时风险缓解措施，复测验证后关闭项点。同时将演练中更新的检测规则、处置手册纳入知识库，促进安全运营体系持续演进。</w:t>
      </w:r>
      <w:r/>
    </w:p>
    <w:p>
      <w:pPr>
        <w:pStyle w:val="718"/>
        <w:pBdr/>
        <w:spacing/>
        <w:ind/>
        <w:rPr/>
      </w:pPr>
      <w:r/>
      <w:bookmarkStart w:id="129" w:name="_Toc129"/>
      <w:r>
        <w:t xml:space="preserve">10.3.2钓鱼邮件与社会工程学模拟演练</w:t>
      </w:r>
      <w:bookmarkEnd w:id="129"/>
      <w:r/>
      <w:r/>
    </w:p>
    <w:p>
      <w:pPr>
        <w:pBdr/>
        <w:spacing/>
        <w:ind/>
        <w:rPr/>
      </w:pPr>
      <w:r>
        <w:t xml:space="preserve">钓鱼邮件与社会工程学模拟演练是检验员工安全意识、提升整体防护能力的有效手段。我司将结合客户实际业务场景，定期组织演练，覆盖全员及各层级岗位，重点评估员工对钓鱼邮件、伪装电话、虚假身份等攻击的识别与应对能力。</w:t>
      </w:r>
      <w:r/>
    </w:p>
    <w:p>
      <w:pPr>
        <w:pBdr/>
        <w:spacing/>
        <w:ind/>
        <w:rPr/>
      </w:pPr>
      <w:r>
        <w:t xml:space="preserve">演练目标包括检验员工对社会工程学攻击的辨识与响应能力，验证现有邮件网关与身份认证等技术防护措施的有效性，同时锻炼安全事件响应团队的协作处置能力。同时针对不同岗位设计差异化场景：对财务、人力资源等高风险岗位模拟涉及转账、薪资等敏感信息的攻击场景，对普通员工模拟系统升级、账号锁定等常见诱骗场景。</w:t>
      </w:r>
      <w:r/>
    </w:p>
    <w:p>
      <w:pPr>
        <w:pBdr/>
        <w:spacing/>
        <w:ind/>
        <w:rPr/>
      </w:pPr>
      <w:r>
        <w:t xml:space="preserve">演练方案包括：设计贴近真实业务的高仿真钓鱼邮件模板，设置诱导链接、恶意附件、虚假账号登录等典型攻击场景；通过可控渠道定向发送，确保不影响实际业务运行。演练过程中记录邮件打开率、点击率、信息提交率等数据，并依据预设规则判定风险个体与高风险部门。</w:t>
      </w:r>
      <w:r/>
    </w:p>
    <w:p>
      <w:pPr>
        <w:pBdr/>
        <w:spacing/>
        <w:ind/>
        <w:rPr/>
      </w:pPr>
      <w:r>
        <w:t xml:space="preserve">社会工程学攻击场景还包含伪装客服电话、虚假即时通讯消息、仿冒内部系统登录页以及基于公开信息定制目标话术等，全面模拟常见的社工攻击模式。演练周期采用季度定期组织与重要时期前专项演练相结合的方式，通过独立演练平台发送邮件，并设置白名单、发送频率限制等机制，确保不干扰正常业务。</w:t>
      </w:r>
      <w:r/>
    </w:p>
    <w:p>
      <w:pPr>
        <w:pBdr/>
        <w:spacing/>
        <w:ind/>
        <w:rPr/>
      </w:pPr>
      <w:r>
        <w:t xml:space="preserve">演练结束后输出统计报告与整改建议，针对高危人群开展定向强化培训，同步优化邮件网关策略与身份验证流程。我司将演练结果纳入员工安全意识评价体系，持续跟踪整改效果，形成“演练—评估—改进—再演练”的闭环机制，切实提升客户整体安全防护水平。</w:t>
      </w:r>
      <w:r/>
    </w:p>
    <w:p>
      <w:pPr>
        <w:pBdr/>
        <w:spacing/>
        <w:ind/>
        <w:rPr/>
      </w:pPr>
      <w:r>
        <w:t xml:space="preserve">同时通过推送安全宣传材料、开展微课堂、组织知识问答等配套措施强化员工防范意识，并将演练结果与安全绩效联动，持续巩固演练效果，全面提升客户整体安全防护水平。</w:t>
      </w:r>
      <w:r/>
    </w:p>
    <w:p>
      <w:pPr>
        <w:pStyle w:val="718"/>
        <w:pBdr/>
        <w:spacing/>
        <w:ind/>
        <w:rPr/>
      </w:pPr>
      <w:r/>
      <w:bookmarkStart w:id="130" w:name="_Toc130"/>
      <w:r>
        <w:t xml:space="preserve">10.3.3应急响应桌面推演与协同演练</w:t>
      </w:r>
      <w:bookmarkEnd w:id="130"/>
      <w:r/>
      <w:r/>
    </w:p>
    <w:p>
      <w:pPr>
        <w:pBdr/>
        <w:spacing/>
        <w:ind/>
        <w:rPr/>
      </w:pPr>
      <w:r>
        <w:rPr>
          <w:b/>
        </w:rPr>
        <w:t xml:space="preserve">演练目标：</w:t>
      </w:r>
      <w:r>
        <w:t xml:space="preserve"> 本次桌面推演与协同演练旨在检验应急响应预案的有效性与可操作性，提升应急响应团队的协同处置能力与决策水平，发现并整改应急响应流程中的薄弱环节，确保在真实网络安全事件发生时能够快速、有序、高效地完成遏制、根除和恢复，降低事件影响。</w:t>
      </w:r>
      <w:r/>
    </w:p>
    <w:p>
      <w:pPr>
        <w:pBdr/>
        <w:spacing/>
        <w:ind/>
        <w:rPr/>
      </w:pPr>
      <w:r>
        <w:rPr>
          <w:b/>
        </w:rPr>
        <w:t xml:space="preserve">场景设计：</w:t>
      </w:r>
      <w:r>
        <w:t xml:space="preserve"> 结合中邮资管业务特点，设计多类典型网络安全事件场景，包括但不限于勒索软件攻击、数据泄露、DDoS攻击、钓鱼邮件等。每类场景设置事件触发条件、影响范围、演变过程及预期响应要求，以真实模拟事件处置全过程。</w:t>
      </w:r>
      <w:r/>
    </w:p>
    <w:p>
      <w:pPr>
        <w:pBdr/>
        <w:spacing/>
        <w:ind/>
        <w:rPr/>
      </w:pPr>
      <w:r>
        <w:rPr>
          <w:b/>
        </w:rPr>
        <w:t xml:space="preserve">参与角色与职责：</w:t>
      </w:r>
      <w:r>
        <w:t xml:space="preserve"> 明确参与人员的角色分工，包括应急总指挥（总体决策）、应急响应小组（事件处置）、安全运营人员（监测预警）、业务部门代表（影响评估）、法务合规人员（合规支持）及外部支持力量（厂商等）。各角色职责在预案中预先明确，并通过演练验证协作流畅度。</w:t>
      </w:r>
      <w:r/>
    </w:p>
    <w:p>
      <w:pPr>
        <w:pBdr/>
        <w:spacing/>
        <w:ind/>
        <w:rPr/>
      </w:pPr>
      <w:r>
        <w:rPr>
          <w:b/>
        </w:rPr>
        <w:t xml:space="preserve">演练准备：</w:t>
      </w:r>
      <w:r>
        <w:t xml:space="preserve"> 制定详细演练计划，包括时间安排、参与人名单、演练脚本、所需资源和保障措施。提前发布演练通知，确保参与人员知悉流程。准备模拟环境或演练平台，在不影响真实业务的前提下开展。同时建立演练微信群和电话会议机制，保障通讯畅通。</w:t>
      </w:r>
      <w:r/>
    </w:p>
    <w:p>
      <w:pPr>
        <w:pBdr/>
        <w:spacing/>
        <w:ind/>
        <w:rPr/>
      </w:pPr>
      <w:r>
        <w:rPr>
          <w:b/>
        </w:rPr>
        <w:t xml:space="preserve">推演流程：</w:t>
      </w:r>
      <w:r>
        <w:t xml:space="preserve"> 按照事件生命周期依次推演：事件发现与报告、初步分析与定级、应急响应启动、事件处置（遏制、根除、恢复）、事后总结。每个阶段设置关键决策点，由应急总指挥和小组负责人做出判断。推演过程中可通过注入突发事件（如系统宕机、数据丢失）考察临场应变能力。</w:t>
      </w:r>
      <w:r/>
    </w:p>
    <w:p>
      <w:pPr>
        <w:pBdr/>
        <w:spacing/>
        <w:ind/>
        <w:rPr/>
      </w:pPr>
      <w:r>
        <w:rPr>
          <w:b/>
        </w:rPr>
        <w:t xml:space="preserve">协同机制：</w:t>
      </w:r>
      <w:r>
        <w:t xml:space="preserve"> 建立统一指挥、分级响应的协同机制，明确信息通报路径与升级条件。各角色通过应急联络群实时同步进展，关键决策由应急总指挥牵头会商。处置过程中，安全运营团队与业务部门保持紧密配合，确保业务影响最小化。对于跨单位协同，明确外部支持资源的调用流程。</w:t>
      </w:r>
      <w:r/>
    </w:p>
    <w:p>
      <w:pPr>
        <w:pBdr/>
        <w:spacing/>
        <w:ind/>
        <w:rPr/>
      </w:pPr>
      <w:r>
        <w:rPr>
          <w:b/>
        </w:rPr>
        <w:t xml:space="preserve">演练执行与记录：</w:t>
      </w:r>
      <w:r>
        <w:t xml:space="preserve"> 演练按照预设脚本逐步推进，由观察员记录各环节时间节点、响应动作和决策质量。演练结束后，收集参与人员反馈和观察报告，形成完整的演练记录，作为后续改进的依据。</w:t>
      </w:r>
      <w:r/>
    </w:p>
    <w:p>
      <w:pPr>
        <w:pBdr/>
        <w:spacing/>
        <w:ind/>
        <w:rPr/>
      </w:pPr>
      <w:r>
        <w:rPr>
          <w:b/>
        </w:rPr>
        <w:t xml:space="preserve">总结复盘与改进建议：</w:t>
      </w:r>
      <w:r>
        <w:t xml:space="preserve"> 演练结束后组织复盘会议，对演练中暴露的预案缺失、响应延迟、沟通不畅等问题进行分析。针对问题修订应急预案和操作手册，优化响应流程和协同机制，并制定整改跟踪表。定期组织复训复演，确保改进措施落地生效，不断提升应急响应能力。</w:t>
      </w:r>
      <w:r/>
    </w:p>
    <w:p>
      <w:pPr>
        <w:pStyle w:val="717"/>
        <w:pBdr/>
        <w:spacing/>
        <w:ind/>
        <w:rPr/>
      </w:pPr>
      <w:r/>
      <w:bookmarkStart w:id="131" w:name="_Toc131"/>
      <w:r>
        <w:t xml:space="preserve">10.4专项技术与定制化增值服务</w:t>
      </w:r>
      <w:bookmarkEnd w:id="131"/>
      <w:r/>
      <w:r/>
    </w:p>
    <w:p>
      <w:pPr>
        <w:pBdr/>
        <w:spacing/>
        <w:ind/>
        <w:rPr/>
      </w:pPr>
      <w:r>
        <w:rPr>
          <w:b/>
        </w:rPr>
        <w:t xml:space="preserve">安全宣传通告</w:t>
      </w:r>
      <w:r>
        <w:t xml:space="preserve">：服务目标为提升全员安全意识，降低因人为疏忽引发安全事件的风险。服务内容为定期编制宣传通告，结合高发漏洞、钓鱼邮件、社会工程等热点，提炼威胁态势与防护要点，并按岗位差异提供防护建议。以邮件推送为主，同步办公平台提醒，确保全员覆盖。每次发布后跟踪阅读情况与反馈，针对疑问在后续通告中解答。交付物为通告文档及阅读情况统计，并可按需定制专题，持续强化全员安全认知。</w:t>
      </w:r>
      <w:r/>
    </w:p>
    <w:p>
      <w:pPr>
        <w:pBdr/>
        <w:spacing/>
        <w:ind/>
        <w:rPr/>
      </w:pPr>
      <w:r>
        <w:rPr>
          <w:b/>
        </w:rPr>
        <w:t xml:space="preserve">安全意识培训</w:t>
      </w:r>
      <w:r>
        <w:t xml:space="preserve">：服务目标为提升员工对钓鱼邮件、密码安全、办公环境等常见风险识别能力。根据业务特点定制课程，区分高层、管理人员、普通员工和新员工层级。采用线上课程与现场互动结合，融入真实案例和问答，增强参与感。培训后组织考核，记录成绩并归档，未通过者安排补训。交付物包括课件、培训考核记录和年度分析报告，通过持续循环形成长效提升机制。</w:t>
      </w:r>
      <w:r/>
    </w:p>
    <w:p>
      <w:pPr>
        <w:pBdr/>
        <w:spacing/>
        <w:ind/>
        <w:rPr/>
      </w:pPr>
      <w:r>
        <w:rPr>
          <w:b/>
        </w:rPr>
        <w:t xml:space="preserve">勒索病毒演练</w:t>
      </w:r>
      <w:r>
        <w:t xml:space="preserve">：服务目标为检验防护和应急响应流程，发现薄弱环节。前期调研资产与业务，设计贴近实际的攻击场景，明确安全边界避免影响业务。演练覆盖检测、隔离、溯源、清除、恢复全流程，检验设备检测、团队响应时效、备份可用性和协作效率。结束后组织复盘，输出总结报告，列出问题清单与整改建议，并跟踪闭环整改，持续优化应急预案，提升实战处置能力。</w:t>
      </w:r>
      <w:r/>
    </w:p>
    <w:p>
      <w:pPr>
        <w:pBdr/>
        <w:spacing/>
        <w:ind/>
        <w:rPr/>
      </w:pPr>
      <w:r>
        <w:t xml:space="preserve">这些定制化服务为基础防护提供有力补充，强化采购人安全治理能力。通过宣传、培训与演练的有机结合，不仅降低人员风险与事件概率，也为安全运营积累经验，形成持续增值效果。</w:t>
      </w:r>
      <w:r/>
    </w:p>
    <w:p>
      <w:pPr>
        <w:pStyle w:val="718"/>
        <w:pBdr/>
        <w:spacing/>
        <w:ind/>
        <w:rPr/>
      </w:pPr>
      <w:r/>
      <w:bookmarkStart w:id="132" w:name="_Toc132"/>
      <w:r>
        <w:t xml:space="preserve">10.4.1安全防护策略专项核查与优化</w:t>
      </w:r>
      <w:bookmarkEnd w:id="132"/>
      <w:r/>
      <w:r/>
    </w:p>
    <w:p>
      <w:pPr>
        <w:pBdr/>
        <w:spacing/>
        <w:ind/>
        <w:rPr/>
      </w:pPr>
      <w:r>
        <w:t xml:space="preserve">安全防护策略专项核查与优化服务以我司生产网、办公网及数据中心的网络安全防护体系为对象，覆盖防火墙、Web应用防火墙、入侵检测与防御系统、数据安全策略、访问控制列表、安全组规则及远程接入策略等核心组件。核查工作依托标准化核查清单与自动化检查工具，采用安全基线对比、漏洞关联分析、配置合规检查、策略冗余分析及日志关联审计等方法，逐项检查设备配置、策略分发、规则命中及异常流量响应情况，全面识别策略配置缺陷、规则冗余、权限过度开放及防护盲区等风险。</w:t>
      </w:r>
      <w:r/>
    </w:p>
    <w:p>
      <w:pPr>
        <w:pBdr/>
        <w:spacing/>
        <w:ind/>
        <w:rPr/>
      </w:pPr>
      <w:r>
        <w:t xml:space="preserve">实施过程按照“核查、分析、优化、验证、复评”的闭环路径开展。首</w:t>
      </w:r>
      <w:r>
        <w:t xml:space="preserve">先，结合行业安全基线、等级保护要求及企业安全管理制度制定核查基线，对各类防护策略进行逐条梳理，并联动最新漏洞威胁情报与资产暴露面，评估策略的有效性与覆盖度；其次，对发现的问题进行风险分级，形成分优先级的优化建议，明确整改顺序与责任分工，并对每项建议详细说明风险成因、影响范围和预期收益；再次，在变更窗口内稳妥执行策略优化，通过灰度调整、业务连通性测试等措施降低影响，同步更新策略配置库与运维操作文档。优化完成后，利用模拟攻击验证、规则命中测试及基线再核查等手段，对比优化前后的防护效果，确认策略调整达到预期目标。</w:t>
      </w:r>
      <w:r/>
    </w:p>
    <w:p>
      <w:pPr>
        <w:pBdr/>
        <w:spacing/>
        <w:ind/>
        <w:rPr/>
      </w:pPr>
      <w:r>
        <w:t xml:space="preserve">最终输出《安全防护策略核查与优化报告》，完整呈现核查范围、核查方法、问题清单、风险评级、优化前状态与优化后结果对比、残余风险说明及后续维护建议。同时，建立周期性复评机制，结合定期的策略审计、基线核查和专项检查，持续跟踪策略运行效果，动态适应业务变化与新型威胁演进，确保安全防护策略始终保持有效、合规、精简的状态，为整体防护能力的持续提升提供可靠保障。</w:t>
      </w:r>
      <w:r/>
    </w:p>
    <w:p>
      <w:pPr>
        <w:pStyle w:val="718"/>
        <w:pBdr/>
        <w:spacing/>
        <w:ind/>
        <w:rPr/>
      </w:pPr>
      <w:r/>
      <w:bookmarkStart w:id="133" w:name="_Toc133"/>
      <w:r>
        <w:t xml:space="preserve">10.4.2定制化安全数据分析与专项报告</w:t>
      </w:r>
      <w:bookmarkEnd w:id="133"/>
      <w:r/>
      <w:r/>
    </w:p>
    <w:p>
      <w:pPr>
        <w:pBdr/>
        <w:spacing/>
        <w:ind/>
        <w:rPr/>
      </w:pPr>
      <w:r>
        <w:rPr>
          <w:b/>
        </w:rPr>
        <w:t xml:space="preserve">数据采集范围：</w:t>
      </w:r>
      <w:r>
        <w:t xml:space="preserve"> 覆盖采购人网络流量日志、安全设备告警、主机审计日志、漏洞扫描结果、资产台账等多源数据，并涵盖防火墙、入侵检测与防御系统、终端安全管理平台等组件的运行日志。通过统一清洗、标准化和关联归并，剔除冗余信息，确保分析基础全面、准确、可靠。</w:t>
      </w:r>
      <w:r/>
    </w:p>
    <w:p>
      <w:pPr>
        <w:pBdr/>
        <w:spacing/>
        <w:ind/>
        <w:rPr/>
      </w:pPr>
      <w:r>
        <w:rPr>
          <w:b/>
        </w:rPr>
        <w:t xml:space="preserve">分析维度：</w:t>
      </w:r>
      <w:r>
        <w:t xml:space="preserve"> 包括威胁告警趋势、漏洞分布与修复进展、攻击行为画像、资产风险暴露面等，并融合时间、空间、用户行为、数据流向等维度进行交叉分析。结合业务场景和资产重要性，识别潜在攻击链与高危风险点，输出高价值安全情报。</w:t>
      </w:r>
      <w:r/>
    </w:p>
    <w:p>
      <w:pPr>
        <w:pBdr/>
        <w:spacing/>
        <w:ind/>
        <w:rPr/>
      </w:pPr>
      <w:r>
        <w:rPr>
          <w:b/>
        </w:rPr>
        <w:t xml:space="preserve">报告类型与周期：</w:t>
      </w:r>
      <w:r>
        <w:t xml:space="preserve"> 提供日报、周报、月报及不定期专项报告。日报聚焦当日关键告警与处置进展，支撑快速响应；周报总结安全态势变化，辅助运维决策；月报开展全面评估与趋势预测，供管理层参考；专项报告针对重大活动保障、应急事件溯源、合规性评估等需求进行深度专题分析。</w:t>
      </w:r>
      <w:r/>
    </w:p>
    <w:p>
      <w:pPr>
        <w:pBdr/>
        <w:spacing/>
        <w:ind/>
        <w:rPr/>
      </w:pPr>
      <w:r>
        <w:rPr>
          <w:b/>
        </w:rPr>
        <w:t xml:space="preserve">交付格式与内容结构：</w:t>
      </w:r>
      <w:r>
        <w:t xml:space="preserve"> 以 PDF/Word 形式交付，并可提供可编辑数据表格。内容包含摘要、数据分析、风险预警、处置建议等章节，采用趋势图、占比图等多种可视化图表直观呈现。每份报告标注数据来源、统计口径和分析方法，附必要术语解释，确保专业规范。</w:t>
      </w:r>
      <w:r/>
    </w:p>
    <w:p>
      <w:pPr>
        <w:pBdr/>
        <w:spacing/>
        <w:ind/>
        <w:rPr/>
      </w:pPr>
      <w:r>
        <w:rPr>
          <w:b/>
        </w:rPr>
        <w:t xml:space="preserve">数据脱敏与保密：</w:t>
      </w:r>
      <w:r>
        <w:t xml:space="preserve"> 所有报告涉及敏感数据均做脱敏处理，包括IP地址匿名化、账户信息遮盖等。严格遵守保密协议，通过访问控制、水印标识和分发审计落实保密要求，仅限授权范围内使用和分发。</w:t>
      </w:r>
      <w:r/>
    </w:p>
    <w:p>
      <w:pPr>
        <w:pBdr/>
        <w:spacing/>
        <w:ind/>
        <w:rPr/>
      </w:pPr>
      <w:r>
        <w:rPr>
          <w:b/>
        </w:rPr>
        <w:t xml:space="preserve">与安全运营衔接：</w:t>
      </w:r>
      <w:r>
        <w:t xml:space="preserve"> 报告结果直接反馈至日常安全运营流程，与安全运维平台、告警工单系统衔接，形成“监测—分析—响应—优化”闭环。定期组织报告解读和安全形势会商，协助调整防护策略与处置优先级，为采购人安全管理决策提供数据支撑。</w:t>
      </w:r>
      <w:r/>
    </w:p>
    <w:p>
      <w:pPr>
        <w:pStyle w:val="718"/>
        <w:pBdr/>
        <w:spacing/>
        <w:ind/>
        <w:rPr/>
      </w:pPr>
      <w:r/>
      <w:bookmarkStart w:id="134" w:name="_Toc134"/>
      <w:r>
        <w:t xml:space="preserve">10.4.3安全管理制度与流程优化建议</w:t>
      </w:r>
      <w:bookmarkEnd w:id="134"/>
      <w:r/>
      <w:r/>
    </w:p>
    <w:p>
      <w:pPr>
        <w:pBdr/>
        <w:spacing/>
        <w:ind/>
        <w:rPr/>
      </w:pPr>
      <w:r>
        <w:t xml:space="preserve">针对采购人现有安全管理体系，建议从以下方面实施优化：</w:t>
      </w:r>
      <w:r/>
    </w:p>
    <w:p>
      <w:pPr>
        <w:pBdr/>
        <w:spacing/>
        <w:ind/>
        <w:rPr/>
      </w:pPr>
      <w:r>
        <w:rPr>
          <w:b/>
        </w:rPr>
        <w:t xml:space="preserve">现状评估：</w:t>
      </w:r>
      <w:r>
        <w:t xml:space="preserve">开展安全管理现状调研与差距分析，采用访谈、问卷、文档审阅和现场核查相结合的方式，全面了解采购人现有安全管理体系的实际运行情况。对照监管要求（如网络安全法、数据安全法、等级保护制度等）和行业最佳实践（如ISO27001、NIST CSF等），从安全策略、组织架构、管理制度、业务流程、技术控制五个维度开展系统性差距分析，识别制度缺失、职责交叉、流程堵点和资源错配等问题。输出现状调研报告与差距清单，对每项问题明确优先级、风险等级和优化建议，作为后续制度架构优化和流程改进的输入依据。</w:t>
      </w:r>
      <w:r/>
    </w:p>
    <w:p>
      <w:pPr>
        <w:pBdr/>
        <w:spacing/>
        <w:ind/>
        <w:rPr/>
      </w:pPr>
      <w:r>
        <w:rPr>
          <w:b/>
        </w:rPr>
        <w:t xml:space="preserve">制度架构优化：</w:t>
      </w:r>
      <w:r>
        <w:t xml:space="preserve">构建以安全策略为统领、以安全管理制度为主体、以操作规程和记录表单为支撑的分层级制度体系。明确决策层（安全领导小组）、管理层（安全管理部门）、执行层（各业务与技术岗位）三级职责分工，形成“决策—管理—执行—反馈”的闭环治理机制。结合采购人业务特点和监管要求，补充完善安全操作细则、岗位安全责任书、安全考核办法及违规问责机制，同时建立制度版本管理与定期评审机制，确保制度的完整性、协调性与时效性。</w:t>
      </w:r>
      <w:r/>
    </w:p>
    <w:p>
      <w:pPr>
        <w:pBdr/>
        <w:spacing/>
        <w:ind/>
        <w:rPr/>
      </w:pPr>
      <w:r>
        <w:rPr>
          <w:b/>
        </w:rPr>
        <w:t xml:space="preserve">流程梳理改进：</w:t>
      </w:r>
      <w:r>
        <w:t xml:space="preserve">聚焦安全运维、事件响应、数据保护、供应商安全、应急响应等核心业务流程，采用流程建模与关键节点分析的方法，逐项梳理现状流程中的冗余环节、审批瓶颈和信息孤岛。结合采购人组织现状，优化流程责任矩阵（RACI），简化非必要审批节点，明确各环节输入、输出、时限和责任人，建立从发现、评估、处置、验证到反馈的闭环管理机制。同时推动流程线上化和关键控制点固化，借助安全运营平台实现流程自动化与可视化，提升跨部门协同效率和风险响应速度。</w:t>
      </w:r>
      <w:r/>
    </w:p>
    <w:p>
      <w:pPr>
        <w:pBdr/>
        <w:spacing/>
        <w:ind/>
        <w:rPr/>
      </w:pPr>
      <w:r>
        <w:rPr>
          <w:b/>
        </w:rPr>
        <w:t xml:space="preserve">落地实施路径：</w:t>
      </w:r>
      <w:r>
        <w:t xml:space="preserve">按照“规划—试点—推广—固化”四阶段推进，先选择安全管理基础较好的部门或系统开展试点，验证制度与流程的适用性和可操作性，根据反馈及时调整优化方案。在试点成功基础上，逐步向全公司推广，并同步开展分层分类的制度宣贯与流程培训，确保各级人员理解并有效执行。配套建立制度与流程的定期评审机制，结合内外部审计、安全演练和安全事件复盘，每年度至少开展一次全面评估，持续识别改进机会，推动安全管理体系与时俱进，确保各项优化措施切实落地并产生实效。</w:t>
      </w:r>
      <w:r/>
    </w:p>
    <w:p>
      <w:pPr>
        <w:pStyle w:val="716"/>
        <w:pBdr/>
        <w:spacing/>
        <w:ind/>
        <w:rPr/>
      </w:pPr>
      <w:r/>
      <w:bookmarkStart w:id="135" w:name="_Toc135"/>
      <w:r>
        <w:t xml:space="preserve">十一、价格评分</w:t>
      </w:r>
      <w:bookmarkEnd w:id="135"/>
      <w:r/>
      <w:r/>
    </w:p>
    <w:p>
      <w:pPr>
        <w:pBdr/>
        <w:spacing/>
        <w:ind/>
        <w:rPr/>
      </w:pPr>
      <w:r>
        <w:t xml:space="preserve">本章提供投标报价汇总，作为价格评分依据。我方已按招标文件要求及本项目服务范围，编制投标总报价，涵盖完成全部网络安全服务所需的所有费用，包括人工、工具、差旅及管理成本等，并确保报价的合理性、完整性。投标总报价及分项报价以《投标一览表》和《分项报价明细表》为准，作为价格评分的直接依据。</w:t>
      </w:r>
      <w:r/>
    </w:p>
    <w:p>
      <w:pPr>
        <w:pBdr/>
        <w:spacing/>
        <w:ind/>
        <w:rPr/>
      </w:pPr>
      <w:r>
        <w:rPr>
          <w:b/>
        </w:rPr>
        <w:t xml:space="preserve">报价构成：</w:t>
      </w:r>
      <w:r>
        <w:t xml:space="preserve">本项目报价主要由网络安全运营服务费、安全评估服务费、安全加固服务费、应急响应服务费及增值服务费等构成。分项价格根据服务内容、人员投入、技术难度及市场行情科学测算，各分项之间无交叉重复，且未包含任何不符合招标文件要求的附加费用。每项分项报价均与招标文件的服务范围、服务标准及考核要求逐项对应，确保报价口径与投标方案一致。</w:t>
      </w:r>
      <w:r/>
    </w:p>
    <w:p>
      <w:pPr>
        <w:pBdr/>
        <w:spacing/>
        <w:ind/>
        <w:rPr/>
      </w:pPr>
      <w:r>
        <w:rPr>
          <w:b/>
        </w:rPr>
        <w:t xml:space="preserve">价格评分响应：</w:t>
      </w:r>
      <w:r>
        <w:t xml:space="preserve">我方已认真研究招标文件的评审办法，完全理解评审基准价的确定方式及报价得分计算公式，即报价得分按照评审基准价除以投标报价再乘以相应权重的方式计算。我方投标报价真实有效，无恶意低价或虚假报价，能够确保服务质量和响应时效。我方承诺接受评审基准价与报价得分的核算结果，并保证价格评分计算所需的各项数据完整、可获得，配合评标委员会顺利完成价格评审。同时，我方将全力配合评标委员会对报价数据及计算过程的逐项复核，确保价格评分工作高效、准确完成。</w:t>
      </w:r>
      <w:r/>
    </w:p>
    <w:p>
      <w:pPr>
        <w:pBdr/>
        <w:spacing/>
        <w:ind/>
        <w:rPr/>
      </w:pPr>
      <w:r>
        <w:rPr>
          <w:b/>
        </w:rPr>
        <w:t xml:space="preserve">评审配合与数据可追溯性：</w:t>
      </w:r>
      <w:r>
        <w:t xml:space="preserve">我方将随投标文件提供完整的分项报价说明及价格构成依据，包括人员投入数量、工作时长、工具使用和差旅测算等基础数据，确保每一项报价内容可追溯、可核查。若评标委员会需要进一步说明，我方将在规定时限内提供书面澄清。</w:t>
      </w:r>
      <w:r/>
    </w:p>
    <w:p>
      <w:pPr>
        <w:pStyle w:val="717"/>
        <w:pBdr/>
        <w:spacing/>
        <w:ind/>
        <w:rPr/>
      </w:pPr>
      <w:r/>
      <w:bookmarkStart w:id="136" w:name="_Toc136"/>
      <w:r>
        <w:t xml:space="preserve">11.1投标报价方案</w:t>
      </w:r>
      <w:bookmarkEnd w:id="136"/>
      <w:r/>
      <w:r/>
    </w:p>
    <w:p>
      <w:pPr>
        <w:pBdr/>
        <w:spacing/>
        <w:ind/>
        <w:rPr/>
      </w:pPr>
      <w:r>
        <w:t xml:space="preserve">本投标报价方案针对中邮资管2026-2027年网络安全服务采购项目，基于招标文件要求和项目需求编制，涵盖技术服务、人员、设备及管理等全部费用。</w:t>
      </w:r>
      <w:r/>
    </w:p>
    <w:p>
      <w:pPr>
        <w:pBdr/>
        <w:spacing/>
        <w:ind/>
        <w:rPr/>
      </w:pPr>
      <w:r>
        <w:t xml:space="preserve">本报价方案严格依据招标文件、项目需求书及国家相关法律法规编制，综合考虑服务内容、服务周期、人员投入、技术难度与市场行情，确保报价既体现服务价值，又具备竞争力。报价编制中对各模块工作量进行了科学估算，结合资源配置和管理成本，形成系统完整的报价体系。</w:t>
      </w:r>
      <w:r/>
    </w:p>
    <w:p>
      <w:pPr>
        <w:pBdr/>
        <w:spacing/>
        <w:ind/>
        <w:rPr/>
      </w:pPr>
      <w:r>
        <w:rPr>
          <w:b/>
        </w:rPr>
        <w:t xml:space="preserve">报价原则：</w:t>
      </w:r>
      <w:r>
        <w:t xml:space="preserve">合规、合理、透明、科学。严格遵循招标文件及相关法规，实事求是，不虚报不漏项。在保证服务质量前提下，优化资源配置，合理控制成本，提供高性价比服务。所有报价均基于明确范围和工作内容，避免模糊计价，确保公开透明。</w:t>
      </w:r>
      <w:r/>
    </w:p>
    <w:p>
      <w:pPr>
        <w:pBdr/>
        <w:spacing/>
        <w:ind/>
        <w:rPr/>
      </w:pPr>
      <w:r>
        <w:rPr>
          <w:b/>
        </w:rPr>
        <w:t xml:space="preserve">服务范围：</w:t>
      </w:r>
      <w:r>
        <w:t xml:space="preserve">覆盖全部网络安全技术服务内容，包括安全评估、安全运维、应急响应、安全咨询等涉及的人员、工具、交通及管理成本。</w:t>
      </w:r>
      <w:r/>
    </w:p>
    <w:p>
      <w:pPr>
        <w:pBdr/>
        <w:spacing/>
        <w:ind/>
        <w:rPr/>
      </w:pPr>
      <w:r>
        <w:t xml:space="preserve">除人员、工具、交通及管理成本外，报价还包含专用检测设备租赁、漏洞验证环境搭建、应急响应备用资源、报告编制审核、专家咨询及后续保障等全部费用。服务范围覆盖招标文件所列全部技术需求，无漏项或另收费项目。</w:t>
      </w:r>
      <w:r/>
    </w:p>
    <w:p>
      <w:pPr>
        <w:pBdr/>
        <w:spacing/>
        <w:ind/>
        <w:rPr/>
      </w:pPr>
      <w:r>
        <w:rPr>
          <w:b/>
        </w:rPr>
        <w:t xml:space="preserve">商务条款：</w:t>
      </w:r>
      <w:r>
        <w:t xml:space="preserve">本报价为含税全包价，包含各项税费及一切可能费用，合同期内固定不变。付款、履约保证金、违约责任等严格遵循招标文件及合同约定，我方承诺无条件响应采购人合理需求。</w:t>
      </w:r>
      <w:r/>
    </w:p>
    <w:p>
      <w:pPr>
        <w:pBdr/>
        <w:spacing/>
        <w:ind/>
        <w:rPr/>
      </w:pPr>
      <w:r>
        <w:t xml:space="preserve">后续章节将详细说明报价依据、计算方法、费用构成及有效性确认方式，并附汇总表及证明材料，确保有据可查。</w:t>
      </w:r>
      <w:r/>
    </w:p>
    <w:p>
      <w:pPr>
        <w:pStyle w:val="718"/>
        <w:pBdr/>
        <w:spacing/>
        <w:ind/>
        <w:rPr/>
      </w:pPr>
      <w:r/>
      <w:bookmarkStart w:id="137" w:name="_Toc137"/>
      <w:r>
        <w:t xml:space="preserve">11.1.1报价依据与原则</w:t>
      </w:r>
      <w:bookmarkEnd w:id="137"/>
      <w:r/>
      <w:r/>
    </w:p>
    <w:p>
      <w:pPr>
        <w:pBdr/>
        <w:spacing/>
        <w:ind/>
        <w:rPr/>
      </w:pPr>
      <w:r>
        <w:rPr>
          <w:b/>
        </w:rPr>
        <w:t xml:space="preserve">报价依据：</w:t>
      </w:r>
      <w:r>
        <w:t xml:space="preserve"> 本项目报价严格依据《中邮资管2026-2027年网络</w:t>
      </w:r>
      <w:r>
        <w:t xml:space="preserve">安全服务采购项目》招标文件及澄清答疑文件、国家及行业网络安全服务相关收费政策、北京市市场行情，并结合我公司实际运营成本、技术实力及同类项目历史服务经验综合测算确定。具体而言，报价测算过程充分遵循国家有关法律法规和行业标准，参考了北京市网络安全服务市场近期公开招标成交价格及行业研究报告，综合评估了本项目服务周期、服务范围、技术难度、服务质量要求等多重因素。同时，我公司依据自身财务管理制度，对人工成本、设备投入、管理分摊及预期利润进行了精细化测算，确保报价既具备市场竞争力，又能保障服务资源的充足投入和履约质量。</w:t>
      </w:r>
      <w:r/>
    </w:p>
    <w:p>
      <w:pPr>
        <w:pBdr/>
        <w:spacing/>
        <w:ind/>
        <w:rPr/>
      </w:pPr>
      <w:r>
        <w:rPr>
          <w:b/>
        </w:rPr>
        <w:t xml:space="preserve">报价原则：</w:t>
      </w:r>
      <w:r>
        <w:t xml:space="preserve"> 我公司遵循合理性、完整性、透明性和竞争性四项原则。合理性指报价与市场水平及服务价值相符，各分项价格均经过充分市场调研和成本核算，杜绝虚高或恶意低价；完整性指报价覆盖招标文件要求的全部服务内容，已逐项对照需求清单进行核查，确保无遗漏、无歧义；透明性指报价构成公开明确，无隐含费用，各项费用分类清晰、计算依据充分，便于招标方审查；竞争性指在确保服务质量和履约能力的前提下，通过优化服务流程、合理配置资源，提供具有竞争力的价格，为招标方实现最优性价比。</w:t>
      </w:r>
      <w:r/>
    </w:p>
    <w:p>
      <w:pPr>
        <w:pBdr/>
        <w:spacing/>
        <w:ind/>
        <w:rPr/>
      </w:pPr>
      <w:r>
        <w:rPr>
          <w:b/>
        </w:rPr>
        <w:t xml:space="preserve">报价构成：</w:t>
      </w:r>
      <w:r>
        <w:t xml:space="preserve"> 本项目报价包含基础安全服务费、增值服务费、税金及其他相关费用，涵盖完成本项目所需的人工、设备、管理、利润等全部成本。其中，基础</w:t>
      </w:r>
      <w:r>
        <w:t xml:space="preserve">安全服务费包括但不限于安全运营、漏洞扫描、渗透测试、风险评估、应急响应等常规服务相关的人员费用与工具费用；增值服务费包括安全意识宣传、勒索病毒演练、专项核查、钓鱼邮件模拟等定制化服务所需的额外投入；税金按照国家现行增值税税率及地方税收政策计取；其他相关费用包括项目实施过程中产生的合理差旅费、资料费等。除招标文件明确约定外，不收取其他任何费用。同时，下列情形产生的费用不包含在本报价内：招标范围外新增服务内容、因招标方原因导致的重大需求变更、不可抗力事件引发的额外支出，此类费用将按照双方另行协商的补充协议执行。</w:t>
      </w:r>
      <w:r/>
    </w:p>
    <w:p>
      <w:pPr>
        <w:pStyle w:val="718"/>
        <w:pBdr/>
        <w:spacing/>
        <w:ind/>
        <w:rPr/>
      </w:pPr>
      <w:r/>
      <w:bookmarkStart w:id="138" w:name="_Toc138"/>
      <w:r>
        <w:t xml:space="preserve">11.1.2报价构成与汇总</w:t>
      </w:r>
      <w:bookmarkEnd w:id="138"/>
      <w:r/>
      <w:r/>
    </w:p>
    <w:p>
      <w:pPr>
        <w:pBdr/>
        <w:spacing/>
        <w:ind/>
        <w:rPr/>
      </w:pPr>
      <w:r>
        <w:t xml:space="preserve">本项目报价由总报价与分项服务费用构成，整体遵循完整、清晰、可核对的原则，确保各服务环节费用如实反映工作量与服务价值。总报价涵盖中邮资管2026-2027年网络安全服务采购项目的全部工作内容，包括但不限于需求清单所列的各类网络安全服务及未单列但与实施相关的辅助工作，以及相关人工、工具、差旅、报告编制等所有相关费用，为含税价格，适用税率按国家相关税收政策执行。报价汇总表与分项报价表内容一致，确保费用清晰、无遗漏、无重复。</w:t>
      </w:r>
      <w:r/>
    </w:p>
    <w:p>
      <w:pPr>
        <w:pBdr/>
        <w:spacing/>
        <w:ind/>
        <w:rPr/>
      </w:pPr>
      <w:r>
        <w:t xml:space="preserve">报价汇总表以总表形式列示项目总报价、服务周期及含税总价，便于采购方整体掌握费用规模。分项报价表按服务项目逐一分别列示，每项均载明服务项目名称、服务周期、单价、合价、适用税率及备注说明。各分项报价汇总后与总报价严格一致，确保费用清晰、无遗漏、无重复。分项报价表的设计充分考虑不同服务类型的计价特点，对按周期计费的服务以月为单位核算，对按次计费的服务以每次服务为核算单位，并明确各分项的服务起止时间与频次要求。</w:t>
      </w:r>
      <w:r/>
    </w:p>
    <w:p>
      <w:pPr>
        <w:pBdr/>
        <w:spacing/>
        <w:ind/>
        <w:rPr/>
      </w:pPr>
      <w:r>
        <w:t xml:space="preserve">在报价汇总与分项报价的对应关系上，采用逐级汇总方式：先计算各分项报价合计，再与总报价进行交叉核对，确保两表数据完全一致。同时，报价中已包含履行本项目所需的一切税费、保险费、管理费及利润，采购方无需另行支付任何额外费用。报价货币为人民币。在服务实施过程中若出现合同范围外的工作，双方另行协商确定费用，但不影响本报价的完整性。本报价的构成已全面反映项目需求，不存在隐性和附加费用。</w:t>
      </w:r>
      <w:r/>
    </w:p>
    <w:p>
      <w:pPr>
        <w:pStyle w:val="717"/>
        <w:pBdr/>
        <w:spacing/>
        <w:ind/>
        <w:rPr/>
      </w:pPr>
      <w:r/>
      <w:bookmarkStart w:id="139" w:name="_Toc139"/>
      <w:r>
        <w:t xml:space="preserve">11.2价格评分响应</w:t>
      </w:r>
      <w:bookmarkEnd w:id="139"/>
      <w:r/>
      <w:r/>
    </w:p>
    <w:p>
      <w:pPr>
        <w:pBdr/>
        <w:spacing/>
        <w:ind/>
        <w:rPr/>
      </w:pPr>
      <w:r>
        <w:t xml:space="preserve">本投标人已认真阅读并充分理解招标文件关于价格评分办法的全部要求，现对价格评分响应作总体说明。</w:t>
      </w:r>
      <w:r/>
    </w:p>
    <w:p>
      <w:pPr>
        <w:pBdr/>
        <w:spacing/>
        <w:ind/>
        <w:rPr/>
      </w:pPr>
      <w:r>
        <w:t xml:space="preserve">北京国舜科技股份有限公司针对中邮资管2026-2027年网络安全服务采购项目的投标报价，已严格依据招标文件规定的价格评分规则进行编制与响应。投标总报价为完成本项目全部服务内容所需的一切费用，包括但不限于人工、设备、差旅、税费等，报价范围完整，不存在遗漏或缺项。</w:t>
      </w:r>
      <w:r/>
    </w:p>
    <w:p>
      <w:pPr>
        <w:pBdr/>
        <w:spacing/>
        <w:ind/>
        <w:rPr/>
      </w:pPr>
      <w:r>
        <w:t xml:space="preserve">在报价编制过程中，本公司组织商务和技术团队对招标文件中的服务范围、交付标准、人员投入计划及风险因素进行了逐条梳理，将人工、设备、差旅、管理及税费等全部成本构成纳入统一测算。报价采用定额测算与市场询价法相结合的方式，各分项费用均依据国家相关计价规范和市场行情合理确定，并在汇总层面统筹优化，确保总报价既完整覆盖服务内容，又具备市场竞争力。</w:t>
      </w:r>
      <w:r/>
    </w:p>
    <w:p>
      <w:pPr>
        <w:pBdr/>
        <w:spacing/>
        <w:ind/>
        <w:rPr/>
      </w:pPr>
      <w:r>
        <w:t xml:space="preserve">本节作为价格评分响应的总述，重点说明报价与价格评分计算的对应结构关系：报价构成汇总及分项报价明细详见11.1.2节，价格评分计算的具体过程与得分依据详见11.2.2节。本公司在报价策略上，结合自身技术优势和行业市场行情，制定了具有竞争力的合理价格；在合理性方面，各项费用测算依据充分，成本构成清晰；在透明度方面，报价分项明确，便于评标委员会逐项核对。</w:t>
      </w:r>
      <w:r/>
    </w:p>
    <w:p>
      <w:pPr>
        <w:pBdr/>
        <w:spacing/>
        <w:ind/>
        <w:rPr/>
      </w:pPr>
      <w:r>
        <w:t xml:space="preserve">本节按照“报价构成汇总—分项报价明细—价格评分计算—得分依据说明”的逻辑依次展开，形成与价格评分办法逐项对应的完整应答链。同时，本公司已对报价文件与服务方案中的服务内容、实施周期、考核指标等进行了交叉复核，确保报价范围与项目需求完全一致，不存在漏项、错项或表述歧义，为评标委员会准确开展价格评审提供清晰依据。</w:t>
      </w:r>
      <w:r/>
    </w:p>
    <w:p>
      <w:pPr>
        <w:pBdr/>
        <w:spacing/>
        <w:ind/>
        <w:rPr/>
      </w:pPr>
      <w:r>
        <w:t xml:space="preserve">本公司承诺，一旦中标，将严格按投标报价执行，不擅自调整价格，并在服务期内保质保量完成全部合同义务。</w:t>
      </w:r>
      <w:r/>
    </w:p>
    <w:p>
      <w:pPr>
        <w:pStyle w:val="718"/>
        <w:pBdr/>
        <w:spacing/>
        <w:ind/>
        <w:rPr/>
      </w:pPr>
      <w:r/>
      <w:bookmarkStart w:id="140" w:name="_Toc140"/>
      <w:r>
        <w:t xml:space="preserve">11.2.1报价有效性确认</w:t>
      </w:r>
      <w:bookmarkEnd w:id="140"/>
      <w:r/>
      <w:r/>
    </w:p>
    <w:p>
      <w:pPr>
        <w:pBdr/>
        <w:spacing/>
        <w:ind/>
        <w:rPr/>
      </w:pPr>
      <w:r>
        <w:t xml:space="preserve">致：中邮资管</w:t>
      </w:r>
      <w:r/>
    </w:p>
    <w:p>
      <w:pPr>
        <w:pBdr/>
        <w:spacing/>
        <w:ind/>
        <w:rPr/>
      </w:pPr>
      <w:r>
        <w:t xml:space="preserve">我公司北京国舜科技股份有限公司，就中邮资管2026-2027年网络安全服务采购项目（标段1）的投标报价，特此确认如下：</w:t>
      </w:r>
      <w:r/>
    </w:p>
    <w:p>
      <w:pPr>
        <w:pBdr/>
        <w:spacing/>
        <w:ind/>
        <w:rPr/>
      </w:pPr>
      <w:r>
        <w:t xml:space="preserve">一、报价有效期</w:t>
      </w:r>
      <w:r/>
    </w:p>
    <w:p>
      <w:pPr>
        <w:pBdr/>
        <w:spacing/>
        <w:ind/>
        <w:rPr/>
      </w:pPr>
      <w:r>
        <w:t xml:space="preserve">本次投标报价有效期自投标截止时间起，至招标文件规定的投标有效期届满之日止（具体以招标文件载明的有效期为限）。在报价有效期内，我公司严格接受本报价承诺的约束，不擅自撤销、修改或变更报价。投标报价已涵盖招标文件要求的全部服务内容、责任和义务，且为完成本项目可能发生的一切费用均包含在报价中。</w:t>
      </w:r>
      <w:r/>
    </w:p>
    <w:p>
      <w:pPr>
        <w:pBdr/>
        <w:spacing/>
        <w:ind/>
        <w:rPr/>
      </w:pPr>
      <w:r>
        <w:t xml:space="preserve">二、有效期内的承诺</w:t>
      </w:r>
      <w:r/>
    </w:p>
    <w:p>
      <w:pPr>
        <w:pBdr/>
        <w:spacing/>
        <w:ind/>
        <w:rPr/>
      </w:pPr>
      <w:r>
        <w:t xml:space="preserve">在报价有效期内，我公司承诺：</w:t>
      </w:r>
      <w:r/>
    </w:p>
    <w:p>
      <w:pPr>
        <w:pStyle w:val="749"/>
        <w:pBdr/>
        <w:spacing/>
        <w:ind/>
        <w:rPr/>
      </w:pPr>
      <w:r>
        <w:t xml:space="preserve">所报价格保持固定不变，不因市场波动、政策调整等因素而改变。</w:t>
      </w:r>
      <w:r/>
    </w:p>
    <w:p>
      <w:pPr>
        <w:pStyle w:val="749"/>
        <w:pBdr/>
        <w:spacing/>
        <w:ind/>
        <w:rPr/>
      </w:pPr>
      <w:r>
        <w:t xml:space="preserve">若我公司中标，将严格按照投标报价签订合同，并全面履行投标文件中所作各项承诺，包括服务范围、技术方案、人员配置、增值服务内容等均与报价依据一致。</w:t>
      </w:r>
      <w:r/>
    </w:p>
    <w:p>
      <w:pPr>
        <w:pStyle w:val="749"/>
        <w:pBdr/>
        <w:spacing/>
        <w:ind/>
        <w:rPr/>
      </w:pPr>
      <w:r>
        <w:t xml:space="preserve">投标报价真实、合理、有效，不存在低于成本恶意竞争行为，也不存在任何虚假或误导性内容。</w:t>
      </w:r>
      <w:r/>
    </w:p>
    <w:p>
      <w:pPr>
        <w:pBdr/>
        <w:spacing/>
        <w:ind/>
        <w:rPr/>
      </w:pPr>
      <w:r>
        <w:t xml:space="preserve">三、超出有效期的处理办法</w:t>
      </w:r>
      <w:r/>
    </w:p>
    <w:p>
      <w:pPr>
        <w:pBdr/>
        <w:spacing/>
        <w:ind/>
        <w:rPr/>
      </w:pPr>
      <w:r>
        <w:t xml:space="preserve">若超出投标有效期，我公司将依据招标文件规定及招标人实际需求，与招标人协商确认报价是否延续或重新报价。若招标人同意延续原报价，我公司保证按原报价及同等条件继续提供服务，不追加任何额外费用；若需重新报价，我公司将积极配合，根据届时市场行情和服务内容提供公平、合理的价格。无论采取何种方式，均保证以双方书面协商结果为准。同时，超出有效期后，原报价承诺自动失效，除非双方另行达成书面协议并盖章确认。</w:t>
      </w:r>
      <w:r/>
    </w:p>
    <w:p>
      <w:pPr>
        <w:pBdr/>
        <w:spacing/>
        <w:ind/>
        <w:rPr/>
      </w:pPr>
      <w:r>
        <w:t xml:space="preserve">四、承诺效力</w:t>
      </w:r>
      <w:r/>
    </w:p>
    <w:p>
      <w:pPr>
        <w:pBdr/>
        <w:spacing/>
        <w:ind/>
        <w:rPr/>
      </w:pPr>
      <w:r>
        <w:t xml:space="preserve">本确认函作为投标文件的组成部分，与投标文件具有同等法律效力。我公司对报价内容的真实性、合法性负完全责任，并接受招标人及监管部门的监督。如有违反承诺的行为，我公司愿意承担由此产生的相应法律责任。</w:t>
      </w:r>
      <w:r/>
    </w:p>
    <w:p>
      <w:pPr>
        <w:pBdr/>
        <w:spacing/>
        <w:ind/>
        <w:rPr/>
      </w:pPr>
      <w:r>
        <w:t xml:space="preserve">特此承诺。</w:t>
      </w:r>
      <w:r/>
    </w:p>
    <w:p>
      <w:pPr>
        <w:pBdr/>
        <w:spacing/>
        <w:ind/>
        <w:rPr/>
      </w:pPr>
      <w:r>
        <w:t xml:space="preserve">投标人：北京国舜科技股份有限公司（盖章）</w:t>
      </w:r>
      <w:r/>
    </w:p>
    <w:p>
      <w:pPr>
        <w:pBdr/>
        <w:spacing/>
        <w:ind/>
        <w:rPr/>
      </w:pPr>
      <w:r>
        <w:t xml:space="preserve">法定代表人或授权代表（签字）：</w:t>
      </w:r>
      <w:r/>
    </w:p>
    <w:p>
      <w:pPr>
        <w:pBdr/>
        <w:spacing/>
        <w:ind/>
        <w:rPr/>
      </w:pPr>
      <w:r>
        <w:t xml:space="preserve">日期：____年____月____日</w:t>
      </w:r>
      <w:r/>
    </w:p>
    <w:p>
      <w:pPr>
        <w:pStyle w:val="718"/>
        <w:pBdr/>
        <w:spacing/>
        <w:ind/>
        <w:rPr/>
      </w:pPr>
      <w:r/>
      <w:bookmarkStart w:id="141" w:name="_Toc141"/>
      <w:r>
        <w:t xml:space="preserve">11.2.2价格评分计算响应</w:t>
      </w:r>
      <w:bookmarkEnd w:id="141"/>
      <w:r/>
      <w:r/>
    </w:p>
    <w:p>
      <w:pPr>
        <w:pBdr/>
        <w:spacing/>
        <w:ind/>
        <w:rPr/>
      </w:pPr>
      <w:r>
        <w:t xml:space="preserve">我司完全响应招标文件价格评分办法，承诺严格按照评标委员会依据招标文件确定的价格评分计算口径执行，具体响应如下。</w:t>
      </w:r>
      <w:r/>
    </w:p>
    <w:p>
      <w:pPr>
        <w:pBdr/>
        <w:spacing/>
        <w:ind/>
        <w:rPr/>
      </w:pPr>
      <w:r>
        <w:t xml:space="preserve">关于评审基准价计算：评审基准价严格遵循招标文件规定的评审基准价计算公式确定，该公式以所有有效投标报价为基础进行综合计算，充分反映各投标人的报价水平，我司对此无任何异议，并认可其作为价格评分的基础基准。</w:t>
      </w:r>
      <w:r/>
    </w:p>
    <w:p>
      <w:pPr>
        <w:pBdr/>
        <w:spacing/>
        <w:ind/>
        <w:rPr/>
      </w:pPr>
      <w:r>
        <w:t xml:space="preserve">关于投标报价与基准价的关系：我司投标报价与评审基准价的关系严格按照招标文件规定的偏差率计算方式予以计量，偏差率准确反映报价与基准价的偏离程度，并将作为价格得分核算的直接输入值，我司报价完整、真实、有效。</w:t>
      </w:r>
      <w:r/>
    </w:p>
    <w:p>
      <w:pPr>
        <w:pBdr/>
        <w:spacing/>
        <w:ind/>
        <w:rPr/>
      </w:pPr>
      <w:r>
        <w:t xml:space="preserve">关于价格得分计算方法：价格得分严格按招标文件价格评分公式核算，根据偏差率落入的不同区间，对照相应的评分区间和减分标准逐项计算，确保价格得分计算过程客观、透明、可复核，我司完全接受该计算方法及其结果。</w:t>
      </w:r>
      <w:r/>
    </w:p>
    <w:p>
      <w:pPr>
        <w:pBdr/>
        <w:spacing/>
        <w:ind/>
        <w:rPr/>
      </w:pPr>
      <w:r>
        <w:t xml:space="preserve">关于算术修正后的报价认定：若评标委员会依据招标文件规定对我司投标报价进行算术修正，我司将完全认可并接受经算术修正后的报价作为价格评分、排序比较及合同签订的依据，并在投标有效期内保持修正后报价对投标文件的约束力，不提出任何异议。</w:t>
      </w:r>
      <w:r/>
    </w:p>
    <w:p>
      <w:pPr>
        <w:pBdr/>
        <w:spacing/>
        <w:ind/>
        <w:rPr/>
      </w:pPr>
      <w:r>
        <w:t xml:space="preserve">关于计算示例与说明：为便于理解，以评审基准价为A、投标报价为B为例，偏差率按招标文件规定的计算公式计算，价格得分根据评分公式在该偏差率下的对应分值确定。该示例仅用于说明计算逻辑，具体数值、公式、区间及系数均以招标文件及评标委员会最终核算为准，不影响我司对价格评分条款的实质性响应。</w:t>
      </w:r>
      <w:r/>
    </w:p>
    <w:p>
      <w:pPr>
        <w:pBdr/>
        <w:spacing/>
        <w:ind/>
        <w:rPr/>
      </w:pPr>
      <w:r>
        <w:t xml:space="preserve">关于价格评分响应表：我司已编制价格评分响应表，逐项列明评审基准价计算公式响应、报价与基准价关系响应、价格得分计算响应、算术修正报价认定响应等内容，并给出明确的符合性说明，详细内容见报价文件。</w:t>
      </w:r>
      <w:r/>
    </w:p>
    <w:p>
      <w:pPr>
        <w:pBdr/>
        <w:spacing/>
        <w:ind/>
        <w:rPr/>
      </w:pPr>
      <w:r>
        <w:t xml:space="preserve">综上，我司对价格评分计算全部口径已完整响应，无任何偏离，接受评标委员会依据招标文件作出的价格评分结果，并承诺配合评标委员会开展价格评分相关核查工作。</w:t>
      </w:r>
      <w:r/>
    </w:p>
    <w:p>
      <w:pPr>
        <w:pBdr/>
        <w:spacing/>
        <w:ind/>
        <w:rPr/>
      </w:pPr>
      <w:r>
        <w:br w:type="page" w:clear="all"/>
      </w:r>
      <w:r/>
    </w:p>
    <w:p>
      <w:pPr>
        <w:pBdr/>
        <w:spacing/>
        <w:ind/>
        <w:jc w:val="center"/>
        <w:rPr/>
      </w:pPr>
      <w:r>
        <w:rPr>
          <w:rFonts w:ascii="宋体" w:hAnsi="宋体" w:eastAsia="宋体"/>
          <w:b/>
          <w:color w:val="000000"/>
          <w:sz w:val="32"/>
        </w:rPr>
        <w:t xml:space="preserve">附  件</w:t>
      </w:r>
      <w:r/>
    </w:p>
    <w:p>
      <w:pPr>
        <w:pBdr/>
        <w:spacing/>
        <w:ind/>
        <w:rPr/>
      </w:pPr>
      <w:r>
        <w:rPr>
          <w:rFonts w:ascii="宋体" w:hAnsi="宋体" w:eastAsia="宋体"/>
          <w:b/>
          <w:color w:val="000000"/>
        </w:rPr>
        <w:t xml:space="preserve">一、营业执照</w:t>
      </w:r>
      <w:r/>
    </w:p>
    <w:p>
      <w:pPr>
        <w:pBdr/>
        <w:spacing/>
        <w:ind/>
        <w:jc w:val="center"/>
        <w:rPr/>
      </w:pPr>
      <w:r>
        <mc:AlternateContent>
          <mc:Choice Requires="wpg">
            <w:drawing>
              <wp:inline xmlns:wp="http://schemas.openxmlformats.org/drawingml/2006/wordprocessingDrawing" distT="0" distB="0" distL="0" distR="0">
                <wp:extent cx="5400000" cy="7641743"/>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2"/>
                        <a:stretch/>
                      </pic:blipFill>
                      <pic:spPr bwMode="auto">
                        <a:xfrm>
                          <a:off x="0" y="0"/>
                          <a:ext cx="5400000" cy="76417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5.20pt;height:601.71pt;mso-wrap-distance-left:0.00pt;mso-wrap-distance-top:0.00pt;mso-wrap-distance-right:0.00pt;mso-wrap-distance-bottom:0.00pt;z-index:1;" stroked="false">
                <v:imagedata r:id="rId12" o:title=""/>
                <o:lock v:ext="edit" rotation="t"/>
              </v:shape>
            </w:pict>
          </mc:Fallback>
        </mc:AlternateContent>
      </w:r>
      <w:r/>
    </w:p>
    <w:sectPr>
      <w:headerReference w:type="default" r:id="rId9"/>
      <w:footerReference w:type="default" r:id="rId10"/>
      <w:footnotePr/>
      <w:endnotePr/>
      <w:type w:val="nextPage"/>
      <w:pgSz w:h="16838" w:orient="portrait" w:w="11906"/>
      <w:pgMar w:top="1474" w:right="1417" w:bottom="1247" w:left="1417"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宋体">
    <w:panose1 w:val="0202060302010102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4"/>
      <w:pBdr/>
      <w:spacing/>
      <w:ind/>
      <w:jc w:val="center"/>
      <w:rPr/>
    </w:pPr>
    <w:r>
      <w:fldChar w:fldCharType="begin"/>
    </w:r>
    <w:r>
      <w:instrText xml:space="preserve"> PAGE </w:instrTex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2"/>
      <w:pBdr>
        <w:bottom w:val="single" w:color="000000" w:sz="6" w:space="1"/>
      </w:pBdr>
      <w:spacing/>
      <w:ind/>
      <w:jc w:val="right"/>
      <w:rPr/>
    </w:pPr>
    <w:r>
      <w:t xml:space="preserve">中邮资管2026-2027年网络安全服务采购项目</w:t>
    </w:r>
    <w:r>
      <w:rPr>
        <w:rFonts w:ascii="宋体" w:hAnsi="宋体" w:eastAsia="宋体"/>
        <w:color w:val="000000"/>
        <w:sz w:val="18"/>
      </w:rPr>
      <w:t xml:space="preserve">  投标文件</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5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5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11"/>
    <w:link w:val="182"/>
    <w:uiPriority w:val="99"/>
    <w:semiHidden/>
    <w:unhideWhenUsed/>
    <w:pPr>
      <w:pBdr/>
      <w:spacing w:after="0" w:line="240" w:lineRule="auto"/>
      <w:ind/>
    </w:pPr>
    <w:rPr>
      <w:sz w:val="20"/>
      <w:szCs w:val="20"/>
    </w:rPr>
  </w:style>
  <w:style w:type="character" w:styleId="182">
    <w:name w:val="Footnote Text Char"/>
    <w:basedOn w:val="725"/>
    <w:link w:val="181"/>
    <w:uiPriority w:val="99"/>
    <w:semiHidden/>
    <w:pPr>
      <w:pBdr/>
      <w:spacing/>
      <w:ind/>
    </w:pPr>
    <w:rPr>
      <w:sz w:val="20"/>
      <w:szCs w:val="20"/>
    </w:rPr>
  </w:style>
  <w:style w:type="character" w:styleId="183">
    <w:name w:val="footnote reference"/>
    <w:basedOn w:val="725"/>
    <w:uiPriority w:val="99"/>
    <w:semiHidden/>
    <w:unhideWhenUsed/>
    <w:pPr>
      <w:pBdr/>
      <w:spacing/>
      <w:ind/>
    </w:pPr>
    <w:rPr>
      <w:vertAlign w:val="superscript"/>
    </w:rPr>
  </w:style>
  <w:style w:type="paragraph" w:styleId="184">
    <w:name w:val="endnote text"/>
    <w:basedOn w:val="711"/>
    <w:link w:val="185"/>
    <w:uiPriority w:val="99"/>
    <w:semiHidden/>
    <w:unhideWhenUsed/>
    <w:pPr>
      <w:pBdr/>
      <w:spacing w:after="0" w:line="240" w:lineRule="auto"/>
      <w:ind/>
    </w:pPr>
    <w:rPr>
      <w:sz w:val="20"/>
      <w:szCs w:val="20"/>
    </w:rPr>
  </w:style>
  <w:style w:type="character" w:styleId="185">
    <w:name w:val="Endnote Text Char"/>
    <w:basedOn w:val="725"/>
    <w:link w:val="184"/>
    <w:uiPriority w:val="99"/>
    <w:semiHidden/>
    <w:pPr>
      <w:pBdr/>
      <w:spacing/>
      <w:ind/>
    </w:pPr>
    <w:rPr>
      <w:sz w:val="20"/>
      <w:szCs w:val="20"/>
    </w:rPr>
  </w:style>
  <w:style w:type="character" w:styleId="186">
    <w:name w:val="endnote reference"/>
    <w:basedOn w:val="725"/>
    <w:uiPriority w:val="99"/>
    <w:semiHidden/>
    <w:unhideWhenUsed/>
    <w:pPr>
      <w:pBdr/>
      <w:spacing/>
      <w:ind/>
    </w:pPr>
    <w:rPr>
      <w:vertAlign w:val="superscript"/>
    </w:rPr>
  </w:style>
  <w:style w:type="character" w:styleId="187">
    <w:name w:val="Hyperlink"/>
    <w:basedOn w:val="725"/>
    <w:uiPriority w:val="99"/>
    <w:unhideWhenUsed/>
    <w:pPr>
      <w:pBdr/>
      <w:spacing/>
      <w:ind/>
    </w:pPr>
    <w:rPr>
      <w:color w:val="0563c1" w:themeColor="hyperlink"/>
      <w:u w:val="single"/>
    </w:rPr>
  </w:style>
  <w:style w:type="character" w:styleId="188">
    <w:name w:val="FollowedHyperlink"/>
    <w:basedOn w:val="725"/>
    <w:uiPriority w:val="99"/>
    <w:semiHidden/>
    <w:unhideWhenUsed/>
    <w:pPr>
      <w:pBdr/>
      <w:spacing/>
      <w:ind/>
    </w:pPr>
    <w:rPr>
      <w:color w:val="954f72" w:themeColor="followedHyperlink"/>
      <w:u w:val="single"/>
    </w:rPr>
  </w:style>
  <w:style w:type="paragraph" w:styleId="192">
    <w:name w:val="toc 4"/>
    <w:basedOn w:val="711"/>
    <w:next w:val="711"/>
    <w:uiPriority w:val="39"/>
    <w:unhideWhenUsed/>
    <w:pPr>
      <w:pBdr/>
      <w:spacing w:after="100"/>
      <w:ind w:left="660"/>
    </w:pPr>
  </w:style>
  <w:style w:type="paragraph" w:styleId="193">
    <w:name w:val="toc 5"/>
    <w:basedOn w:val="711"/>
    <w:next w:val="711"/>
    <w:uiPriority w:val="39"/>
    <w:unhideWhenUsed/>
    <w:pPr>
      <w:pBdr/>
      <w:spacing w:after="100"/>
      <w:ind w:left="880"/>
    </w:pPr>
  </w:style>
  <w:style w:type="paragraph" w:styleId="194">
    <w:name w:val="toc 6"/>
    <w:basedOn w:val="711"/>
    <w:next w:val="711"/>
    <w:uiPriority w:val="39"/>
    <w:unhideWhenUsed/>
    <w:pPr>
      <w:pBdr/>
      <w:spacing w:after="100"/>
      <w:ind w:left="1100"/>
    </w:pPr>
  </w:style>
  <w:style w:type="paragraph" w:styleId="195">
    <w:name w:val="toc 7"/>
    <w:basedOn w:val="711"/>
    <w:next w:val="711"/>
    <w:uiPriority w:val="39"/>
    <w:unhideWhenUsed/>
    <w:pPr>
      <w:pBdr/>
      <w:spacing w:after="100"/>
      <w:ind w:left="1320"/>
    </w:pPr>
  </w:style>
  <w:style w:type="paragraph" w:styleId="196">
    <w:name w:val="toc 8"/>
    <w:basedOn w:val="711"/>
    <w:next w:val="711"/>
    <w:uiPriority w:val="39"/>
    <w:unhideWhenUsed/>
    <w:pPr>
      <w:pBdr/>
      <w:spacing w:after="100"/>
      <w:ind w:left="1540"/>
    </w:pPr>
  </w:style>
  <w:style w:type="paragraph" w:styleId="197">
    <w:name w:val="toc 9"/>
    <w:basedOn w:val="711"/>
    <w:next w:val="711"/>
    <w:uiPriority w:val="39"/>
    <w:unhideWhenUsed/>
    <w:pPr>
      <w:pBdr/>
      <w:spacing w:after="100"/>
      <w:ind w:left="1760"/>
    </w:pPr>
  </w:style>
  <w:style w:type="character" w:styleId="198">
    <w:name w:val="Placeholder Text"/>
    <w:basedOn w:val="725"/>
    <w:uiPriority w:val="99"/>
    <w:semiHidden/>
    <w:pPr>
      <w:pBdr/>
      <w:spacing/>
      <w:ind/>
    </w:pPr>
    <w:rPr>
      <w:color w:val="666666"/>
    </w:rPr>
  </w:style>
  <w:style w:type="paragraph" w:styleId="209">
    <w:name w:val="table of figures"/>
    <w:basedOn w:val="711"/>
    <w:next w:val="711"/>
    <w:uiPriority w:val="99"/>
    <w:unhideWhenUsed/>
    <w:pPr>
      <w:pBdr/>
      <w:spacing w:after="0" w:afterAutospacing="0"/>
      <w:ind/>
    </w:pPr>
  </w:style>
  <w:style w:type="paragraph" w:styleId="711" w:default="1">
    <w:name w:val="Normal"/>
    <w:qFormat/>
    <w:pPr>
      <w:pBdr/>
      <w:spacing w:line="360" w:lineRule="auto"/>
      <w:ind/>
      <w:jc w:val="both"/>
    </w:pPr>
    <w:rPr>
      <w:rFonts w:ascii="宋体" w:hAnsi="宋体" w:eastAsia="宋体"/>
      <w:b w:val="0"/>
      <w:color w:val="000000"/>
      <w:sz w:val="24"/>
    </w:rPr>
  </w:style>
  <w:style w:type="paragraph" w:styleId="712">
    <w:name w:val="Header"/>
    <w:basedOn w:val="711"/>
    <w:link w:val="713"/>
    <w:uiPriority w:val="99"/>
    <w:unhideWhenUsed/>
    <w:pPr>
      <w:pBdr/>
      <w:tabs>
        <w:tab w:val="center" w:leader="none" w:pos="4680"/>
        <w:tab w:val="right" w:leader="none" w:pos="9360"/>
      </w:tabs>
      <w:spacing w:after="0" w:line="240" w:lineRule="auto"/>
      <w:ind/>
    </w:pPr>
    <w:rPr>
      <w:rFonts w:ascii="宋体" w:hAnsi="宋体" w:eastAsia="宋体"/>
      <w:b w:val="0"/>
      <w:color w:val="000000"/>
      <w:sz w:val="18"/>
    </w:rPr>
  </w:style>
  <w:style w:type="character" w:styleId="713" w:customStyle="1">
    <w:name w:val="Header Char"/>
    <w:basedOn w:val="725"/>
    <w:link w:val="712"/>
    <w:uiPriority w:val="99"/>
    <w:pPr>
      <w:pBdr/>
      <w:spacing/>
      <w:ind/>
    </w:pPr>
  </w:style>
  <w:style w:type="paragraph" w:styleId="714">
    <w:name w:val="Footer"/>
    <w:basedOn w:val="711"/>
    <w:link w:val="715"/>
    <w:uiPriority w:val="99"/>
    <w:unhideWhenUsed/>
    <w:pPr>
      <w:pBdr/>
      <w:tabs>
        <w:tab w:val="center" w:leader="none" w:pos="4680"/>
        <w:tab w:val="right" w:leader="none" w:pos="9360"/>
      </w:tabs>
      <w:spacing w:after="0" w:line="240" w:lineRule="auto"/>
      <w:ind/>
    </w:pPr>
    <w:rPr>
      <w:rFonts w:ascii="宋体" w:hAnsi="宋体" w:eastAsia="宋体"/>
      <w:b w:val="0"/>
      <w:color w:val="000000"/>
      <w:sz w:val="18"/>
    </w:rPr>
  </w:style>
  <w:style w:type="character" w:styleId="715" w:customStyle="1">
    <w:name w:val="Footer Char"/>
    <w:basedOn w:val="725"/>
    <w:link w:val="714"/>
    <w:uiPriority w:val="99"/>
    <w:pPr>
      <w:pBdr/>
      <w:spacing/>
      <w:ind/>
    </w:pPr>
  </w:style>
  <w:style w:type="paragraph" w:styleId="716">
    <w:name w:val="Heading 1"/>
    <w:basedOn w:val="711"/>
    <w:next w:val="711"/>
    <w:link w:val="729"/>
    <w:uiPriority w:val="9"/>
    <w:qFormat/>
    <w:pPr>
      <w:keepNext w:val="true"/>
      <w:keepLines w:val="true"/>
      <w:pBdr/>
      <w:spacing w:after="260" w:before="260"/>
      <w:ind/>
      <w:outlineLvl w:val="0"/>
    </w:pPr>
    <w:rPr>
      <w:rFonts w:ascii="宋体" w:hAnsi="宋体" w:eastAsia="宋体" w:asciiTheme="majorHAnsi" w:hAnsiTheme="majorHAnsi" w:eastAsiaTheme="majorEastAsia" w:cstheme="majorBidi"/>
      <w:b/>
      <w:bCs/>
      <w:i w:val="0"/>
      <w:color w:val="000000"/>
      <w:sz w:val="32"/>
      <w:szCs w:val="28"/>
    </w:rPr>
  </w:style>
  <w:style w:type="paragraph" w:styleId="717">
    <w:name w:val="Heading 2"/>
    <w:basedOn w:val="711"/>
    <w:next w:val="711"/>
    <w:link w:val="730"/>
    <w:uiPriority w:val="9"/>
    <w:unhideWhenUsed/>
    <w:qFormat/>
    <w:pPr>
      <w:keepNext w:val="true"/>
      <w:keepLines w:val="true"/>
      <w:pBdr/>
      <w:spacing w:after="140" w:before="140"/>
      <w:ind/>
      <w:outlineLvl w:val="1"/>
    </w:pPr>
    <w:rPr>
      <w:rFonts w:ascii="宋体" w:hAnsi="宋体" w:eastAsia="宋体" w:asciiTheme="majorHAnsi" w:hAnsiTheme="majorHAnsi" w:eastAsiaTheme="majorEastAsia" w:cstheme="majorBidi"/>
      <w:b/>
      <w:bCs/>
      <w:i w:val="0"/>
      <w:color w:val="000000"/>
      <w:sz w:val="28"/>
      <w:szCs w:val="26"/>
    </w:rPr>
  </w:style>
  <w:style w:type="paragraph" w:styleId="718">
    <w:name w:val="Heading 3"/>
    <w:basedOn w:val="711"/>
    <w:next w:val="711"/>
    <w:link w:val="731"/>
    <w:uiPriority w:val="9"/>
    <w:unhideWhenUsed/>
    <w:qFormat/>
    <w:pPr>
      <w:keepNext w:val="true"/>
      <w:keepLines w:val="true"/>
      <w:pBdr/>
      <w:spacing w:after="120" w:before="120"/>
      <w:ind/>
      <w:outlineLvl w:val="2"/>
    </w:pPr>
    <w:rPr>
      <w:rFonts w:ascii="宋体" w:hAnsi="宋体" w:eastAsia="宋体" w:asciiTheme="majorHAnsi" w:hAnsiTheme="majorHAnsi" w:eastAsiaTheme="majorEastAsia" w:cstheme="majorBidi"/>
      <w:b/>
      <w:bCs/>
      <w:i w:val="0"/>
      <w:color w:val="000000"/>
      <w:sz w:val="24"/>
    </w:rPr>
  </w:style>
  <w:style w:type="paragraph" w:styleId="719">
    <w:name w:val="Heading 4"/>
    <w:basedOn w:val="711"/>
    <w:next w:val="711"/>
    <w:link w:val="759"/>
    <w:uiPriority w:val="9"/>
    <w:semiHidden/>
    <w:unhideWhenUsed/>
    <w:qFormat/>
    <w:pPr>
      <w:keepNext w:val="true"/>
      <w:keepLines w:val="true"/>
      <w:pBdr/>
      <w:spacing w:after="120" w:before="120"/>
      <w:ind/>
      <w:outlineLvl w:val="3"/>
    </w:pPr>
    <w:rPr>
      <w:rFonts w:ascii="宋体" w:hAnsi="宋体" w:eastAsia="宋体" w:asciiTheme="majorHAnsi" w:hAnsiTheme="majorHAnsi" w:eastAsiaTheme="majorEastAsia" w:cstheme="majorBidi"/>
      <w:b/>
      <w:bCs/>
      <w:i w:val="0"/>
      <w:iCs/>
      <w:color w:val="000000"/>
      <w:sz w:val="24"/>
    </w:rPr>
  </w:style>
  <w:style w:type="paragraph" w:styleId="720">
    <w:name w:val="Heading 5"/>
    <w:basedOn w:val="711"/>
    <w:next w:val="711"/>
    <w:link w:val="76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21">
    <w:name w:val="Heading 6"/>
    <w:basedOn w:val="711"/>
    <w:next w:val="711"/>
    <w:link w:val="76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22">
    <w:name w:val="Heading 7"/>
    <w:basedOn w:val="711"/>
    <w:next w:val="711"/>
    <w:link w:val="76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3">
    <w:name w:val="Heading 8"/>
    <w:basedOn w:val="711"/>
    <w:next w:val="711"/>
    <w:link w:val="76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4">
    <w:name w:val="Heading 9"/>
    <w:basedOn w:val="711"/>
    <w:next w:val="711"/>
    <w:link w:val="76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5" w:default="1">
    <w:name w:val="Default Paragraph Font"/>
    <w:uiPriority w:val="1"/>
    <w:semiHidden/>
    <w:unhideWhenUsed/>
    <w:pPr>
      <w:pBdr/>
      <w:spacing/>
      <w:ind/>
    </w:pPr>
  </w:style>
  <w:style w:type="table" w:styleId="72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7" w:default="1">
    <w:name w:val="No List"/>
    <w:uiPriority w:val="99"/>
    <w:semiHidden/>
    <w:unhideWhenUsed/>
    <w:pPr>
      <w:pBdr/>
      <w:spacing/>
      <w:ind/>
    </w:pPr>
  </w:style>
  <w:style w:type="paragraph" w:styleId="728">
    <w:name w:val="No Spacing"/>
    <w:uiPriority w:val="1"/>
    <w:qFormat/>
    <w:pPr>
      <w:pBdr/>
      <w:spacing w:after="0" w:line="240" w:lineRule="auto"/>
      <w:ind/>
    </w:pPr>
  </w:style>
  <w:style w:type="character" w:styleId="729" w:customStyle="1">
    <w:name w:val="Heading 1 Char"/>
    <w:basedOn w:val="725"/>
    <w:link w:val="716"/>
    <w:uiPriority w:val="9"/>
    <w:pPr>
      <w:pBdr/>
      <w:spacing/>
      <w:ind/>
    </w:pPr>
    <w:rPr>
      <w:rFonts w:asciiTheme="majorHAnsi" w:hAnsiTheme="majorHAnsi" w:eastAsiaTheme="majorEastAsia" w:cstheme="majorBidi"/>
      <w:b/>
      <w:bCs/>
      <w:color w:val="365f91" w:themeColor="accent1" w:themeShade="BF"/>
      <w:sz w:val="28"/>
      <w:szCs w:val="28"/>
    </w:rPr>
  </w:style>
  <w:style w:type="character" w:styleId="730" w:customStyle="1">
    <w:name w:val="Heading 2 Char"/>
    <w:basedOn w:val="725"/>
    <w:link w:val="717"/>
    <w:uiPriority w:val="9"/>
    <w:pPr>
      <w:pBdr/>
      <w:spacing/>
      <w:ind/>
    </w:pPr>
    <w:rPr>
      <w:rFonts w:asciiTheme="majorHAnsi" w:hAnsiTheme="majorHAnsi" w:eastAsiaTheme="majorEastAsia" w:cstheme="majorBidi"/>
      <w:b/>
      <w:bCs/>
      <w:color w:val="4f81bd" w:themeColor="accent1"/>
      <w:sz w:val="26"/>
      <w:szCs w:val="26"/>
    </w:rPr>
  </w:style>
  <w:style w:type="character" w:styleId="731" w:customStyle="1">
    <w:name w:val="Heading 3 Char"/>
    <w:basedOn w:val="725"/>
    <w:link w:val="718"/>
    <w:uiPriority w:val="9"/>
    <w:pPr>
      <w:pBdr/>
      <w:spacing/>
      <w:ind/>
    </w:pPr>
    <w:rPr>
      <w:rFonts w:asciiTheme="majorHAnsi" w:hAnsiTheme="majorHAnsi" w:eastAsiaTheme="majorEastAsia" w:cstheme="majorBidi"/>
      <w:b/>
      <w:bCs/>
      <w:color w:val="4f81bd" w:themeColor="accent1"/>
    </w:rPr>
  </w:style>
  <w:style w:type="paragraph" w:styleId="732">
    <w:name w:val="Title"/>
    <w:basedOn w:val="711"/>
    <w:next w:val="711"/>
    <w:link w:val="733"/>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3" w:customStyle="1">
    <w:name w:val="Title Char"/>
    <w:basedOn w:val="725"/>
    <w:link w:val="73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4">
    <w:name w:val="Subtitle"/>
    <w:basedOn w:val="711"/>
    <w:next w:val="711"/>
    <w:link w:val="735"/>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5" w:customStyle="1">
    <w:name w:val="Subtitle Char"/>
    <w:basedOn w:val="725"/>
    <w:link w:val="73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6">
    <w:name w:val="List Paragraph"/>
    <w:basedOn w:val="711"/>
    <w:uiPriority w:val="34"/>
    <w:qFormat/>
    <w:pPr>
      <w:pBdr/>
      <w:spacing/>
      <w:ind w:left="720"/>
      <w:contextualSpacing w:val="true"/>
    </w:pPr>
    <w:rPr>
      <w:rFonts w:ascii="宋体" w:hAnsi="宋体" w:eastAsia="宋体"/>
      <w:b w:val="0"/>
      <w:color w:val="000000"/>
      <w:sz w:val="24"/>
    </w:rPr>
  </w:style>
  <w:style w:type="paragraph" w:styleId="737">
    <w:name w:val="Body Text"/>
    <w:basedOn w:val="711"/>
    <w:link w:val="738"/>
    <w:uiPriority w:val="99"/>
    <w:unhideWhenUsed/>
    <w:pPr>
      <w:pBdr/>
      <w:spacing w:after="120"/>
      <w:ind/>
    </w:pPr>
  </w:style>
  <w:style w:type="character" w:styleId="738" w:customStyle="1">
    <w:name w:val="Body Text Char"/>
    <w:basedOn w:val="725"/>
    <w:link w:val="737"/>
    <w:uiPriority w:val="99"/>
    <w:pPr>
      <w:pBdr/>
      <w:spacing/>
      <w:ind/>
    </w:pPr>
  </w:style>
  <w:style w:type="paragraph" w:styleId="739">
    <w:name w:val="Body Text 2"/>
    <w:basedOn w:val="711"/>
    <w:link w:val="740"/>
    <w:uiPriority w:val="99"/>
    <w:unhideWhenUsed/>
    <w:pPr>
      <w:pBdr/>
      <w:spacing w:after="120" w:line="480" w:lineRule="auto"/>
      <w:ind/>
    </w:pPr>
  </w:style>
  <w:style w:type="character" w:styleId="740" w:customStyle="1">
    <w:name w:val="Body Text 2 Char"/>
    <w:basedOn w:val="725"/>
    <w:link w:val="739"/>
    <w:uiPriority w:val="99"/>
    <w:pPr>
      <w:pBdr/>
      <w:spacing/>
      <w:ind/>
    </w:pPr>
  </w:style>
  <w:style w:type="paragraph" w:styleId="741">
    <w:name w:val="Body Text 3"/>
    <w:basedOn w:val="711"/>
    <w:link w:val="742"/>
    <w:uiPriority w:val="99"/>
    <w:unhideWhenUsed/>
    <w:pPr>
      <w:pBdr/>
      <w:spacing w:after="120"/>
      <w:ind/>
    </w:pPr>
    <w:rPr>
      <w:sz w:val="16"/>
      <w:szCs w:val="16"/>
    </w:rPr>
  </w:style>
  <w:style w:type="character" w:styleId="742" w:customStyle="1">
    <w:name w:val="Body Text 3 Char"/>
    <w:basedOn w:val="725"/>
    <w:link w:val="741"/>
    <w:uiPriority w:val="99"/>
    <w:pPr>
      <w:pBdr/>
      <w:spacing/>
      <w:ind/>
    </w:pPr>
    <w:rPr>
      <w:sz w:val="16"/>
      <w:szCs w:val="16"/>
    </w:rPr>
  </w:style>
  <w:style w:type="paragraph" w:styleId="743">
    <w:name w:val="List"/>
    <w:basedOn w:val="711"/>
    <w:uiPriority w:val="99"/>
    <w:unhideWhenUsed/>
    <w:pPr>
      <w:pBdr/>
      <w:spacing/>
      <w:ind w:hanging="360" w:left="360"/>
      <w:contextualSpacing w:val="true"/>
    </w:pPr>
  </w:style>
  <w:style w:type="paragraph" w:styleId="744">
    <w:name w:val="List 2"/>
    <w:basedOn w:val="711"/>
    <w:uiPriority w:val="99"/>
    <w:unhideWhenUsed/>
    <w:pPr>
      <w:pBdr/>
      <w:spacing/>
      <w:ind w:hanging="360" w:left="720"/>
      <w:contextualSpacing w:val="true"/>
    </w:pPr>
  </w:style>
  <w:style w:type="paragraph" w:styleId="745">
    <w:name w:val="List 3"/>
    <w:basedOn w:val="711"/>
    <w:uiPriority w:val="99"/>
    <w:unhideWhenUsed/>
    <w:pPr>
      <w:pBdr/>
      <w:spacing/>
      <w:ind w:hanging="360" w:left="1080"/>
      <w:contextualSpacing w:val="true"/>
    </w:pPr>
  </w:style>
  <w:style w:type="paragraph" w:styleId="746">
    <w:name w:val="List Bullet"/>
    <w:basedOn w:val="711"/>
    <w:uiPriority w:val="99"/>
    <w:unhideWhenUsed/>
    <w:pPr>
      <w:numPr>
        <w:numId w:val="1"/>
      </w:numPr>
      <w:pBdr/>
      <w:spacing/>
      <w:ind/>
      <w:contextualSpacing w:val="true"/>
    </w:pPr>
    <w:rPr>
      <w:rFonts w:ascii="宋体" w:hAnsi="宋体" w:eastAsia="宋体"/>
      <w:b w:val="0"/>
      <w:color w:val="000000"/>
      <w:sz w:val="24"/>
    </w:rPr>
  </w:style>
  <w:style w:type="paragraph" w:styleId="747">
    <w:name w:val="List Bullet 2"/>
    <w:basedOn w:val="711"/>
    <w:uiPriority w:val="99"/>
    <w:unhideWhenUsed/>
    <w:pPr>
      <w:numPr>
        <w:numId w:val="2"/>
      </w:numPr>
      <w:pBdr/>
      <w:spacing/>
      <w:ind/>
      <w:contextualSpacing w:val="true"/>
    </w:pPr>
  </w:style>
  <w:style w:type="paragraph" w:styleId="748">
    <w:name w:val="List Bullet 3"/>
    <w:basedOn w:val="711"/>
    <w:uiPriority w:val="99"/>
    <w:unhideWhenUsed/>
    <w:pPr>
      <w:numPr>
        <w:numId w:val="3"/>
      </w:numPr>
      <w:pBdr/>
      <w:spacing/>
      <w:ind/>
      <w:contextualSpacing w:val="true"/>
    </w:pPr>
  </w:style>
  <w:style w:type="paragraph" w:styleId="749">
    <w:name w:val="List Number"/>
    <w:basedOn w:val="711"/>
    <w:uiPriority w:val="99"/>
    <w:unhideWhenUsed/>
    <w:pPr>
      <w:numPr>
        <w:numId w:val="5"/>
      </w:numPr>
      <w:pBdr/>
      <w:spacing/>
      <w:ind/>
      <w:contextualSpacing w:val="true"/>
    </w:pPr>
    <w:rPr>
      <w:rFonts w:ascii="宋体" w:hAnsi="宋体" w:eastAsia="宋体"/>
      <w:b w:val="0"/>
      <w:color w:val="000000"/>
      <w:sz w:val="24"/>
    </w:rPr>
  </w:style>
  <w:style w:type="paragraph" w:styleId="750">
    <w:name w:val="List Number 2"/>
    <w:basedOn w:val="711"/>
    <w:uiPriority w:val="99"/>
    <w:unhideWhenUsed/>
    <w:pPr>
      <w:numPr>
        <w:numId w:val="6"/>
      </w:numPr>
      <w:pBdr/>
      <w:spacing/>
      <w:ind/>
      <w:contextualSpacing w:val="true"/>
    </w:pPr>
  </w:style>
  <w:style w:type="paragraph" w:styleId="751">
    <w:name w:val="List Number 3"/>
    <w:basedOn w:val="711"/>
    <w:uiPriority w:val="99"/>
    <w:unhideWhenUsed/>
    <w:pPr>
      <w:numPr>
        <w:numId w:val="7"/>
      </w:numPr>
      <w:pBdr/>
      <w:spacing/>
      <w:ind/>
      <w:contextualSpacing w:val="true"/>
    </w:pPr>
  </w:style>
  <w:style w:type="paragraph" w:styleId="752">
    <w:name w:val="List Continue"/>
    <w:basedOn w:val="711"/>
    <w:uiPriority w:val="99"/>
    <w:unhideWhenUsed/>
    <w:pPr>
      <w:pBdr/>
      <w:spacing w:after="120"/>
      <w:ind w:left="360"/>
      <w:contextualSpacing w:val="true"/>
    </w:pPr>
  </w:style>
  <w:style w:type="paragraph" w:styleId="753">
    <w:name w:val="List Continue 2"/>
    <w:basedOn w:val="711"/>
    <w:uiPriority w:val="99"/>
    <w:unhideWhenUsed/>
    <w:pPr>
      <w:pBdr/>
      <w:spacing w:after="120"/>
      <w:ind w:left="720"/>
      <w:contextualSpacing w:val="true"/>
    </w:pPr>
  </w:style>
  <w:style w:type="paragraph" w:styleId="754">
    <w:name w:val="List Continue 3"/>
    <w:basedOn w:val="711"/>
    <w:uiPriority w:val="99"/>
    <w:unhideWhenUsed/>
    <w:pPr>
      <w:pBdr/>
      <w:spacing w:after="120"/>
      <w:ind w:left="1080"/>
      <w:contextualSpacing w:val="true"/>
    </w:pPr>
  </w:style>
  <w:style w:type="paragraph" w:styleId="755">
    <w:name w:val="macro"/>
    <w:link w:val="75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6" w:customStyle="1">
    <w:name w:val="Macro Text Char"/>
    <w:basedOn w:val="725"/>
    <w:link w:val="755"/>
    <w:uiPriority w:val="99"/>
    <w:pPr>
      <w:pBdr/>
      <w:spacing/>
      <w:ind/>
    </w:pPr>
    <w:rPr>
      <w:rFonts w:ascii="Courier" w:hAnsi="Courier"/>
      <w:sz w:val="20"/>
      <w:szCs w:val="20"/>
    </w:rPr>
  </w:style>
  <w:style w:type="paragraph" w:styleId="757">
    <w:name w:val="Quote"/>
    <w:basedOn w:val="711"/>
    <w:next w:val="711"/>
    <w:link w:val="758"/>
    <w:uiPriority w:val="29"/>
    <w:qFormat/>
    <w:pPr>
      <w:pBdr/>
      <w:spacing/>
      <w:ind/>
    </w:pPr>
    <w:rPr>
      <w:rFonts w:ascii="宋体" w:hAnsi="宋体" w:eastAsia="宋体"/>
      <w:b w:val="0"/>
      <w:i w:val="0"/>
      <w:iCs/>
      <w:color w:val="000000"/>
      <w:sz w:val="24"/>
    </w:rPr>
  </w:style>
  <w:style w:type="character" w:styleId="758" w:customStyle="1">
    <w:name w:val="Quote Char"/>
    <w:basedOn w:val="725"/>
    <w:link w:val="757"/>
    <w:uiPriority w:val="29"/>
    <w:pPr>
      <w:pBdr/>
      <w:spacing/>
      <w:ind/>
    </w:pPr>
    <w:rPr>
      <w:i/>
      <w:iCs/>
      <w:color w:val="000000" w:themeColor="text1"/>
    </w:rPr>
  </w:style>
  <w:style w:type="character" w:styleId="759" w:customStyle="1">
    <w:name w:val="Heading 4 Char"/>
    <w:basedOn w:val="725"/>
    <w:link w:val="719"/>
    <w:uiPriority w:val="9"/>
    <w:semiHidden/>
    <w:pPr>
      <w:pBdr/>
      <w:spacing/>
      <w:ind/>
    </w:pPr>
    <w:rPr>
      <w:rFonts w:asciiTheme="majorHAnsi" w:hAnsiTheme="majorHAnsi" w:eastAsiaTheme="majorEastAsia" w:cstheme="majorBidi"/>
      <w:b/>
      <w:bCs/>
      <w:i/>
      <w:iCs/>
      <w:color w:val="4f81bd" w:themeColor="accent1"/>
    </w:rPr>
  </w:style>
  <w:style w:type="character" w:styleId="760" w:customStyle="1">
    <w:name w:val="Heading 5 Char"/>
    <w:basedOn w:val="725"/>
    <w:link w:val="720"/>
    <w:uiPriority w:val="9"/>
    <w:semiHidden/>
    <w:pPr>
      <w:pBdr/>
      <w:spacing/>
      <w:ind/>
    </w:pPr>
    <w:rPr>
      <w:rFonts w:asciiTheme="majorHAnsi" w:hAnsiTheme="majorHAnsi" w:eastAsiaTheme="majorEastAsia" w:cstheme="majorBidi"/>
      <w:color w:val="243f60" w:themeColor="accent1" w:themeShade="7F"/>
    </w:rPr>
  </w:style>
  <w:style w:type="character" w:styleId="761" w:customStyle="1">
    <w:name w:val="Heading 6 Char"/>
    <w:basedOn w:val="725"/>
    <w:link w:val="721"/>
    <w:uiPriority w:val="9"/>
    <w:semiHidden/>
    <w:pPr>
      <w:pBdr/>
      <w:spacing/>
      <w:ind/>
    </w:pPr>
    <w:rPr>
      <w:rFonts w:asciiTheme="majorHAnsi" w:hAnsiTheme="majorHAnsi" w:eastAsiaTheme="majorEastAsia" w:cstheme="majorBidi"/>
      <w:i/>
      <w:iCs/>
      <w:color w:val="243f60" w:themeColor="accent1" w:themeShade="7F"/>
    </w:rPr>
  </w:style>
  <w:style w:type="character" w:styleId="762" w:customStyle="1">
    <w:name w:val="Heading 7 Char"/>
    <w:basedOn w:val="725"/>
    <w:link w:val="722"/>
    <w:uiPriority w:val="9"/>
    <w:semiHidden/>
    <w:pPr>
      <w:pBdr/>
      <w:spacing/>
      <w:ind/>
    </w:pPr>
    <w:rPr>
      <w:rFonts w:asciiTheme="majorHAnsi" w:hAnsiTheme="majorHAnsi" w:eastAsiaTheme="majorEastAsia" w:cstheme="majorBidi"/>
      <w:i/>
      <w:iCs/>
      <w:color w:val="404040" w:themeColor="text1" w:themeTint="BF"/>
    </w:rPr>
  </w:style>
  <w:style w:type="character" w:styleId="763" w:customStyle="1">
    <w:name w:val="Heading 8 Char"/>
    <w:basedOn w:val="725"/>
    <w:link w:val="723"/>
    <w:uiPriority w:val="9"/>
    <w:semiHidden/>
    <w:pPr>
      <w:pBdr/>
      <w:spacing/>
      <w:ind/>
    </w:pPr>
    <w:rPr>
      <w:rFonts w:asciiTheme="majorHAnsi" w:hAnsiTheme="majorHAnsi" w:eastAsiaTheme="majorEastAsia" w:cstheme="majorBidi"/>
      <w:color w:val="4f81bd" w:themeColor="accent1"/>
      <w:sz w:val="20"/>
      <w:szCs w:val="20"/>
    </w:rPr>
  </w:style>
  <w:style w:type="character" w:styleId="764" w:customStyle="1">
    <w:name w:val="Heading 9 Char"/>
    <w:basedOn w:val="725"/>
    <w:link w:val="72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5">
    <w:name w:val="Caption"/>
    <w:basedOn w:val="711"/>
    <w:next w:val="711"/>
    <w:uiPriority w:val="35"/>
    <w:semiHidden/>
    <w:unhideWhenUsed/>
    <w:qFormat/>
    <w:pPr>
      <w:pBdr/>
      <w:spacing w:line="240" w:lineRule="auto"/>
      <w:ind/>
      <w:jc w:val="center"/>
    </w:pPr>
    <w:rPr>
      <w:rFonts w:ascii="宋体" w:hAnsi="宋体" w:eastAsia="宋体"/>
      <w:b w:val="0"/>
      <w:bCs/>
      <w:i w:val="0"/>
      <w:color w:val="000000"/>
      <w:sz w:val="18"/>
      <w:szCs w:val="18"/>
    </w:rPr>
  </w:style>
  <w:style w:type="character" w:styleId="766">
    <w:name w:val="Strong"/>
    <w:basedOn w:val="725"/>
    <w:uiPriority w:val="22"/>
    <w:qFormat/>
    <w:pPr>
      <w:pBdr/>
      <w:spacing/>
      <w:ind/>
    </w:pPr>
    <w:rPr>
      <w:b/>
      <w:bCs/>
    </w:rPr>
  </w:style>
  <w:style w:type="character" w:styleId="767">
    <w:name w:val="Emphasis"/>
    <w:basedOn w:val="725"/>
    <w:uiPriority w:val="20"/>
    <w:qFormat/>
    <w:pPr>
      <w:pBdr/>
      <w:spacing/>
      <w:ind/>
    </w:pPr>
    <w:rPr>
      <w:i/>
      <w:iCs/>
    </w:rPr>
  </w:style>
  <w:style w:type="paragraph" w:styleId="768">
    <w:name w:val="Intense Quote"/>
    <w:basedOn w:val="711"/>
    <w:next w:val="711"/>
    <w:link w:val="769"/>
    <w:uiPriority w:val="30"/>
    <w:qFormat/>
    <w:pPr>
      <w:pBdr>
        <w:bottom w:val="single" w:color="4f81bd" w:themeColor="accent1" w:sz="4" w:space="4"/>
      </w:pBdr>
      <w:spacing w:after="280" w:before="200"/>
      <w:ind w:right="936" w:left="936"/>
    </w:pPr>
    <w:rPr>
      <w:rFonts w:ascii="宋体" w:hAnsi="宋体" w:eastAsia="宋体"/>
      <w:b w:val="0"/>
      <w:bCs/>
      <w:i w:val="0"/>
      <w:iCs/>
      <w:color w:val="000000"/>
      <w:sz w:val="24"/>
    </w:rPr>
  </w:style>
  <w:style w:type="character" w:styleId="769" w:customStyle="1">
    <w:name w:val="Intense Quote Char"/>
    <w:basedOn w:val="725"/>
    <w:link w:val="768"/>
    <w:uiPriority w:val="30"/>
    <w:pPr>
      <w:pBdr/>
      <w:spacing/>
      <w:ind/>
    </w:pPr>
    <w:rPr>
      <w:b/>
      <w:bCs/>
      <w:i/>
      <w:iCs/>
      <w:color w:val="4f81bd" w:themeColor="accent1"/>
    </w:rPr>
  </w:style>
  <w:style w:type="character" w:styleId="770">
    <w:name w:val="Subtle Emphasis"/>
    <w:basedOn w:val="725"/>
    <w:uiPriority w:val="19"/>
    <w:qFormat/>
    <w:pPr>
      <w:pBdr/>
      <w:spacing/>
      <w:ind/>
    </w:pPr>
    <w:rPr>
      <w:i/>
      <w:iCs/>
      <w:color w:val="808080" w:themeColor="text1" w:themeTint="7F"/>
    </w:rPr>
  </w:style>
  <w:style w:type="character" w:styleId="771">
    <w:name w:val="Intense Emphasis"/>
    <w:basedOn w:val="725"/>
    <w:uiPriority w:val="21"/>
    <w:qFormat/>
    <w:pPr>
      <w:pBdr/>
      <w:spacing/>
      <w:ind/>
    </w:pPr>
    <w:rPr>
      <w:b/>
      <w:bCs/>
      <w:i/>
      <w:iCs/>
      <w:color w:val="4f81bd" w:themeColor="accent1"/>
    </w:rPr>
  </w:style>
  <w:style w:type="character" w:styleId="772">
    <w:name w:val="Subtle Reference"/>
    <w:basedOn w:val="725"/>
    <w:uiPriority w:val="31"/>
    <w:qFormat/>
    <w:pPr>
      <w:pBdr/>
      <w:spacing/>
      <w:ind/>
    </w:pPr>
    <w:rPr>
      <w:smallCaps/>
      <w:color w:val="c0504d" w:themeColor="accent2"/>
      <w:u w:val="single"/>
    </w:rPr>
  </w:style>
  <w:style w:type="character" w:styleId="773">
    <w:name w:val="Intense Reference"/>
    <w:basedOn w:val="725"/>
    <w:uiPriority w:val="32"/>
    <w:qFormat/>
    <w:pPr>
      <w:pBdr/>
      <w:spacing/>
      <w:ind/>
    </w:pPr>
    <w:rPr>
      <w:b/>
      <w:bCs/>
      <w:smallCaps/>
      <w:color w:val="c0504d" w:themeColor="accent2"/>
      <w:spacing w:val="5"/>
      <w:u w:val="single"/>
    </w:rPr>
  </w:style>
  <w:style w:type="character" w:styleId="774">
    <w:name w:val="Book Title"/>
    <w:basedOn w:val="725"/>
    <w:uiPriority w:val="33"/>
    <w:qFormat/>
    <w:pPr>
      <w:pBdr/>
      <w:spacing/>
      <w:ind/>
    </w:pPr>
    <w:rPr>
      <w:b/>
      <w:bCs/>
      <w:smallCaps/>
      <w:spacing w:val="5"/>
    </w:rPr>
  </w:style>
  <w:style w:type="paragraph" w:styleId="775">
    <w:name w:val="TOC Heading"/>
    <w:basedOn w:val="716"/>
    <w:next w:val="711"/>
    <w:uiPriority w:val="39"/>
    <w:semiHidden/>
    <w:unhideWhenUsed/>
    <w:qFormat/>
    <w:pPr>
      <w:pBdr/>
      <w:spacing/>
      <w:ind/>
      <w:outlineLvl w:val="9"/>
    </w:pPr>
  </w:style>
  <w:style w:type="table" w:styleId="776">
    <w:name w:val="Table Grid"/>
    <w:basedOn w:val="72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w:basedOn w:val="726"/>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1"/>
    <w:basedOn w:val="726"/>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2"/>
    <w:basedOn w:val="726"/>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3"/>
    <w:basedOn w:val="726"/>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Shading Accent 4"/>
    <w:basedOn w:val="726"/>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Shading Accent 5"/>
    <w:basedOn w:val="726"/>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Shading Accent 6"/>
    <w:basedOn w:val="726"/>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1"/>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2"/>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3"/>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List Accent 4"/>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List Accent 5"/>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List Accent 6"/>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1"/>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2"/>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3"/>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Grid Accent 4"/>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Grid Accent 5"/>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Grid Accent 6"/>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1"/>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2"/>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3"/>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1 Accent 4"/>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1 Accent 5"/>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1 Accent 6"/>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1"/>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2"/>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3"/>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2 Accent 4"/>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Shading 2 Accent 5"/>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Shading 2 Accent 6"/>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1"/>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2"/>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3"/>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1 Accent 4"/>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1 Accent 5"/>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1 Accent 6"/>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1"/>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2"/>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3"/>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2 Accent 4"/>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List 2 Accent 5"/>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List 2 Accent 6"/>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1"/>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2"/>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3"/>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1 Accent 4"/>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1 Accent 5"/>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1 Accent 6"/>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1"/>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2"/>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3"/>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2 Accent 4"/>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2 Accent 5"/>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2 Accent 6"/>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1"/>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2"/>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3"/>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3 Accent 4"/>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3 Accent 5"/>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3 Accent 6"/>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1"/>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2"/>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3"/>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Dark List Accent 4"/>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Dark List Accent 5"/>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Dark List Accent 6"/>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1"/>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2"/>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3"/>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Shading Accent 4"/>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Shading Accent 5"/>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Shading Accent 6"/>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1"/>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2"/>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3"/>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List Accent 4"/>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List Accent 5"/>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List Accent 6"/>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1"/>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2"/>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3"/>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Grid Accent 4"/>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Grid Accent 5"/>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Grid Accent 6"/>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5" w:customStyle="1">
    <w:name w:val="toc 1"/>
    <w:pPr>
      <w:pBdr/>
      <w:spacing/>
      <w:ind/>
    </w:pPr>
    <w:rPr>
      <w:rFonts w:ascii="宋体" w:hAnsi="宋体" w:eastAsia="宋体"/>
      <w:b w:val="0"/>
      <w:color w:val="000000"/>
      <w:sz w:val="24"/>
    </w:rPr>
  </w:style>
  <w:style w:type="paragraph" w:styleId="876" w:customStyle="1">
    <w:name w:val="toc 2"/>
    <w:pPr>
      <w:pBdr/>
      <w:spacing/>
      <w:ind/>
    </w:pPr>
    <w:rPr>
      <w:rFonts w:ascii="宋体" w:hAnsi="宋体" w:eastAsia="宋体"/>
      <w:b w:val="0"/>
      <w:color w:val="000000"/>
      <w:sz w:val="24"/>
    </w:rPr>
  </w:style>
  <w:style w:type="paragraph" w:styleId="877" w:customStyle="1">
    <w:name w:val="toc 3"/>
    <w:pPr>
      <w:pBdr/>
      <w:spacing/>
      <w:ind/>
    </w:pPr>
    <w:rPr>
      <w:rFonts w:ascii="宋体" w:hAnsi="宋体" w:eastAsia="宋体"/>
      <w:b w:val="0"/>
      <w:color w:val="000000"/>
      <w:sz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dc:identifier/>
  <dc:language/>
  <cp:lastModifiedBy>admin123</cp:lastModifiedBy>
  <cp:revision>2</cp:revision>
  <dcterms:created xsi:type="dcterms:W3CDTF">2013-12-23T23:15:00Z</dcterms:created>
  <dcterms:modified xsi:type="dcterms:W3CDTF">2026-08-11T09:31:54Z</dcterms:modified>
  <cp:category/>
</cp:coreProperties>
</file>