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pacing w:after="160" w:afterLines="50" w:line="360" w:lineRule="auto"/>
        <w:jc w:val="center"/>
        <w:rPr>
          <w:rFonts w:hint="eastAsia" w:ascii="宋体" w:hAnsi="宋体" w:eastAsia="宋体" w:cs="宋体"/>
          <w:b/>
          <w:sz w:val="28"/>
          <w:szCs w:val="28"/>
        </w:rPr>
      </w:pPr>
      <w:r>
        <w:rPr>
          <w:rFonts w:hint="eastAsia" w:ascii="宋体" w:hAnsi="宋体" w:eastAsia="宋体" w:cs="宋体"/>
          <w:b/>
          <w:sz w:val="28"/>
          <w:szCs w:val="28"/>
        </w:rPr>
        <w:t>服务水平协议</w:t>
      </w:r>
    </w:p>
    <w:p>
      <w:pPr>
        <w:pStyle w:val="2"/>
        <w:keepNext w:val="0"/>
        <w:keepLines w:val="0"/>
        <w:pageBreakBefore w:val="0"/>
        <w:kinsoku/>
        <w:wordWrap/>
        <w:overflowPunct/>
        <w:topLinePunct w:val="0"/>
        <w:autoSpaceDE/>
        <w:autoSpaceDN/>
        <w:bidi w:val="0"/>
        <w:adjustRightInd/>
        <w:spacing w:after="160" w:afterLines="50"/>
      </w:pPr>
    </w:p>
    <w:p>
      <w:pPr>
        <w:keepNext w:val="0"/>
        <w:keepLines w:val="0"/>
        <w:pageBreakBefore w:val="0"/>
        <w:numPr>
          <w:ilvl w:val="0"/>
          <w:numId w:val="3"/>
        </w:numPr>
        <w:kinsoku/>
        <w:wordWrap/>
        <w:overflowPunct/>
        <w:topLinePunct w:val="0"/>
        <w:autoSpaceDE/>
        <w:autoSpaceDN/>
        <w:bidi w:val="0"/>
        <w:adjustRightInd/>
        <w:snapToGrid w:val="0"/>
        <w:spacing w:after="160" w:afterLines="50" w:line="360" w:lineRule="auto"/>
        <w:ind w:firstLine="361" w:firstLineChars="200"/>
        <w:rPr>
          <w:rFonts w:ascii="宋体" w:hAnsi="宋体" w:eastAsia="宋体" w:cs="宋体"/>
          <w:b/>
          <w:bCs/>
          <w:sz w:val="18"/>
          <w:szCs w:val="18"/>
        </w:rPr>
      </w:pPr>
      <w:r>
        <w:rPr>
          <w:rFonts w:hint="eastAsia" w:ascii="宋体" w:hAnsi="宋体" w:eastAsia="宋体" w:cs="宋体"/>
          <w:b/>
          <w:bCs/>
          <w:sz w:val="18"/>
          <w:szCs w:val="18"/>
        </w:rPr>
        <w:t>目标</w:t>
      </w:r>
    </w:p>
    <w:p>
      <w:pPr>
        <w:keepNext w:val="0"/>
        <w:keepLines w:val="0"/>
        <w:pageBreakBefore w:val="0"/>
        <w:widowControl w:val="0"/>
        <w:suppressLineNumbers w:val="0"/>
        <w:kinsoku/>
        <w:wordWrap/>
        <w:overflowPunct/>
        <w:topLinePunct w:val="0"/>
        <w:autoSpaceDE/>
        <w:autoSpaceDN/>
        <w:bidi w:val="0"/>
        <w:adjustRightInd/>
        <w:snapToGrid/>
        <w:spacing w:beforeAutospacing="0" w:after="160" w:afterLines="50" w:afterAutospacing="0" w:line="360" w:lineRule="auto"/>
        <w:ind w:left="0" w:right="0" w:firstLine="360" w:firstLineChars="200"/>
        <w:jc w:val="both"/>
        <w:textAlignment w:val="auto"/>
        <w:rPr>
          <w:rFonts w:ascii="宋体" w:hAnsi="宋体" w:eastAsia="宋体" w:cs="宋体"/>
          <w:sz w:val="18"/>
          <w:szCs w:val="18"/>
        </w:rPr>
      </w:pPr>
      <w:r>
        <w:rPr>
          <w:rFonts w:hint="eastAsia" w:ascii="宋体" w:hAnsi="宋体" w:eastAsia="宋体" w:cs="宋体"/>
          <w:sz w:val="18"/>
          <w:szCs w:val="18"/>
        </w:rPr>
        <w:t>本服务水平协议（SLA）的目标是为了清晰地定义</w:t>
      </w:r>
      <w:r>
        <w:rPr>
          <w:rFonts w:hint="eastAsia" w:ascii="宋体" w:hAnsi="宋体" w:cs="宋体"/>
          <w:sz w:val="18"/>
          <w:szCs w:val="18"/>
          <w:u w:val="single"/>
          <w:shd w:val="clear" w:color="FFFFFF" w:fill="D9D9D9"/>
          <w:lang w:eastAsia="zh-CN"/>
        </w:rPr>
        <w:t>【</w:t>
      </w:r>
      <w:r>
        <w:rPr>
          <w:rFonts w:hint="eastAsia" w:ascii="宋体" w:hAnsi="宋体" w:cs="宋体"/>
          <w:sz w:val="18"/>
          <w:szCs w:val="18"/>
          <w:u w:val="single"/>
          <w:shd w:val="clear" w:color="FFFFFF" w:fill="D9D9D9"/>
          <w:lang w:val="en-US" w:eastAsia="zh-CN"/>
        </w:rPr>
        <w:t xml:space="preserve">              </w:t>
      </w:r>
      <w:r>
        <w:rPr>
          <w:rFonts w:hint="eastAsia" w:ascii="宋体" w:hAnsi="宋体" w:cs="宋体"/>
          <w:sz w:val="18"/>
          <w:szCs w:val="18"/>
          <w:u w:val="single"/>
          <w:shd w:val="clear" w:color="FFFFFF" w:fill="D9D9D9"/>
          <w:lang w:eastAsia="zh-CN"/>
        </w:rPr>
        <w:t>】</w:t>
      </w:r>
      <w:r>
        <w:rPr>
          <w:rFonts w:hint="eastAsia" w:ascii="宋体" w:hAnsi="宋体" w:eastAsia="宋体" w:cs="宋体"/>
          <w:sz w:val="18"/>
          <w:szCs w:val="18"/>
        </w:rPr>
        <w:t>（乙方）在</w:t>
      </w:r>
      <w:r>
        <w:rPr>
          <w:rFonts w:hint="eastAsia" w:ascii="宋体" w:hAnsi="宋体" w:cs="宋体"/>
          <w:sz w:val="18"/>
          <w:szCs w:val="18"/>
          <w:u w:val="single"/>
          <w:shd w:val="clear" w:color="FFFFFF" w:fill="D9D9D9"/>
          <w:lang w:eastAsia="zh-CN"/>
        </w:rPr>
        <w:t>【</w:t>
      </w:r>
      <w:r>
        <w:rPr>
          <w:rFonts w:hint="eastAsia" w:ascii="宋体" w:hAnsi="宋体" w:cs="宋体"/>
          <w:sz w:val="18"/>
          <w:szCs w:val="18"/>
          <w:u w:val="single"/>
          <w:shd w:val="clear" w:color="FFFFFF" w:fill="D9D9D9"/>
          <w:lang w:val="en-US" w:eastAsia="zh-CN"/>
        </w:rPr>
        <w:t>2026年应用系统上线变更前安全测试服务采购项目】</w:t>
      </w:r>
      <w:r>
        <w:rPr>
          <w:rFonts w:hint="eastAsia" w:ascii="宋体" w:hAnsi="宋体" w:eastAsia="宋体" w:cs="宋体"/>
          <w:sz w:val="18"/>
          <w:szCs w:val="18"/>
        </w:rPr>
        <w:t>中为吉林亿联银行股份有限公司（甲方）提供的服务水平，本SLA主要：</w:t>
      </w:r>
    </w:p>
    <w:p>
      <w:pPr>
        <w:keepNext w:val="0"/>
        <w:keepLines w:val="0"/>
        <w:pageBreakBefore w:val="0"/>
        <w:widowControl/>
        <w:numPr>
          <w:ilvl w:val="0"/>
          <w:numId w:val="4"/>
        </w:numPr>
        <w:tabs>
          <w:tab w:val="left" w:pos="425"/>
        </w:tabs>
        <w:kinsoku/>
        <w:wordWrap/>
        <w:overflowPunct/>
        <w:topLinePunct w:val="0"/>
        <w:autoSpaceDE/>
        <w:autoSpaceDN/>
        <w:bidi w:val="0"/>
        <w:adjustRightInd/>
        <w:snapToGrid w:val="0"/>
        <w:spacing w:after="160" w:afterLines="50" w:line="36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描述由乙方为甲方提供的服务内容。</w:t>
      </w:r>
    </w:p>
    <w:p>
      <w:pPr>
        <w:keepNext w:val="0"/>
        <w:keepLines w:val="0"/>
        <w:pageBreakBefore w:val="0"/>
        <w:widowControl/>
        <w:numPr>
          <w:ilvl w:val="0"/>
          <w:numId w:val="4"/>
        </w:numPr>
        <w:tabs>
          <w:tab w:val="left" w:pos="425"/>
        </w:tabs>
        <w:kinsoku/>
        <w:wordWrap/>
        <w:overflowPunct/>
        <w:topLinePunct w:val="0"/>
        <w:autoSpaceDE/>
        <w:autoSpaceDN/>
        <w:bidi w:val="0"/>
        <w:adjustRightInd/>
        <w:snapToGrid w:val="0"/>
        <w:spacing w:after="160" w:afterLines="50" w:line="36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明确甲方对乙方所提供服务水平的期望。</w:t>
      </w:r>
    </w:p>
    <w:p>
      <w:pPr>
        <w:keepNext w:val="0"/>
        <w:keepLines w:val="0"/>
        <w:pageBreakBefore w:val="0"/>
        <w:widowControl/>
        <w:numPr>
          <w:ilvl w:val="0"/>
          <w:numId w:val="4"/>
        </w:numPr>
        <w:tabs>
          <w:tab w:val="left" w:pos="425"/>
        </w:tabs>
        <w:kinsoku/>
        <w:wordWrap/>
        <w:overflowPunct/>
        <w:topLinePunct w:val="0"/>
        <w:autoSpaceDE/>
        <w:autoSpaceDN/>
        <w:bidi w:val="0"/>
        <w:adjustRightInd/>
        <w:snapToGrid w:val="0"/>
        <w:spacing w:after="160" w:afterLines="50" w:line="360" w:lineRule="auto"/>
        <w:ind w:firstLine="360" w:firstLineChars="200"/>
        <w:rPr>
          <w:rFonts w:hint="eastAsia" w:ascii="宋体" w:hAnsi="宋体" w:eastAsia="宋体" w:cs="宋体"/>
          <w:sz w:val="18"/>
          <w:szCs w:val="18"/>
        </w:rPr>
      </w:pPr>
      <w:r>
        <w:rPr>
          <w:rFonts w:hint="eastAsia" w:ascii="宋体" w:hAnsi="宋体" w:eastAsia="宋体" w:cs="宋体"/>
          <w:sz w:val="18"/>
          <w:szCs w:val="18"/>
        </w:rPr>
        <w:t>规范和加强甲方对乙方所提供服务水平的控制。</w:t>
      </w:r>
      <w:bookmarkStart w:id="0" w:name="_Toc299540274"/>
      <w:bookmarkStart w:id="1" w:name="_Toc254884644"/>
      <w:bookmarkStart w:id="2" w:name="_Toc299542114"/>
      <w:bookmarkStart w:id="3" w:name="_Toc299542222"/>
    </w:p>
    <w:p>
      <w:pPr>
        <w:keepNext w:val="0"/>
        <w:keepLines w:val="0"/>
        <w:pageBreakBefore w:val="0"/>
        <w:numPr>
          <w:ilvl w:val="0"/>
          <w:numId w:val="3"/>
        </w:numPr>
        <w:kinsoku/>
        <w:wordWrap/>
        <w:overflowPunct/>
        <w:topLinePunct w:val="0"/>
        <w:autoSpaceDE/>
        <w:autoSpaceDN/>
        <w:bidi w:val="0"/>
        <w:adjustRightInd/>
        <w:snapToGrid w:val="0"/>
        <w:spacing w:after="160" w:afterLines="50" w:line="360" w:lineRule="auto"/>
        <w:ind w:firstLine="361" w:firstLineChars="200"/>
        <w:rPr>
          <w:rFonts w:ascii="宋体" w:hAnsi="宋体" w:eastAsia="宋体" w:cs="宋体"/>
          <w:b/>
          <w:bCs/>
          <w:sz w:val="18"/>
          <w:szCs w:val="18"/>
        </w:rPr>
      </w:pPr>
      <w:r>
        <w:rPr>
          <w:rFonts w:hint="eastAsia" w:ascii="宋体" w:hAnsi="宋体" w:eastAsia="宋体" w:cs="宋体"/>
          <w:b/>
          <w:bCs/>
          <w:sz w:val="18"/>
          <w:szCs w:val="18"/>
        </w:rPr>
        <w:t>服务内容</w:t>
      </w:r>
      <w:bookmarkEnd w:id="0"/>
      <w:bookmarkEnd w:id="1"/>
      <w:bookmarkEnd w:id="2"/>
      <w:bookmarkEnd w:id="3"/>
    </w:p>
    <w:p>
      <w:pPr>
        <w:keepNext w:val="0"/>
        <w:keepLines w:val="0"/>
        <w:pageBreakBefore w:val="0"/>
        <w:numPr>
          <w:ilvl w:val="0"/>
          <w:numId w:val="5"/>
        </w:numPr>
        <w:kinsoku/>
        <w:wordWrap/>
        <w:overflowPunct/>
        <w:topLinePunct w:val="0"/>
        <w:autoSpaceDE/>
        <w:autoSpaceDN/>
        <w:bidi w:val="0"/>
        <w:adjustRightInd/>
        <w:snapToGrid w:val="0"/>
        <w:spacing w:after="160" w:afterLines="50" w:line="360" w:lineRule="auto"/>
        <w:ind w:firstLine="361" w:firstLineChars="200"/>
        <w:rPr>
          <w:rFonts w:ascii="宋体" w:hAnsi="宋体" w:eastAsia="宋体" w:cs="宋体"/>
          <w:b/>
          <w:bCs/>
          <w:sz w:val="18"/>
          <w:szCs w:val="18"/>
        </w:rPr>
      </w:pPr>
      <w:r>
        <w:rPr>
          <w:rFonts w:hint="eastAsia" w:ascii="宋体" w:hAnsi="宋体" w:eastAsia="宋体" w:cs="宋体"/>
          <w:b/>
          <w:bCs/>
          <w:sz w:val="18"/>
          <w:szCs w:val="18"/>
        </w:rPr>
        <w:t>服务内容及服务方式</w:t>
      </w:r>
    </w:p>
    <w:tbl>
      <w:tblPr>
        <w:tblStyle w:val="20"/>
        <w:tblpPr w:leftFromText="180" w:rightFromText="180" w:vertAnchor="text" w:horzAnchor="page" w:tblpX="1694" w:tblpY="199"/>
        <w:tblOverlap w:val="never"/>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5513"/>
        <w:gridCol w:w="1241"/>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44" w:type="dxa"/>
            <w:tcBorders>
              <w:tl2br w:val="nil"/>
              <w:tr2bl w:val="nil"/>
            </w:tcBorders>
            <w:shd w:val="clear" w:color="auto" w:fill="B8CCE4"/>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ascii="宋体" w:hAnsi="宋体" w:eastAsia="宋体" w:cs="宋体"/>
                <w:b/>
                <w:sz w:val="18"/>
                <w:szCs w:val="18"/>
              </w:rPr>
            </w:pPr>
            <w:r>
              <w:rPr>
                <w:rFonts w:hint="eastAsia" w:ascii="宋体" w:hAnsi="宋体" w:eastAsia="宋体" w:cs="宋体"/>
                <w:b/>
                <w:sz w:val="18"/>
                <w:szCs w:val="18"/>
              </w:rPr>
              <w:t>序号</w:t>
            </w:r>
          </w:p>
        </w:tc>
        <w:tc>
          <w:tcPr>
            <w:tcW w:w="5513" w:type="dxa"/>
            <w:tcBorders>
              <w:tl2br w:val="nil"/>
              <w:tr2bl w:val="nil"/>
            </w:tcBorders>
            <w:shd w:val="clear" w:color="auto" w:fill="B8CCE4"/>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ascii="宋体" w:hAnsi="宋体" w:eastAsia="宋体" w:cs="宋体"/>
                <w:b/>
                <w:sz w:val="18"/>
                <w:szCs w:val="18"/>
              </w:rPr>
            </w:pPr>
            <w:r>
              <w:rPr>
                <w:rFonts w:hint="eastAsia" w:ascii="宋体" w:hAnsi="宋体" w:eastAsia="宋体" w:cs="宋体"/>
                <w:b/>
                <w:sz w:val="18"/>
                <w:szCs w:val="18"/>
              </w:rPr>
              <w:t>活动描述</w:t>
            </w:r>
          </w:p>
        </w:tc>
        <w:tc>
          <w:tcPr>
            <w:tcW w:w="1241" w:type="dxa"/>
            <w:tcBorders>
              <w:tl2br w:val="nil"/>
              <w:tr2bl w:val="nil"/>
            </w:tcBorders>
            <w:shd w:val="clear" w:color="auto" w:fill="B8CCE4"/>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ascii="宋体" w:hAnsi="宋体" w:eastAsia="宋体" w:cs="宋体"/>
                <w:b/>
                <w:sz w:val="18"/>
                <w:szCs w:val="18"/>
              </w:rPr>
            </w:pPr>
            <w:r>
              <w:rPr>
                <w:rFonts w:hint="eastAsia" w:ascii="宋体" w:hAnsi="宋体" w:eastAsia="宋体" w:cs="宋体"/>
                <w:b/>
                <w:sz w:val="18"/>
                <w:szCs w:val="18"/>
              </w:rPr>
              <w:t>服务方式</w:t>
            </w:r>
          </w:p>
        </w:tc>
        <w:tc>
          <w:tcPr>
            <w:tcW w:w="1610" w:type="dxa"/>
            <w:tcBorders>
              <w:tl2br w:val="nil"/>
              <w:tr2bl w:val="nil"/>
            </w:tcBorders>
            <w:shd w:val="clear" w:color="auto" w:fill="B8CCE4"/>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ascii="宋体" w:hAnsi="宋体" w:eastAsia="宋体" w:cs="宋体"/>
                <w:b/>
                <w:sz w:val="18"/>
                <w:szCs w:val="18"/>
              </w:rPr>
            </w:pPr>
            <w:r>
              <w:rPr>
                <w:rFonts w:hint="eastAsia" w:ascii="宋体" w:hAnsi="宋体" w:eastAsia="宋体" w:cs="宋体"/>
                <w:b/>
                <w:sz w:val="18"/>
                <w:szCs w:val="18"/>
              </w:rPr>
              <w:t>服务支持时间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ascii="宋体" w:hAnsi="宋体" w:eastAsia="宋体" w:cs="宋体"/>
                <w:sz w:val="18"/>
                <w:szCs w:val="18"/>
              </w:rPr>
            </w:pPr>
            <w:r>
              <w:rPr>
                <w:rFonts w:hint="eastAsia" w:ascii="宋体" w:hAnsi="宋体" w:eastAsia="宋体" w:cs="宋体"/>
                <w:sz w:val="18"/>
                <w:szCs w:val="18"/>
              </w:rPr>
              <w:t>1</w:t>
            </w:r>
          </w:p>
        </w:tc>
        <w:tc>
          <w:tcPr>
            <w:tcW w:w="5513"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default" w:ascii="宋体" w:hAnsi="宋体" w:eastAsia="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对甲方互联网及内网应用系统的每个迭代版本开展测试。测试系统包括但不限于我行已上线的银行门户、企业移动开户系统、企业网银、微信银行、金融超市、共享平台、亿联银行APP、线上贷款交易平台、互联网贷款平台等已上线应用系统的迭代版本，以及首次上线的新应用系统及其后续迭代版本。测试系统类型包括但不限于Web、客户端、APP（含安卓、IOS、鸿蒙）、API接口、SDK、H5等。参考《金融网络安全 Web应用服务安全测试通用规范》等安全测试标准，发现OWASP TOP 10漏洞及其他各类可能被攻击者利用的安全漏洞，并提供可行的漏洞修复方案和可落地实施的技术支持。使用甲方提供的源代码缺陷检测工具开展测试工作，在应用系统上线/变更前完成静态代码缺陷审计，并根据统计分析系统误报情况对我行源代码缺陷检测工具的代码缺陷检测策略进行调优，针对不同类型应用系统，制定精细化的代码缺陷检测策略，使代码缺陷检测策略支持开发人员自行修复和整改，不需要额外投入过多人力排除误报。</w:t>
            </w:r>
          </w:p>
        </w:tc>
        <w:tc>
          <w:tcPr>
            <w:tcW w:w="1241"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default" w:ascii="宋体" w:hAnsi="宋体" w:eastAsia="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现场</w:t>
            </w:r>
          </w:p>
        </w:tc>
        <w:tc>
          <w:tcPr>
            <w:tcW w:w="1610"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default" w:ascii="宋体" w:hAnsi="宋体" w:eastAsia="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 xml:space="preserve">工作日（含工作日加班）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2</w:t>
            </w:r>
          </w:p>
        </w:tc>
        <w:tc>
          <w:tcPr>
            <w:tcW w:w="5513"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结合甲方安全测试结果提供一次安全开发培训。</w:t>
            </w:r>
            <w:bookmarkStart w:id="4" w:name="_GoBack"/>
            <w:bookmarkEnd w:id="4"/>
          </w:p>
        </w:tc>
        <w:tc>
          <w:tcPr>
            <w:tcW w:w="1241"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现场</w:t>
            </w:r>
          </w:p>
        </w:tc>
        <w:tc>
          <w:tcPr>
            <w:tcW w:w="1610"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 xml:space="preserve">工作日（含工作日加班）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3</w:t>
            </w:r>
          </w:p>
        </w:tc>
        <w:tc>
          <w:tcPr>
            <w:tcW w:w="5513"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提供一次隐私合规检测并提供报告。</w:t>
            </w:r>
          </w:p>
        </w:tc>
        <w:tc>
          <w:tcPr>
            <w:tcW w:w="1241"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现场/远程</w:t>
            </w:r>
          </w:p>
        </w:tc>
        <w:tc>
          <w:tcPr>
            <w:tcW w:w="1610" w:type="dxa"/>
            <w:tcBorders>
              <w:tl2br w:val="nil"/>
              <w:tr2bl w:val="nil"/>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rPr>
                <w:rFonts w:hint="eastAsia" w:ascii="宋体" w:hAnsi="宋体" w:cs="宋体"/>
                <w:sz w:val="18"/>
                <w:szCs w:val="18"/>
                <w:shd w:val="clear" w:color="FFFFFF" w:fill="D9D9D9"/>
                <w:lang w:val="en-US" w:eastAsia="zh-CN"/>
              </w:rPr>
            </w:pPr>
            <w:r>
              <w:rPr>
                <w:rFonts w:hint="eastAsia" w:ascii="宋体" w:hAnsi="宋体" w:cs="宋体"/>
                <w:sz w:val="18"/>
                <w:szCs w:val="18"/>
                <w:shd w:val="clear" w:color="FFFFFF" w:fill="D9D9D9"/>
                <w:lang w:val="en-US" w:eastAsia="zh-CN"/>
              </w:rPr>
              <w:t xml:space="preserve">工作日（含工作日加班） </w:t>
            </w:r>
          </w:p>
        </w:tc>
      </w:tr>
    </w:tbl>
    <w:p>
      <w:pPr>
        <w:pStyle w:val="2"/>
        <w:keepNext w:val="0"/>
        <w:keepLines w:val="0"/>
        <w:pageBreakBefore w:val="0"/>
        <w:kinsoku/>
        <w:wordWrap/>
        <w:overflowPunct/>
        <w:topLinePunct w:val="0"/>
        <w:autoSpaceDE/>
        <w:autoSpaceDN/>
        <w:bidi w:val="0"/>
        <w:adjustRightInd/>
        <w:spacing w:beforeLines="0" w:after="160" w:afterLines="50" w:line="360" w:lineRule="auto"/>
        <w:rPr>
          <w:rFonts w:hint="default" w:ascii="宋体" w:eastAsia="宋体"/>
          <w:snapToGrid/>
          <w:szCs w:val="21"/>
          <w:shd w:val="clear" w:color="FFFFFF" w:fill="D9D9D9"/>
          <w:lang w:val="en-US" w:eastAsia="zh-CN"/>
        </w:rPr>
      </w:pPr>
    </w:p>
    <w:p>
      <w:pPr>
        <w:pStyle w:val="2"/>
        <w:keepNext w:val="0"/>
        <w:keepLines w:val="0"/>
        <w:pageBreakBefore w:val="0"/>
        <w:kinsoku/>
        <w:wordWrap/>
        <w:overflowPunct/>
        <w:topLinePunct w:val="0"/>
        <w:autoSpaceDE/>
        <w:autoSpaceDN/>
        <w:bidi w:val="0"/>
        <w:adjustRightInd/>
        <w:spacing w:beforeLines="0" w:after="160" w:afterLines="50" w:line="360" w:lineRule="auto"/>
        <w:ind w:firstLine="420" w:firstLineChars="200"/>
        <w:rPr>
          <w:rFonts w:ascii="宋体"/>
          <w:snapToGrid/>
          <w:szCs w:val="21"/>
          <w:lang w:val="en-US"/>
        </w:rPr>
      </w:pPr>
    </w:p>
    <w:p>
      <w:pPr>
        <w:pStyle w:val="2"/>
        <w:keepNext w:val="0"/>
        <w:keepLines w:val="0"/>
        <w:pageBreakBefore w:val="0"/>
        <w:kinsoku/>
        <w:wordWrap/>
        <w:overflowPunct/>
        <w:topLinePunct w:val="0"/>
        <w:autoSpaceDE/>
        <w:autoSpaceDN/>
        <w:bidi w:val="0"/>
        <w:adjustRightInd/>
        <w:spacing w:beforeLines="0" w:after="160" w:afterLines="50" w:line="360" w:lineRule="auto"/>
        <w:ind w:firstLine="420" w:firstLineChars="200"/>
        <w:rPr>
          <w:rFonts w:ascii="宋体"/>
          <w:snapToGrid/>
          <w:szCs w:val="21"/>
          <w:lang w:val="en-US"/>
        </w:rPr>
        <w:sectPr>
          <w:headerReference r:id="rId3" w:type="default"/>
          <w:footerReference r:id="rId4" w:type="default"/>
          <w:pgSz w:w="11906" w:h="16838"/>
          <w:pgMar w:top="1440" w:right="1083" w:bottom="1440" w:left="1083" w:header="850" w:footer="992" w:gutter="0"/>
          <w:pgNumType w:fmt="decimal" w:start="1"/>
          <w:cols w:space="720" w:num="1"/>
          <w:docGrid w:type="lines" w:linePitch="317" w:charSpace="0"/>
        </w:sectPr>
      </w:pPr>
    </w:p>
    <w:p>
      <w:pPr>
        <w:keepNext w:val="0"/>
        <w:keepLines w:val="0"/>
        <w:pageBreakBefore w:val="0"/>
        <w:kinsoku/>
        <w:wordWrap/>
        <w:overflowPunct/>
        <w:topLinePunct w:val="0"/>
        <w:autoSpaceDE/>
        <w:autoSpaceDN/>
        <w:bidi w:val="0"/>
        <w:adjustRightInd/>
        <w:spacing w:after="160" w:afterLines="50" w:line="360" w:lineRule="auto"/>
        <w:rPr>
          <w:rFonts w:ascii="宋体" w:hAnsi="宋体" w:eastAsia="宋体" w:cs="宋体"/>
          <w:szCs w:val="21"/>
        </w:rPr>
      </w:pPr>
      <w:r>
        <w:rPr>
          <w:rFonts w:hint="eastAsia" w:ascii="宋体" w:hAnsi="宋体" w:eastAsia="宋体" w:cs="宋体"/>
          <w:b/>
          <w:bCs/>
          <w:szCs w:val="21"/>
        </w:rPr>
        <w:t>三、服务水平指标</w:t>
      </w:r>
    </w:p>
    <w:tbl>
      <w:tblPr>
        <w:tblStyle w:val="20"/>
        <w:tblpPr w:leftFromText="180" w:rightFromText="180" w:vertAnchor="text" w:horzAnchor="page" w:tblpX="1433" w:tblpY="472"/>
        <w:tblOverlap w:val="never"/>
        <w:tblW w:w="4998" w:type="pct"/>
        <w:tblInd w:w="0" w:type="dxa"/>
        <w:tblLayout w:type="autofit"/>
        <w:tblCellMar>
          <w:top w:w="15" w:type="dxa"/>
          <w:left w:w="15" w:type="dxa"/>
          <w:bottom w:w="15" w:type="dxa"/>
          <w:right w:w="15" w:type="dxa"/>
        </w:tblCellMar>
      </w:tblPr>
      <w:tblGrid>
        <w:gridCol w:w="467"/>
        <w:gridCol w:w="1539"/>
        <w:gridCol w:w="1270"/>
        <w:gridCol w:w="3556"/>
        <w:gridCol w:w="2132"/>
        <w:gridCol w:w="5018"/>
      </w:tblGrid>
      <w:tr>
        <w:tblPrEx>
          <w:tblCellMar>
            <w:top w:w="15" w:type="dxa"/>
            <w:left w:w="15" w:type="dxa"/>
            <w:bottom w:w="15" w:type="dxa"/>
            <w:right w:w="15" w:type="dxa"/>
          </w:tblCellMar>
        </w:tblPrEx>
        <w:trPr>
          <w:trHeight w:val="464" w:hRule="atLeast"/>
          <w:tblHeader/>
        </w:trPr>
        <w:tc>
          <w:tcPr>
            <w:tcW w:w="167"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序号</w:t>
            </w:r>
          </w:p>
        </w:tc>
        <w:tc>
          <w:tcPr>
            <w:tcW w:w="550"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服务内容</w:t>
            </w:r>
          </w:p>
        </w:tc>
        <w:tc>
          <w:tcPr>
            <w:tcW w:w="454"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服务定义</w:t>
            </w:r>
          </w:p>
        </w:tc>
        <w:tc>
          <w:tcPr>
            <w:tcW w:w="1271"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服务标准</w:t>
            </w:r>
          </w:p>
        </w:tc>
        <w:tc>
          <w:tcPr>
            <w:tcW w:w="762"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服务标准计算</w:t>
            </w:r>
          </w:p>
        </w:tc>
        <w:tc>
          <w:tcPr>
            <w:tcW w:w="1793" w:type="pct"/>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罚则</w:t>
            </w:r>
          </w:p>
        </w:tc>
      </w:tr>
      <w:tr>
        <w:tblPrEx>
          <w:tblCellMar>
            <w:top w:w="15" w:type="dxa"/>
            <w:left w:w="15" w:type="dxa"/>
            <w:bottom w:w="15" w:type="dxa"/>
            <w:right w:w="15" w:type="dxa"/>
          </w:tblCellMar>
        </w:tblPrEx>
        <w:trPr>
          <w:trHeight w:val="1196" w:hRule="atLeast"/>
        </w:trPr>
        <w:tc>
          <w:tcPr>
            <w:tcW w:w="167"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color w:val="000000"/>
                <w:szCs w:val="21"/>
              </w:rPr>
            </w:pPr>
            <w:r>
              <w:rPr>
                <w:rFonts w:hint="eastAsia" w:ascii="宋体" w:hAnsi="宋体" w:eastAsia="宋体" w:cs="宋体"/>
                <w:color w:val="000000"/>
                <w:sz w:val="18"/>
                <w:szCs w:val="18"/>
              </w:rPr>
              <w:t>1</w:t>
            </w:r>
          </w:p>
        </w:tc>
        <w:tc>
          <w:tcPr>
            <w:tcW w:w="55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应急处理事件响应</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衡量乙方对甲方应急事件的</w:t>
            </w:r>
            <w:r>
              <w:rPr>
                <w:rFonts w:hint="eastAsia" w:ascii="宋体" w:hAnsi="宋体" w:eastAsia="宋体" w:cs="宋体"/>
                <w:color w:val="000000"/>
                <w:kern w:val="0"/>
                <w:sz w:val="18"/>
                <w:szCs w:val="18"/>
                <w:lang w:eastAsia="zh-CN" w:bidi="ar"/>
              </w:rPr>
              <w:t>响应</w:t>
            </w:r>
            <w:r>
              <w:rPr>
                <w:rFonts w:hint="eastAsia" w:ascii="宋体" w:hAnsi="宋体" w:eastAsia="宋体" w:cs="宋体"/>
                <w:color w:val="000000"/>
                <w:kern w:val="0"/>
                <w:sz w:val="18"/>
                <w:szCs w:val="18"/>
                <w:lang w:bidi="ar"/>
              </w:rPr>
              <w:t>情况</w:t>
            </w: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乙方应保证及时响应甲方应急处理事件，保证甲方应急处理优先，至少要按照甲方的应急响应时间要求开展相关工作。</w:t>
            </w:r>
          </w:p>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eastAsia" w:ascii="宋体" w:hAnsi="宋体" w:eastAsia="宋体" w:cs="宋体"/>
                <w:color w:val="000000"/>
                <w:kern w:val="0"/>
                <w:sz w:val="18"/>
                <w:szCs w:val="18"/>
                <w:highlight w:val="lightGray"/>
                <w:lang w:bidi="ar"/>
              </w:rPr>
            </w:pPr>
            <w:r>
              <w:rPr>
                <w:rFonts w:hint="eastAsia" w:ascii="宋体" w:hAnsi="宋体" w:eastAsia="宋体" w:cs="宋体"/>
                <w:color w:val="000000"/>
                <w:kern w:val="0"/>
                <w:sz w:val="18"/>
                <w:szCs w:val="18"/>
                <w:lang w:bidi="ar"/>
              </w:rPr>
              <w:t>事件响应时间：</w:t>
            </w:r>
            <w:r>
              <w:rPr>
                <w:rFonts w:hint="eastAsia" w:ascii="宋体" w:hAnsi="宋体" w:eastAsia="宋体" w:cs="宋体"/>
                <w:color w:val="000000"/>
                <w:kern w:val="0"/>
                <w:sz w:val="18"/>
                <w:szCs w:val="18"/>
                <w:highlight w:val="lightGray"/>
                <w:u w:val="single"/>
                <w:lang w:bidi="ar"/>
              </w:rPr>
              <w:t xml:space="preserve">       1小时           </w:t>
            </w:r>
          </w:p>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事件解决时限：</w:t>
            </w:r>
            <w:r>
              <w:rPr>
                <w:rFonts w:hint="eastAsia" w:ascii="宋体" w:hAnsi="宋体" w:eastAsia="宋体" w:cs="宋体"/>
                <w:color w:val="000000"/>
                <w:kern w:val="0"/>
                <w:sz w:val="18"/>
                <w:szCs w:val="18"/>
                <w:highlight w:val="lightGray"/>
                <w:u w:val="single"/>
                <w:lang w:bidi="ar"/>
              </w:rPr>
              <w:t xml:space="preserve">       24小时          </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如未达到相关要求，乙方应向甲方支付违约金，违约金标准为：合同总金额×未达要求次数×</w:t>
            </w:r>
            <w:r>
              <w:rPr>
                <w:rFonts w:hint="eastAsia" w:ascii="宋体" w:hAnsi="宋体" w:eastAsia="宋体" w:cs="宋体"/>
                <w:color w:val="000000"/>
                <w:kern w:val="0"/>
                <w:sz w:val="18"/>
                <w:szCs w:val="18"/>
                <w:highlight w:val="lightGray"/>
                <w:u w:val="single"/>
                <w:lang w:bidi="ar"/>
              </w:rPr>
              <w:t>2%</w:t>
            </w:r>
            <w:r>
              <w:rPr>
                <w:rFonts w:hint="eastAsia" w:ascii="宋体" w:hAnsi="宋体" w:eastAsia="宋体" w:cs="宋体"/>
                <w:color w:val="000000"/>
                <w:kern w:val="0"/>
                <w:sz w:val="18"/>
                <w:szCs w:val="18"/>
                <w:lang w:bidi="ar"/>
              </w:rPr>
              <w:t>，甲方还有权要求乙方赔偿因此给甲方造成的损失。</w:t>
            </w:r>
          </w:p>
        </w:tc>
      </w:tr>
      <w:tr>
        <w:tblPrEx>
          <w:tblCellMar>
            <w:top w:w="15" w:type="dxa"/>
            <w:left w:w="15" w:type="dxa"/>
            <w:bottom w:w="15" w:type="dxa"/>
            <w:right w:w="15" w:type="dxa"/>
          </w:tblCellMar>
        </w:tblPrEx>
        <w:trPr>
          <w:trHeight w:val="359" w:hRule="atLeast"/>
        </w:trPr>
        <w:tc>
          <w:tcPr>
            <w:tcW w:w="167"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color w:val="000000"/>
                <w:szCs w:val="21"/>
              </w:rPr>
            </w:pPr>
            <w:r>
              <w:rPr>
                <w:rFonts w:hint="eastAsia" w:ascii="宋体" w:hAnsi="宋体" w:eastAsia="宋体" w:cs="宋体"/>
                <w:color w:val="000000"/>
                <w:sz w:val="18"/>
                <w:szCs w:val="18"/>
              </w:rPr>
              <w:t>2</w:t>
            </w:r>
          </w:p>
        </w:tc>
        <w:tc>
          <w:tcPr>
            <w:tcW w:w="55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sz w:val="18"/>
                <w:szCs w:val="18"/>
                <w:lang w:eastAsia="zh-CN"/>
              </w:rPr>
              <w:t>安全测试</w:t>
            </w:r>
            <w:r>
              <w:rPr>
                <w:rFonts w:hint="eastAsia" w:ascii="宋体" w:hAnsi="宋体" w:eastAsia="宋体" w:cs="宋体"/>
                <w:color w:val="000000"/>
                <w:sz w:val="18"/>
                <w:szCs w:val="18"/>
              </w:rPr>
              <w:t>工作质量</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衡量乙方安全</w:t>
            </w:r>
            <w:r>
              <w:rPr>
                <w:rFonts w:hint="eastAsia" w:ascii="宋体" w:hAnsi="宋体" w:eastAsia="宋体" w:cs="宋体"/>
                <w:color w:val="000000"/>
                <w:kern w:val="0"/>
                <w:sz w:val="18"/>
                <w:szCs w:val="18"/>
                <w:lang w:eastAsia="zh-CN" w:bidi="ar"/>
              </w:rPr>
              <w:t>测试</w:t>
            </w:r>
            <w:r>
              <w:rPr>
                <w:rFonts w:hint="eastAsia" w:ascii="宋体" w:hAnsi="宋体" w:eastAsia="宋体" w:cs="宋体"/>
                <w:color w:val="000000"/>
                <w:kern w:val="0"/>
                <w:sz w:val="18"/>
                <w:szCs w:val="18"/>
                <w:lang w:bidi="ar"/>
              </w:rPr>
              <w:t>服务的质量</w:t>
            </w: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eastAsia" w:ascii="宋体" w:hAnsi="宋体" w:eastAsia="宋体" w:cs="宋体"/>
                <w:color w:val="000000"/>
                <w:sz w:val="18"/>
                <w:szCs w:val="18"/>
                <w:shd w:val="clear" w:color="auto" w:fill="FFFFFF"/>
              </w:rPr>
            </w:pPr>
            <w:r>
              <w:rPr>
                <w:rFonts w:hint="eastAsia" w:ascii="宋体" w:hAnsi="宋体" w:eastAsia="宋体" w:cs="宋体"/>
                <w:color w:val="000000"/>
                <w:kern w:val="0"/>
                <w:sz w:val="18"/>
                <w:szCs w:val="18"/>
                <w:lang w:bidi="ar"/>
              </w:rPr>
              <w:t>乙方应在开展安全</w:t>
            </w:r>
            <w:r>
              <w:rPr>
                <w:rFonts w:hint="eastAsia" w:ascii="宋体" w:hAnsi="宋体" w:eastAsia="宋体" w:cs="宋体"/>
                <w:color w:val="000000"/>
                <w:kern w:val="0"/>
                <w:sz w:val="18"/>
                <w:szCs w:val="18"/>
                <w:lang w:eastAsia="zh-CN" w:bidi="ar"/>
              </w:rPr>
              <w:t>测试</w:t>
            </w:r>
            <w:r>
              <w:rPr>
                <w:rFonts w:hint="eastAsia" w:ascii="宋体" w:hAnsi="宋体" w:eastAsia="宋体" w:cs="宋体"/>
                <w:color w:val="000000"/>
                <w:kern w:val="0"/>
                <w:sz w:val="18"/>
                <w:szCs w:val="18"/>
                <w:lang w:bidi="ar"/>
              </w:rPr>
              <w:t>工作过程中提高信息系统的安全质量，对于所存在的安全漏洞及时揭示并提供有效的整改建议，开展安全</w:t>
            </w:r>
            <w:r>
              <w:rPr>
                <w:rFonts w:hint="eastAsia" w:ascii="宋体" w:hAnsi="宋体" w:eastAsia="宋体" w:cs="宋体"/>
                <w:color w:val="000000"/>
                <w:kern w:val="0"/>
                <w:sz w:val="18"/>
                <w:szCs w:val="18"/>
                <w:lang w:eastAsia="zh-CN" w:bidi="ar"/>
              </w:rPr>
              <w:t>安全测试工作</w:t>
            </w:r>
            <w:r>
              <w:rPr>
                <w:rFonts w:hint="eastAsia" w:ascii="宋体" w:hAnsi="宋体" w:eastAsia="宋体" w:cs="宋体"/>
                <w:color w:val="000000"/>
                <w:kern w:val="0"/>
                <w:sz w:val="18"/>
                <w:szCs w:val="18"/>
                <w:lang w:bidi="ar"/>
              </w:rPr>
              <w:t>后信息系统存在的被外部、</w:t>
            </w:r>
            <w:r>
              <w:rPr>
                <w:rFonts w:hint="eastAsia" w:ascii="宋体" w:hAnsi="宋体" w:eastAsia="宋体" w:cs="宋体"/>
                <w:color w:val="000000"/>
                <w:sz w:val="18"/>
                <w:szCs w:val="18"/>
                <w:shd w:val="clear" w:color="auto" w:fill="FFFFFF"/>
              </w:rPr>
              <w:t>监管通报的安全漏洞数量为</w:t>
            </w:r>
            <w:r>
              <w:rPr>
                <w:rFonts w:hint="eastAsia" w:ascii="宋体" w:hAnsi="宋体" w:eastAsia="宋体" w:cs="宋体"/>
                <w:color w:val="000000"/>
                <w:kern w:val="0"/>
                <w:sz w:val="18"/>
                <w:szCs w:val="18"/>
                <w:highlight w:val="lightGray"/>
                <w:u w:val="single"/>
                <w:lang w:bidi="ar"/>
              </w:rPr>
              <w:t xml:space="preserve">     0    </w:t>
            </w:r>
            <w:r>
              <w:rPr>
                <w:rFonts w:hint="eastAsia" w:ascii="宋体" w:hAnsi="宋体" w:eastAsia="宋体" w:cs="宋体"/>
                <w:color w:val="000000"/>
                <w:sz w:val="18"/>
                <w:szCs w:val="18"/>
                <w:shd w:val="clear" w:color="auto" w:fill="FFFFFF"/>
              </w:rPr>
              <w:t>。</w:t>
            </w:r>
          </w:p>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sz w:val="18"/>
                <w:szCs w:val="18"/>
                <w:shd w:val="clear" w:color="auto" w:fill="FFFFFF"/>
                <w:lang w:eastAsia="zh-CN"/>
              </w:rPr>
              <w:t>乙方应安排足够能力和数量的安全测试人员开展安全测试服务，确保在应用系统上线/变更前完成安全测试工作。</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hd w:val="clear"/>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kern w:val="0"/>
                <w:sz w:val="18"/>
                <w:szCs w:val="18"/>
                <w:lang w:val="en-US" w:bidi="ar"/>
              </w:rPr>
            </w:pPr>
            <w:r>
              <w:rPr>
                <w:rFonts w:hint="eastAsia" w:ascii="宋体" w:hAnsi="宋体" w:eastAsia="宋体" w:cs="宋体"/>
                <w:color w:val="000000"/>
                <w:kern w:val="0"/>
                <w:sz w:val="18"/>
                <w:szCs w:val="18"/>
                <w:lang w:bidi="ar"/>
              </w:rPr>
              <w:t>在合同期内，未达到相关质量服务标准，被外</w:t>
            </w:r>
            <w:r>
              <w:rPr>
                <w:rFonts w:hint="eastAsia" w:ascii="宋体" w:hAnsi="宋体" w:cs="宋体"/>
                <w:color w:val="000000"/>
                <w:kern w:val="0"/>
                <w:sz w:val="18"/>
                <w:szCs w:val="18"/>
                <w:lang w:val="en-US" w:eastAsia="zh-CN" w:bidi="ar"/>
              </w:rPr>
              <w:t>部</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监管</w:t>
            </w:r>
            <w:r>
              <w:rPr>
                <w:rFonts w:hint="eastAsia" w:ascii="宋体" w:hAnsi="宋体" w:eastAsia="宋体" w:cs="宋体"/>
                <w:color w:val="000000"/>
                <w:kern w:val="0"/>
                <w:sz w:val="18"/>
                <w:szCs w:val="18"/>
                <w:lang w:bidi="ar"/>
              </w:rPr>
              <w:t>通报</w:t>
            </w:r>
            <w:r>
              <w:rPr>
                <w:rFonts w:hint="eastAsia" w:ascii="宋体" w:hAnsi="宋体" w:cs="宋体"/>
                <w:color w:val="000000"/>
                <w:kern w:val="0"/>
                <w:sz w:val="18"/>
                <w:szCs w:val="18"/>
                <w:lang w:val="en-US" w:eastAsia="zh-CN" w:bidi="ar"/>
              </w:rPr>
              <w:t>漏洞</w:t>
            </w:r>
            <w:r>
              <w:rPr>
                <w:rFonts w:hint="eastAsia" w:ascii="宋体" w:hAnsi="宋体" w:eastAsia="宋体" w:cs="宋体"/>
                <w:color w:val="000000"/>
                <w:kern w:val="0"/>
                <w:sz w:val="18"/>
                <w:szCs w:val="18"/>
                <w:lang w:bidi="ar"/>
              </w:rPr>
              <w:t>，乙方应</w:t>
            </w:r>
            <w:r>
              <w:rPr>
                <w:rFonts w:hint="eastAsia" w:ascii="宋体" w:hAnsi="宋体" w:cs="宋体"/>
                <w:color w:val="000000"/>
                <w:kern w:val="0"/>
                <w:sz w:val="18"/>
                <w:szCs w:val="18"/>
                <w:lang w:val="en-US" w:eastAsia="zh-CN" w:bidi="ar"/>
              </w:rPr>
              <w:t>按照漏洞等级和数量向</w:t>
            </w:r>
            <w:r>
              <w:rPr>
                <w:rFonts w:hint="eastAsia" w:ascii="宋体" w:hAnsi="宋体" w:eastAsia="宋体" w:cs="宋体"/>
                <w:color w:val="000000"/>
                <w:kern w:val="0"/>
                <w:sz w:val="18"/>
                <w:szCs w:val="18"/>
                <w:lang w:bidi="ar"/>
              </w:rPr>
              <w:t>甲方支付合同违约金</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val="en-US" w:eastAsia="zh-CN" w:bidi="ar"/>
              </w:rPr>
              <w:t>高危漏洞3000元/个、中危漏洞2000元/个、低危漏洞1000元/个，违约金总计不超过合同总价款的</w:t>
            </w:r>
            <w:r>
              <w:rPr>
                <w:rFonts w:hint="eastAsia" w:ascii="宋体" w:hAnsi="宋体" w:cs="宋体"/>
                <w:color w:val="000000"/>
                <w:kern w:val="0"/>
                <w:sz w:val="18"/>
                <w:szCs w:val="18"/>
                <w:u w:val="single"/>
                <w:lang w:val="en-US" w:eastAsia="zh-CN" w:bidi="ar"/>
              </w:rPr>
              <w:t>20%</w:t>
            </w:r>
            <w:r>
              <w:rPr>
                <w:rFonts w:hint="eastAsia" w:ascii="宋体" w:hAnsi="宋体" w:cs="宋体"/>
                <w:color w:val="000000"/>
                <w:kern w:val="0"/>
                <w:sz w:val="18"/>
                <w:szCs w:val="18"/>
                <w:lang w:val="en-US" w:eastAsia="zh-CN" w:bidi="ar"/>
              </w:rPr>
              <w:t>。</w:t>
            </w:r>
          </w:p>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在合同期内，未达到相关质量服务标准，每</w:t>
            </w:r>
            <w:r>
              <w:rPr>
                <w:rFonts w:hint="eastAsia" w:ascii="宋体" w:hAnsi="宋体" w:eastAsia="宋体" w:cs="宋体"/>
                <w:color w:val="000000"/>
                <w:kern w:val="0"/>
                <w:sz w:val="18"/>
                <w:szCs w:val="18"/>
                <w:lang w:eastAsia="zh-CN" w:bidi="ar"/>
              </w:rPr>
              <w:t>发生</w:t>
            </w:r>
            <w:r>
              <w:rPr>
                <w:rFonts w:hint="eastAsia" w:ascii="宋体" w:hAnsi="宋体" w:eastAsia="宋体" w:cs="宋体"/>
                <w:color w:val="000000"/>
                <w:kern w:val="0"/>
                <w:sz w:val="18"/>
                <w:szCs w:val="18"/>
                <w:highlight w:val="lightGray"/>
                <w:u w:val="single"/>
                <w:lang w:val="en-US" w:eastAsia="zh-CN" w:bidi="ar"/>
              </w:rPr>
              <w:t>1</w:t>
            </w:r>
            <w:r>
              <w:rPr>
                <w:rFonts w:hint="eastAsia" w:ascii="宋体" w:hAnsi="宋体" w:eastAsia="宋体" w:cs="宋体"/>
                <w:color w:val="000000"/>
                <w:kern w:val="0"/>
                <w:sz w:val="18"/>
                <w:szCs w:val="18"/>
                <w:lang w:val="en-US" w:eastAsia="zh-CN" w:bidi="ar"/>
              </w:rPr>
              <w:t>次应用系统上线/变更前未完成安全测试</w:t>
            </w:r>
            <w:r>
              <w:rPr>
                <w:rFonts w:hint="eastAsia" w:ascii="宋体" w:hAnsi="宋体" w:eastAsia="宋体" w:cs="宋体"/>
                <w:color w:val="000000"/>
                <w:kern w:val="0"/>
                <w:sz w:val="18"/>
                <w:szCs w:val="18"/>
                <w:lang w:bidi="ar"/>
              </w:rPr>
              <w:t>，乙方应向甲方支付合同总价款</w:t>
            </w:r>
            <w:r>
              <w:rPr>
                <w:rFonts w:hint="eastAsia" w:ascii="宋体" w:hAnsi="宋体" w:eastAsia="宋体" w:cs="宋体"/>
                <w:color w:val="000000"/>
                <w:kern w:val="0"/>
                <w:sz w:val="18"/>
                <w:szCs w:val="18"/>
                <w:highlight w:val="lightGray"/>
                <w:u w:val="single"/>
                <w:lang w:bidi="ar"/>
              </w:rPr>
              <w:t>1%</w:t>
            </w:r>
            <w:r>
              <w:rPr>
                <w:rFonts w:hint="eastAsia" w:ascii="宋体" w:hAnsi="宋体" w:eastAsia="宋体" w:cs="宋体"/>
                <w:color w:val="000000"/>
                <w:kern w:val="0"/>
                <w:sz w:val="18"/>
                <w:szCs w:val="18"/>
                <w:lang w:bidi="ar"/>
              </w:rPr>
              <w:t>的违约金。</w:t>
            </w:r>
          </w:p>
        </w:tc>
      </w:tr>
      <w:tr>
        <w:tblPrEx>
          <w:tblCellMar>
            <w:top w:w="15" w:type="dxa"/>
            <w:left w:w="15" w:type="dxa"/>
            <w:bottom w:w="15" w:type="dxa"/>
            <w:right w:w="15" w:type="dxa"/>
          </w:tblCellMar>
        </w:tblPrEx>
        <w:trPr>
          <w:trHeight w:val="395" w:hRule="atLeast"/>
        </w:trPr>
        <w:tc>
          <w:tcPr>
            <w:tcW w:w="16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color w:val="000000"/>
                <w:szCs w:val="21"/>
              </w:rPr>
            </w:pPr>
            <w:r>
              <w:rPr>
                <w:rFonts w:hint="eastAsia" w:ascii="宋体" w:hAnsi="宋体" w:eastAsia="宋体" w:cs="宋体"/>
                <w:color w:val="000000"/>
                <w:sz w:val="18"/>
                <w:szCs w:val="18"/>
              </w:rPr>
              <w:t>3</w:t>
            </w:r>
          </w:p>
        </w:tc>
        <w:tc>
          <w:tcPr>
            <w:tcW w:w="550"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ascii="宋体" w:hAnsi="宋体" w:eastAsia="宋体" w:cs="宋体"/>
                <w:color w:val="000000"/>
                <w:szCs w:val="21"/>
                <w:u w:val="single"/>
                <w:shd w:val="clear" w:color="FFFFFF" w:fill="D9D9D9"/>
              </w:rPr>
            </w:pPr>
            <w:r>
              <w:rPr>
                <w:rFonts w:hint="eastAsia" w:ascii="宋体" w:hAnsi="宋体" w:eastAsia="宋体" w:cs="宋体"/>
                <w:color w:val="000000"/>
                <w:kern w:val="0"/>
                <w:sz w:val="18"/>
                <w:szCs w:val="18"/>
                <w:lang w:bidi="ar"/>
              </w:rPr>
              <w:t>人员稳定性</w:t>
            </w:r>
          </w:p>
        </w:tc>
        <w:tc>
          <w:tcPr>
            <w:tcW w:w="454"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ascii="宋体" w:hAnsi="宋体" w:eastAsia="宋体" w:cs="宋体"/>
                <w:color w:val="000000"/>
                <w:szCs w:val="21"/>
                <w:u w:val="single"/>
                <w:shd w:val="clear" w:color="FFFFFF" w:fill="D9D9D9"/>
              </w:rPr>
            </w:pPr>
            <w:r>
              <w:rPr>
                <w:rFonts w:hint="eastAsia" w:ascii="宋体" w:hAnsi="宋体" w:eastAsia="宋体" w:cs="宋体"/>
                <w:color w:val="000000"/>
                <w:kern w:val="0"/>
                <w:sz w:val="18"/>
                <w:szCs w:val="18"/>
                <w:lang w:bidi="ar"/>
              </w:rPr>
              <w:t>衡量乙方是否为甲方提供了一个稳定的安全</w:t>
            </w:r>
            <w:r>
              <w:rPr>
                <w:rFonts w:hint="eastAsia" w:ascii="宋体" w:hAnsi="宋体" w:eastAsia="宋体" w:cs="宋体"/>
                <w:color w:val="000000"/>
                <w:kern w:val="0"/>
                <w:sz w:val="18"/>
                <w:szCs w:val="18"/>
                <w:lang w:eastAsia="zh-CN" w:bidi="ar"/>
              </w:rPr>
              <w:t>测试</w:t>
            </w:r>
            <w:r>
              <w:rPr>
                <w:rFonts w:hint="eastAsia" w:ascii="宋体" w:hAnsi="宋体" w:eastAsia="宋体" w:cs="宋体"/>
                <w:color w:val="000000"/>
                <w:kern w:val="0"/>
                <w:sz w:val="18"/>
                <w:szCs w:val="18"/>
                <w:lang w:bidi="ar"/>
              </w:rPr>
              <w:t>服务人员</w:t>
            </w:r>
            <w:r>
              <w:rPr>
                <w:rFonts w:hint="eastAsia" w:ascii="宋体" w:hAnsi="宋体" w:eastAsia="宋体" w:cs="宋体"/>
                <w:color w:val="000000"/>
                <w:kern w:val="0"/>
                <w:sz w:val="18"/>
                <w:szCs w:val="18"/>
                <w:lang w:eastAsia="zh-CN" w:bidi="ar"/>
              </w:rPr>
              <w:t>团队</w:t>
            </w: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乙方项目组成员如果要求离职即脱离甲方项目组，乙方或项目组成员必须在距该项目组成员正式离职日起</w:t>
            </w:r>
            <w:r>
              <w:rPr>
                <w:rFonts w:hint="eastAsia" w:ascii="宋体" w:hAnsi="宋体" w:eastAsia="宋体" w:cs="宋体"/>
                <w:color w:val="000000"/>
                <w:kern w:val="0"/>
                <w:sz w:val="18"/>
                <w:szCs w:val="18"/>
                <w:highlight w:val="lightGray"/>
                <w:u w:val="single"/>
                <w:lang w:bidi="ar"/>
              </w:rPr>
              <w:t>10</w:t>
            </w:r>
            <w:r>
              <w:rPr>
                <w:rFonts w:hint="eastAsia" w:ascii="宋体" w:hAnsi="宋体" w:eastAsia="宋体" w:cs="宋体"/>
                <w:color w:val="000000"/>
                <w:kern w:val="0"/>
                <w:sz w:val="18"/>
                <w:szCs w:val="18"/>
                <w:highlight w:val="lightGray"/>
                <w:lang w:bidi="ar"/>
              </w:rPr>
              <w:t>个</w:t>
            </w:r>
            <w:r>
              <w:rPr>
                <w:rFonts w:hint="eastAsia" w:ascii="宋体" w:hAnsi="宋体" w:eastAsia="宋体" w:cs="宋体"/>
                <w:color w:val="000000"/>
                <w:kern w:val="0"/>
                <w:sz w:val="18"/>
                <w:szCs w:val="18"/>
                <w:lang w:bidi="ar"/>
              </w:rPr>
              <w:t>工作日前通知甲方。</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未经甲方书面同意，乙方擅自更换安全评估服务人员的，甲方有权立即要求乙方更改、并有权要求乙方支付合同总价款</w:t>
            </w:r>
            <w:r>
              <w:rPr>
                <w:rFonts w:hint="eastAsia" w:ascii="宋体" w:hAnsi="宋体" w:eastAsia="宋体" w:cs="宋体"/>
                <w:color w:val="000000"/>
                <w:kern w:val="0"/>
                <w:sz w:val="18"/>
                <w:szCs w:val="18"/>
                <w:highlight w:val="lightGray"/>
                <w:u w:val="single"/>
                <w:lang w:bidi="ar"/>
              </w:rPr>
              <w:t>5%</w:t>
            </w:r>
            <w:r>
              <w:rPr>
                <w:rFonts w:hint="eastAsia" w:ascii="宋体" w:hAnsi="宋体" w:eastAsia="宋体" w:cs="宋体"/>
                <w:color w:val="000000"/>
                <w:kern w:val="0"/>
                <w:sz w:val="18"/>
                <w:szCs w:val="18"/>
                <w:lang w:bidi="ar"/>
              </w:rPr>
              <w:t>的违约金。由于乙方未按照甲方要求配备关键岗位备用人员，影响项目服务的连续性，甲方有权立即要求乙方更改、并有权要求乙方支付合同总价款</w:t>
            </w:r>
            <w:r>
              <w:rPr>
                <w:rFonts w:hint="eastAsia" w:ascii="宋体" w:hAnsi="宋体" w:eastAsia="宋体" w:cs="宋体"/>
                <w:color w:val="000000"/>
                <w:kern w:val="0"/>
                <w:sz w:val="18"/>
                <w:szCs w:val="18"/>
                <w:highlight w:val="lightGray"/>
                <w:u w:val="single"/>
                <w:lang w:bidi="ar"/>
              </w:rPr>
              <w:t>5%</w:t>
            </w:r>
            <w:r>
              <w:rPr>
                <w:rFonts w:hint="eastAsia" w:ascii="宋体" w:hAnsi="宋体" w:eastAsia="宋体" w:cs="宋体"/>
                <w:color w:val="000000"/>
                <w:kern w:val="0"/>
                <w:sz w:val="18"/>
                <w:szCs w:val="18"/>
                <w:lang w:bidi="ar"/>
              </w:rPr>
              <w:t>的违约金。</w:t>
            </w:r>
          </w:p>
        </w:tc>
      </w:tr>
      <w:tr>
        <w:tblPrEx>
          <w:tblCellMar>
            <w:top w:w="15" w:type="dxa"/>
            <w:left w:w="15" w:type="dxa"/>
            <w:bottom w:w="15" w:type="dxa"/>
            <w:right w:w="15" w:type="dxa"/>
          </w:tblCellMar>
        </w:tblPrEx>
        <w:trPr>
          <w:trHeight w:val="608" w:hRule="atLeast"/>
        </w:trPr>
        <w:tc>
          <w:tcPr>
            <w:tcW w:w="16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rPr>
            </w:pPr>
          </w:p>
        </w:tc>
        <w:tc>
          <w:tcPr>
            <w:tcW w:w="55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454"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项目实施期间，乙方工作包总人数不少于</w:t>
            </w:r>
            <w:r>
              <w:rPr>
                <w:rFonts w:hint="eastAsia" w:ascii="宋体" w:hAnsi="宋体" w:eastAsia="宋体" w:cs="宋体"/>
                <w:color w:val="000000"/>
                <w:sz w:val="18"/>
                <w:szCs w:val="18"/>
                <w:u w:val="single"/>
                <w:lang w:bidi="ar"/>
              </w:rPr>
              <w:t>（投标书承诺人员数）</w:t>
            </w:r>
            <w:r>
              <w:rPr>
                <w:rFonts w:hint="eastAsia" w:ascii="宋体" w:hAnsi="宋体" w:eastAsia="宋体" w:cs="宋体"/>
                <w:color w:val="000000"/>
                <w:sz w:val="18"/>
                <w:szCs w:val="18"/>
                <w:lang w:bidi="ar"/>
              </w:rPr>
              <w:t xml:space="preserve"> 人</w:t>
            </w:r>
            <w:r>
              <w:rPr>
                <w:rFonts w:hint="eastAsia" w:ascii="宋体" w:hAnsi="宋体" w:eastAsia="宋体" w:cs="宋体"/>
                <w:color w:val="000000"/>
                <w:kern w:val="0"/>
                <w:sz w:val="18"/>
                <w:szCs w:val="18"/>
                <w:lang w:bidi="ar"/>
              </w:rPr>
              <w:t>。乙方项目组成员变动需征得甲方同意，且在项目实施过程中，乙方项目组人员更换比例不超过</w:t>
            </w:r>
            <w:r>
              <w:rPr>
                <w:rFonts w:hint="eastAsia" w:ascii="宋体" w:hAnsi="宋体" w:eastAsia="宋体" w:cs="宋体"/>
                <w:color w:val="000000"/>
                <w:kern w:val="0"/>
                <w:sz w:val="18"/>
                <w:szCs w:val="18"/>
                <w:highlight w:val="lightGray"/>
                <w:u w:val="single"/>
                <w:lang w:bidi="ar"/>
              </w:rPr>
              <w:t xml:space="preserve">  30  %</w:t>
            </w:r>
            <w:r>
              <w:rPr>
                <w:rFonts w:hint="eastAsia" w:ascii="宋体" w:hAnsi="宋体" w:eastAsia="宋体" w:cs="宋体"/>
                <w:color w:val="000000"/>
                <w:kern w:val="0"/>
                <w:sz w:val="18"/>
                <w:szCs w:val="18"/>
                <w:lang w:bidi="ar"/>
              </w:rPr>
              <w:t>。</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季度人员更换比例=季度人员更换人次/总人数；</w:t>
            </w: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乙方未经甲方同意情况下更换项目组核心人员，或季度乙方平均更换比例超过</w:t>
            </w:r>
            <w:r>
              <w:rPr>
                <w:rFonts w:hint="eastAsia" w:ascii="宋体" w:hAnsi="宋体" w:eastAsia="宋体" w:cs="宋体"/>
                <w:color w:val="000000"/>
                <w:kern w:val="0"/>
                <w:sz w:val="18"/>
                <w:szCs w:val="18"/>
                <w:highlight w:val="lightGray"/>
                <w:u w:val="single"/>
                <w:lang w:bidi="ar"/>
              </w:rPr>
              <w:t xml:space="preserve">30 </w:t>
            </w:r>
            <w:r>
              <w:rPr>
                <w:rFonts w:hint="eastAsia" w:ascii="宋体" w:hAnsi="宋体" w:eastAsia="宋体" w:cs="宋体"/>
                <w:color w:val="000000"/>
                <w:kern w:val="0"/>
                <w:sz w:val="18"/>
                <w:szCs w:val="18"/>
                <w:highlight w:val="lightGray"/>
                <w:lang w:bidi="ar"/>
              </w:rPr>
              <w:t>%</w:t>
            </w:r>
            <w:r>
              <w:rPr>
                <w:rFonts w:hint="eastAsia" w:ascii="宋体" w:hAnsi="宋体" w:eastAsia="宋体" w:cs="宋体"/>
                <w:color w:val="000000"/>
                <w:kern w:val="0"/>
                <w:sz w:val="18"/>
                <w:szCs w:val="18"/>
                <w:lang w:bidi="ar"/>
              </w:rPr>
              <w:t>的情况下，每违规1人，扣罚合同金额</w:t>
            </w:r>
            <w:r>
              <w:rPr>
                <w:rFonts w:hint="eastAsia" w:ascii="宋体" w:hAnsi="宋体" w:eastAsia="宋体" w:cs="宋体"/>
                <w:color w:val="000000"/>
                <w:kern w:val="0"/>
                <w:sz w:val="18"/>
                <w:szCs w:val="18"/>
                <w:highlight w:val="lightGray"/>
                <w:u w:val="single"/>
                <w:lang w:bidi="ar"/>
              </w:rPr>
              <w:t>2%</w:t>
            </w:r>
            <w:r>
              <w:rPr>
                <w:rFonts w:hint="eastAsia" w:ascii="宋体" w:hAnsi="宋体" w:eastAsia="宋体" w:cs="宋体"/>
                <w:color w:val="000000"/>
                <w:kern w:val="0"/>
                <w:sz w:val="18"/>
                <w:szCs w:val="18"/>
                <w:lang w:bidi="ar"/>
              </w:rPr>
              <w:t>。</w:t>
            </w:r>
          </w:p>
        </w:tc>
      </w:tr>
      <w:tr>
        <w:tblPrEx>
          <w:tblCellMar>
            <w:top w:w="15" w:type="dxa"/>
            <w:left w:w="15" w:type="dxa"/>
            <w:bottom w:w="15" w:type="dxa"/>
            <w:right w:w="15" w:type="dxa"/>
          </w:tblCellMar>
        </w:tblPrEx>
        <w:trPr>
          <w:trHeight w:val="608" w:hRule="atLeast"/>
        </w:trPr>
        <w:tc>
          <w:tcPr>
            <w:tcW w:w="167"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color w:val="000000"/>
                <w:szCs w:val="21"/>
              </w:rPr>
            </w:pPr>
            <w:r>
              <w:rPr>
                <w:rFonts w:hint="eastAsia" w:ascii="宋体" w:hAnsi="宋体" w:eastAsia="宋体" w:cs="宋体"/>
                <w:color w:val="000000"/>
                <w:sz w:val="18"/>
                <w:szCs w:val="18"/>
              </w:rPr>
              <w:t>4</w:t>
            </w:r>
          </w:p>
        </w:tc>
        <w:tc>
          <w:tcPr>
            <w:tcW w:w="55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ascii="宋体" w:hAnsi="宋体" w:eastAsia="宋体" w:cs="宋体"/>
                <w:color w:val="000000"/>
                <w:szCs w:val="21"/>
                <w:u w:val="single"/>
                <w:shd w:val="clear" w:color="FFFFFF" w:fill="D9D9D9"/>
              </w:rPr>
            </w:pPr>
            <w:r>
              <w:rPr>
                <w:rFonts w:hint="eastAsia" w:ascii="宋体" w:hAnsi="宋体" w:eastAsia="宋体" w:cs="宋体"/>
                <w:color w:val="000000"/>
                <w:kern w:val="0"/>
                <w:sz w:val="18"/>
                <w:szCs w:val="18"/>
                <w:lang w:bidi="ar"/>
              </w:rPr>
              <w:t>人员考核情况</w:t>
            </w:r>
          </w:p>
        </w:tc>
        <w:tc>
          <w:tcPr>
            <w:tcW w:w="454"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ascii="宋体" w:hAnsi="宋体" w:eastAsia="宋体" w:cs="宋体"/>
                <w:color w:val="000000"/>
                <w:szCs w:val="21"/>
                <w:u w:val="single"/>
                <w:shd w:val="clear" w:color="FFFFFF" w:fill="D9D9D9"/>
              </w:rPr>
            </w:pPr>
            <w:r>
              <w:rPr>
                <w:rFonts w:hint="eastAsia" w:ascii="宋体" w:hAnsi="宋体" w:eastAsia="宋体" w:cs="宋体"/>
                <w:color w:val="000000"/>
                <w:kern w:val="0"/>
                <w:sz w:val="18"/>
                <w:szCs w:val="18"/>
                <w:lang w:bidi="ar"/>
              </w:rPr>
              <w:t>衡量乙方是否为甲方提供了合格的安全</w:t>
            </w:r>
            <w:r>
              <w:rPr>
                <w:rFonts w:hint="eastAsia" w:ascii="宋体" w:hAnsi="宋体" w:eastAsia="宋体" w:cs="宋体"/>
                <w:color w:val="000000"/>
                <w:kern w:val="0"/>
                <w:sz w:val="18"/>
                <w:szCs w:val="18"/>
                <w:lang w:eastAsia="zh-CN" w:bidi="ar"/>
              </w:rPr>
              <w:t>测试</w:t>
            </w:r>
            <w:r>
              <w:rPr>
                <w:rFonts w:hint="eastAsia" w:ascii="宋体" w:hAnsi="宋体" w:eastAsia="宋体" w:cs="宋体"/>
                <w:color w:val="000000"/>
                <w:kern w:val="0"/>
                <w:sz w:val="18"/>
                <w:szCs w:val="18"/>
                <w:lang w:bidi="ar"/>
              </w:rPr>
              <w:t>服务人员</w:t>
            </w: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甲方定期对乙方项目组成员进行考核，及时向乙方通报考核情况和项目组成员不合格的事实依据，并有权要求乙方进行更换，乙方须予以更换。乙方自得到甲方通知起3日内与甲方沟通，了解实际情况，共同探讨解决办法。不合格项目组成员的替换人员到岗时间由双方根据项目和服务要求共同协商确定，以确保项目持续稳定的进行。</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外包服务人员季度考核结果</w:t>
            </w: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乙方未按约定更换考核不合格成员，每发生一次，扣罚合同金额</w:t>
            </w:r>
            <w:r>
              <w:rPr>
                <w:rFonts w:hint="eastAsia" w:ascii="宋体" w:hAnsi="宋体" w:eastAsia="宋体" w:cs="宋体"/>
                <w:color w:val="000000"/>
                <w:kern w:val="0"/>
                <w:sz w:val="18"/>
                <w:szCs w:val="18"/>
                <w:highlight w:val="lightGray"/>
                <w:u w:val="single"/>
                <w:lang w:bidi="ar"/>
              </w:rPr>
              <w:t>2%</w:t>
            </w:r>
            <w:r>
              <w:rPr>
                <w:rFonts w:hint="eastAsia" w:ascii="宋体" w:hAnsi="宋体" w:eastAsia="宋体" w:cs="宋体"/>
                <w:color w:val="000000"/>
                <w:kern w:val="0"/>
                <w:sz w:val="18"/>
                <w:szCs w:val="18"/>
                <w:lang w:bidi="ar"/>
              </w:rPr>
              <w:t>。替换人员未在</w:t>
            </w:r>
            <w:r>
              <w:rPr>
                <w:rFonts w:hint="eastAsia" w:ascii="宋体" w:hAnsi="宋体" w:eastAsia="宋体" w:cs="宋体"/>
                <w:color w:val="000000"/>
                <w:kern w:val="0"/>
                <w:sz w:val="18"/>
                <w:szCs w:val="18"/>
                <w:highlight w:val="lightGray"/>
                <w:u w:val="single"/>
                <w:lang w:bidi="ar"/>
              </w:rPr>
              <w:t>5个工作日内</w:t>
            </w:r>
            <w:r>
              <w:rPr>
                <w:rFonts w:hint="eastAsia" w:ascii="宋体" w:hAnsi="宋体" w:eastAsia="宋体" w:cs="宋体"/>
                <w:color w:val="000000"/>
                <w:kern w:val="0"/>
                <w:sz w:val="18"/>
                <w:szCs w:val="18"/>
                <w:lang w:bidi="ar"/>
              </w:rPr>
              <w:t>到岗，每逾期1日，应向甲方支付合同总价款</w:t>
            </w:r>
            <w:r>
              <w:rPr>
                <w:rFonts w:hint="eastAsia" w:ascii="宋体" w:hAnsi="宋体" w:eastAsia="宋体" w:cs="宋体"/>
                <w:color w:val="000000"/>
                <w:kern w:val="0"/>
                <w:sz w:val="18"/>
                <w:szCs w:val="18"/>
                <w:highlight w:val="lightGray"/>
                <w:u w:val="single"/>
                <w:lang w:bidi="ar"/>
              </w:rPr>
              <w:t>5‰</w:t>
            </w:r>
            <w:r>
              <w:rPr>
                <w:rFonts w:hint="eastAsia" w:ascii="宋体" w:hAnsi="宋体" w:eastAsia="宋体" w:cs="宋体"/>
                <w:color w:val="000000"/>
                <w:kern w:val="0"/>
                <w:sz w:val="18"/>
                <w:szCs w:val="18"/>
                <w:lang w:bidi="ar"/>
              </w:rPr>
              <w:t>的违约金。</w:t>
            </w:r>
          </w:p>
        </w:tc>
      </w:tr>
      <w:tr>
        <w:tblPrEx>
          <w:tblCellMar>
            <w:top w:w="15" w:type="dxa"/>
            <w:left w:w="15" w:type="dxa"/>
            <w:bottom w:w="15" w:type="dxa"/>
            <w:right w:w="15" w:type="dxa"/>
          </w:tblCellMar>
        </w:tblPrEx>
        <w:trPr>
          <w:trHeight w:val="572" w:hRule="atLeast"/>
        </w:trPr>
        <w:tc>
          <w:tcPr>
            <w:tcW w:w="167"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center"/>
              <w:textAlignment w:val="center"/>
              <w:rPr>
                <w:rFonts w:ascii="宋体" w:hAnsi="宋体" w:eastAsia="宋体" w:cs="宋体"/>
                <w:color w:val="000000"/>
                <w:szCs w:val="21"/>
              </w:rPr>
            </w:pPr>
            <w:r>
              <w:rPr>
                <w:rFonts w:hint="eastAsia" w:ascii="宋体" w:hAnsi="宋体" w:eastAsia="宋体" w:cs="宋体"/>
                <w:color w:val="000000"/>
                <w:sz w:val="18"/>
                <w:szCs w:val="18"/>
              </w:rPr>
              <w:t>5</w:t>
            </w:r>
          </w:p>
        </w:tc>
        <w:tc>
          <w:tcPr>
            <w:tcW w:w="550"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制度遵循情况</w:t>
            </w:r>
          </w:p>
        </w:tc>
        <w:tc>
          <w:tcPr>
            <w:tcW w:w="454"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衡量乙方及安全</w:t>
            </w:r>
            <w:r>
              <w:rPr>
                <w:rFonts w:hint="eastAsia" w:ascii="宋体" w:hAnsi="宋体" w:eastAsia="宋体" w:cs="宋体"/>
                <w:color w:val="000000"/>
                <w:kern w:val="0"/>
                <w:sz w:val="18"/>
                <w:szCs w:val="18"/>
                <w:lang w:eastAsia="zh-CN" w:bidi="ar"/>
              </w:rPr>
              <w:t>测试</w:t>
            </w:r>
            <w:r>
              <w:rPr>
                <w:rFonts w:hint="eastAsia" w:ascii="宋体" w:hAnsi="宋体" w:eastAsia="宋体" w:cs="宋体"/>
                <w:color w:val="000000"/>
                <w:kern w:val="0"/>
                <w:sz w:val="18"/>
                <w:szCs w:val="18"/>
                <w:lang w:bidi="ar"/>
              </w:rPr>
              <w:t>服务人员是否遵守银行的各项规章制度和操作规范</w:t>
            </w: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双方合作期限内，乙方项目组成员应遵守甲方的各项管理制度，包括但不限于甲方的信息安全管理规定、网络管理规定、保密管理规定、考勤制度、着装规定等。</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违规事件及事件级别的认定以甲方外包管理部门的检查结果为准。</w:t>
            </w: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甲方每次检查，发现乙方项目组成员有不符合要求相关要求的，甲方将对违规人员进行通报批评，通报一次处罚100</w:t>
            </w:r>
            <w:r>
              <w:rPr>
                <w:rFonts w:hint="eastAsia" w:ascii="宋体" w:hAnsi="宋体" w:cs="宋体"/>
                <w:color w:val="000000"/>
                <w:kern w:val="0"/>
                <w:sz w:val="18"/>
                <w:szCs w:val="18"/>
                <w:lang w:val="en-US" w:eastAsia="zh-CN" w:bidi="ar"/>
              </w:rPr>
              <w:t>0</w:t>
            </w:r>
            <w:r>
              <w:rPr>
                <w:rFonts w:hint="eastAsia" w:ascii="宋体" w:hAnsi="宋体" w:eastAsia="宋体" w:cs="宋体"/>
                <w:color w:val="000000"/>
                <w:kern w:val="0"/>
                <w:sz w:val="18"/>
                <w:szCs w:val="18"/>
                <w:lang w:bidi="ar"/>
              </w:rPr>
              <w:t>元，从合同款中扣除。</w:t>
            </w:r>
          </w:p>
        </w:tc>
      </w:tr>
      <w:tr>
        <w:tblPrEx>
          <w:tblCellMar>
            <w:top w:w="15" w:type="dxa"/>
            <w:left w:w="15" w:type="dxa"/>
            <w:bottom w:w="15" w:type="dxa"/>
            <w:right w:w="15" w:type="dxa"/>
          </w:tblCellMar>
        </w:tblPrEx>
        <w:trPr>
          <w:trHeight w:val="440" w:hRule="atLeast"/>
        </w:trPr>
        <w:tc>
          <w:tcPr>
            <w:tcW w:w="16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rPr>
            </w:pPr>
          </w:p>
        </w:tc>
        <w:tc>
          <w:tcPr>
            <w:tcW w:w="55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454"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1271"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因项目需要，由甲方购买并提供给乙方项目组成员使用的关键器件或开发工具、重要技术资料的所有权属于甲方，在项目结束时要交还甲方。工具按照其所要求的方法正确使用和存放。</w:t>
            </w:r>
          </w:p>
        </w:tc>
        <w:tc>
          <w:tcPr>
            <w:tcW w:w="762"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对于由甲方购买并提供给乙方项目组成员使用的信息资产,若因乙方项目组成员滥用、误用或疏忽，或未在规定的操作环境中使用、存放而导致其损坏的，乙方应按照其当前市场价格赔偿甲方。</w:t>
            </w:r>
          </w:p>
        </w:tc>
      </w:tr>
      <w:tr>
        <w:tblPrEx>
          <w:tblCellMar>
            <w:top w:w="15" w:type="dxa"/>
            <w:left w:w="15" w:type="dxa"/>
            <w:bottom w:w="15" w:type="dxa"/>
            <w:right w:w="15" w:type="dxa"/>
          </w:tblCellMar>
        </w:tblPrEx>
        <w:trPr>
          <w:trHeight w:val="420" w:hRule="atLeast"/>
        </w:trPr>
        <w:tc>
          <w:tcPr>
            <w:tcW w:w="16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rPr>
            </w:pPr>
          </w:p>
        </w:tc>
        <w:tc>
          <w:tcPr>
            <w:tcW w:w="55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454"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u w:val="single"/>
                <w:shd w:val="clear" w:color="FFFFFF" w:fill="D9D9D9"/>
              </w:rPr>
            </w:pPr>
          </w:p>
        </w:tc>
        <w:tc>
          <w:tcPr>
            <w:tcW w:w="1271"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甲方鼓励乙方项目组成员对工作提出良好意见，但技术人员在工作时间内不得从事与被指派任务无关的工作。</w:t>
            </w:r>
          </w:p>
        </w:tc>
        <w:tc>
          <w:tcPr>
            <w:tcW w:w="762" w:type="pct"/>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1.若乙方项目组成员不服从工作安排，与行内人员发生冲突，如出现上述情况，甲方项目经理有权要求更换人员且乙方要予以更换，并且就每次更换乙方应赔付甲方合同总金额</w:t>
            </w:r>
            <w:r>
              <w:rPr>
                <w:rFonts w:hint="eastAsia" w:ascii="宋体" w:hAnsi="宋体" w:eastAsia="宋体" w:cs="宋体"/>
                <w:color w:val="000000"/>
                <w:kern w:val="0"/>
                <w:sz w:val="18"/>
                <w:szCs w:val="18"/>
                <w:u w:val="single"/>
                <w:lang w:bidi="ar"/>
              </w:rPr>
              <w:t>1%</w:t>
            </w:r>
            <w:r>
              <w:rPr>
                <w:rFonts w:hint="eastAsia" w:ascii="宋体" w:hAnsi="宋体" w:eastAsia="宋体" w:cs="宋体"/>
                <w:color w:val="000000"/>
                <w:kern w:val="0"/>
                <w:sz w:val="18"/>
                <w:szCs w:val="18"/>
                <w:lang w:bidi="ar"/>
              </w:rPr>
              <w:t>的违约金。</w:t>
            </w:r>
          </w:p>
        </w:tc>
      </w:tr>
      <w:tr>
        <w:tblPrEx>
          <w:tblCellMar>
            <w:top w:w="15" w:type="dxa"/>
            <w:left w:w="15" w:type="dxa"/>
            <w:bottom w:w="15" w:type="dxa"/>
            <w:right w:w="15" w:type="dxa"/>
          </w:tblCellMar>
        </w:tblPrEx>
        <w:trPr>
          <w:trHeight w:val="869" w:hRule="atLeast"/>
        </w:trPr>
        <w:tc>
          <w:tcPr>
            <w:tcW w:w="167"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ascii="宋体" w:hAnsi="宋体" w:eastAsia="宋体" w:cs="宋体"/>
                <w:color w:val="000000"/>
                <w:szCs w:val="21"/>
              </w:rPr>
            </w:pPr>
          </w:p>
        </w:tc>
        <w:tc>
          <w:tcPr>
            <w:tcW w:w="550"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454"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271"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762"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rPr>
                <w:rFonts w:hint="default" w:ascii="宋体" w:hAnsi="宋体" w:eastAsia="宋体" w:cs="宋体"/>
                <w:color w:val="000000"/>
                <w:szCs w:val="21"/>
                <w:u w:val="single"/>
                <w:shd w:val="clear" w:color="FFFFFF" w:fill="D9D9D9"/>
                <w:lang w:val="en-US" w:eastAsia="zh-CN"/>
              </w:rPr>
            </w:pPr>
          </w:p>
        </w:tc>
        <w:tc>
          <w:tcPr>
            <w:tcW w:w="1793"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pacing w:after="160" w:afterLines="50" w:line="360" w:lineRule="auto"/>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eastAsia="宋体" w:cs="宋体"/>
                <w:color w:val="000000"/>
                <w:kern w:val="0"/>
                <w:sz w:val="18"/>
                <w:szCs w:val="18"/>
                <w:lang w:bidi="ar"/>
              </w:rPr>
              <w:t>2.就乙方其他违反规章或规范的行为，甲方有权要求乙方支付合同总金额</w:t>
            </w:r>
            <w:r>
              <w:rPr>
                <w:rFonts w:hint="eastAsia" w:ascii="宋体" w:hAnsi="宋体" w:eastAsia="宋体" w:cs="宋体"/>
                <w:color w:val="000000"/>
                <w:kern w:val="0"/>
                <w:sz w:val="18"/>
                <w:szCs w:val="18"/>
                <w:highlight w:val="lightGray"/>
                <w:u w:val="single"/>
                <w:lang w:bidi="ar"/>
              </w:rPr>
              <w:t>1%</w:t>
            </w:r>
            <w:r>
              <w:rPr>
                <w:rFonts w:hint="eastAsia" w:ascii="宋体" w:hAnsi="宋体" w:eastAsia="宋体" w:cs="宋体"/>
                <w:color w:val="000000"/>
                <w:kern w:val="0"/>
                <w:sz w:val="18"/>
                <w:szCs w:val="18"/>
                <w:lang w:bidi="ar"/>
              </w:rPr>
              <w:t>的违约金。</w:t>
            </w:r>
          </w:p>
        </w:tc>
      </w:tr>
    </w:tbl>
    <w:p>
      <w:pPr>
        <w:pStyle w:val="2"/>
        <w:keepNext w:val="0"/>
        <w:keepLines w:val="0"/>
        <w:pageBreakBefore w:val="0"/>
        <w:kinsoku/>
        <w:wordWrap/>
        <w:overflowPunct/>
        <w:topLinePunct w:val="0"/>
        <w:autoSpaceDE/>
        <w:autoSpaceDN/>
        <w:bidi w:val="0"/>
        <w:adjustRightInd/>
        <w:spacing w:beforeLines="0" w:after="160" w:afterLines="50" w:line="360" w:lineRule="auto"/>
        <w:jc w:val="both"/>
        <w:rPr>
          <w:rFonts w:hint="eastAsia" w:ascii="宋体" w:hAnsi="宋体" w:eastAsia="宋体" w:cs="宋体"/>
          <w:b/>
          <w:szCs w:val="21"/>
          <w:lang w:eastAsia="zh-CN"/>
        </w:rPr>
      </w:pPr>
    </w:p>
    <w:sectPr>
      <w:footerReference r:id="rId5" w:type="default"/>
      <w:pgSz w:w="16838" w:h="11906" w:orient="landscape"/>
      <w:pgMar w:top="1083" w:right="1440" w:bottom="1083" w:left="1440" w:header="850" w:footer="992" w:gutter="0"/>
      <w:pgNumType w:fmt="decimal"/>
      <w:cols w:space="72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简仿宋">
    <w:altName w:val="宋体"/>
    <w:panose1 w:val="00000000000000000000"/>
    <w:charset w:val="86"/>
    <w:family w:val="auto"/>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16"/>
                            <w:rPr>
                              <w:rFonts w:hint="eastAsia" w:ascii="宋体" w:hAnsi="宋体" w:eastAsia="宋体" w:cs="宋体"/>
                              <w:lang w:eastAsia="zh-CN"/>
                            </w:rPr>
                          </w:pPr>
                          <w:r>
                            <w:rPr>
                              <w:rFonts w:hint="eastAsia" w:ascii="宋体" w:hAnsi="宋体" w:eastAsia="宋体" w:cs="宋体"/>
                              <w:lang w:eastAsia="zh-CN"/>
                            </w:rPr>
                            <w:t xml:space="preserve">第 </w:t>
                          </w:r>
                          <w:r>
                            <w:rPr>
                              <w:rFonts w:hint="eastAsia" w:ascii="宋体" w:hAnsi="宋体" w:eastAsia="宋体" w:cs="宋体"/>
                              <w:lang w:eastAsia="zh-CN"/>
                            </w:rPr>
                            <w:fldChar w:fldCharType="begin"/>
                          </w:r>
                          <w:r>
                            <w:rPr>
                              <w:rFonts w:hint="eastAsia" w:ascii="宋体" w:hAnsi="宋体" w:eastAsia="宋体" w:cs="宋体"/>
                              <w:lang w:eastAsia="zh-CN"/>
                            </w:rPr>
                            <w:instrText xml:space="preserve"> PAGE  \* MERGEFORMAT </w:instrText>
                          </w:r>
                          <w:r>
                            <w:rPr>
                              <w:rFonts w:hint="eastAsia" w:ascii="宋体" w:hAnsi="宋体" w:eastAsia="宋体" w:cs="宋体"/>
                              <w:lang w:eastAsia="zh-CN"/>
                            </w:rPr>
                            <w:fldChar w:fldCharType="separate"/>
                          </w:r>
                          <w:r>
                            <w:rPr>
                              <w:rFonts w:hint="eastAsia" w:ascii="宋体" w:hAnsi="宋体" w:eastAsia="宋体" w:cs="宋体"/>
                              <w:lang w:eastAsia="zh-CN"/>
                            </w:rPr>
                            <w:t>1</w:t>
                          </w:r>
                          <w:r>
                            <w:rPr>
                              <w:rFonts w:hint="eastAsia" w:ascii="宋体" w:hAnsi="宋体" w:eastAsia="宋体" w:cs="宋体"/>
                              <w:lang w:eastAsia="zh-CN"/>
                            </w:rPr>
                            <w:fldChar w:fldCharType="end"/>
                          </w:r>
                          <w:r>
                            <w:rPr>
                              <w:rFonts w:hint="eastAsia" w:ascii="宋体" w:hAnsi="宋体" w:eastAsia="宋体" w:cs="宋体"/>
                              <w:lang w:eastAsia="zh-CN"/>
                            </w:rPr>
                            <w:t xml:space="preserve"> 页</w:t>
                          </w:r>
                        </w:p>
                      </w:txbxContent>
                    </wps:txbx>
                    <wps:bodyPr vert="horz" wrap="none" lIns="0" tIns="0" rIns="0" bIns="0" anchor="t"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9htkrmAQAAxwMA&#10;AA4AAAAAAAAAAQAgAAAAHgEAAGRycy9lMm9Eb2MueG1sUEsFBgAAAAAGAAYAWQEAAHYFAAAAAA==&#10;">
              <v:fill on="f" focussize="0,0"/>
              <v:stroke on="f"/>
              <v:imagedata o:title=""/>
              <o:lock v:ext="edit" aspectratio="f"/>
              <v:textbox inset="0mm,0mm,0mm,0mm" style="mso-fit-shape-to-text:t;">
                <w:txbxContent>
                  <w:p>
                    <w:pPr>
                      <w:pStyle w:val="16"/>
                      <w:rPr>
                        <w:rFonts w:hint="eastAsia" w:ascii="宋体" w:hAnsi="宋体" w:eastAsia="宋体" w:cs="宋体"/>
                        <w:lang w:eastAsia="zh-CN"/>
                      </w:rPr>
                    </w:pPr>
                    <w:r>
                      <w:rPr>
                        <w:rFonts w:hint="eastAsia" w:ascii="宋体" w:hAnsi="宋体" w:eastAsia="宋体" w:cs="宋体"/>
                        <w:lang w:eastAsia="zh-CN"/>
                      </w:rPr>
                      <w:t xml:space="preserve">第 </w:t>
                    </w:r>
                    <w:r>
                      <w:rPr>
                        <w:rFonts w:hint="eastAsia" w:ascii="宋体" w:hAnsi="宋体" w:eastAsia="宋体" w:cs="宋体"/>
                        <w:lang w:eastAsia="zh-CN"/>
                      </w:rPr>
                      <w:fldChar w:fldCharType="begin"/>
                    </w:r>
                    <w:r>
                      <w:rPr>
                        <w:rFonts w:hint="eastAsia" w:ascii="宋体" w:hAnsi="宋体" w:eastAsia="宋体" w:cs="宋体"/>
                        <w:lang w:eastAsia="zh-CN"/>
                      </w:rPr>
                      <w:instrText xml:space="preserve"> PAGE  \* MERGEFORMAT </w:instrText>
                    </w:r>
                    <w:r>
                      <w:rPr>
                        <w:rFonts w:hint="eastAsia" w:ascii="宋体" w:hAnsi="宋体" w:eastAsia="宋体" w:cs="宋体"/>
                        <w:lang w:eastAsia="zh-CN"/>
                      </w:rPr>
                      <w:fldChar w:fldCharType="separate"/>
                    </w:r>
                    <w:r>
                      <w:rPr>
                        <w:rFonts w:hint="eastAsia" w:ascii="宋体" w:hAnsi="宋体" w:eastAsia="宋体" w:cs="宋体"/>
                        <w:lang w:eastAsia="zh-CN"/>
                      </w:rPr>
                      <w:t>1</w:t>
                    </w:r>
                    <w:r>
                      <w:rPr>
                        <w:rFonts w:hint="eastAsia" w:ascii="宋体" w:hAnsi="宋体" w:eastAsia="宋体" w:cs="宋体"/>
                        <w:lang w:eastAsia="zh-CN"/>
                      </w:rPr>
                      <w:fldChar w:fldCharType="end"/>
                    </w:r>
                    <w:r>
                      <w:rPr>
                        <w:rFonts w:hint="eastAsia" w:ascii="宋体" w:hAnsi="宋体" w:eastAsia="宋体" w:cs="宋体"/>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t xml:space="preserve"> 页</w:t>
                          </w:r>
                        </w:p>
                      </w:txbxContent>
                    </wps:txbx>
                    <wps:bodyPr vert="horz" wrap="none" lIns="0" tIns="0" rIns="0" bIns="0" anchor="t" upright="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OqXm5zwAAAAUBAAAPAAAAAAAAAAEAIAAA&#10;ACIAAABkcnMvZG93bnJldi54bWxQSwECFAAUAAAACACHTuJAuNbN49wBAAC+AwAADgAAAAAAAAAB&#10;ACAAAAAeAQAAZHJzL2Uyb0RvYy54bWxQSwUGAAAAAAYABgBZAQAAbAUAAAAA&#10;">
              <v:fill on="f" focussize="0,0"/>
              <v:stroke on="f"/>
              <v:imagedata o:title=""/>
              <o:lock v:ext="edit" aspectratio="f"/>
              <v:textbox inset="0mm,0mm,0mm,0mm" style="mso-fit-shape-to-text:t;">
                <w:txbxContent>
                  <w:p>
                    <w:pPr>
                      <w:pStyle w:val="1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rPr>
        <w:rFonts w:hint="eastAsia" w:ascii="宋体" w:hAnsi="宋体" w:eastAsia="宋体" w:cs="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D6C67"/>
    <w:multiLevelType w:val="multilevel"/>
    <w:tmpl w:val="0C5D6C67"/>
    <w:lvl w:ilvl="0" w:tentative="0">
      <w:start w:val="1"/>
      <w:numFmt w:val="japaneseCounting"/>
      <w:lvlText w:val="第%1条"/>
      <w:lvlJc w:val="left"/>
      <w:pPr>
        <w:ind w:left="840" w:hanging="840"/>
      </w:pPr>
      <w:rPr>
        <w:rFonts w:hint="default"/>
      </w:rPr>
    </w:lvl>
    <w:lvl w:ilvl="1" w:tentative="0">
      <w:start w:val="1"/>
      <w:numFmt w:val="lowerLetter"/>
      <w:pStyle w:val="26"/>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6B1B5D3"/>
    <w:multiLevelType w:val="singleLevel"/>
    <w:tmpl w:val="56B1B5D3"/>
    <w:lvl w:ilvl="0" w:tentative="0">
      <w:start w:val="1"/>
      <w:numFmt w:val="chineseCounting"/>
      <w:suff w:val="nothing"/>
      <w:lvlText w:val="%1、"/>
      <w:lvlJc w:val="left"/>
    </w:lvl>
  </w:abstractNum>
  <w:abstractNum w:abstractNumId="2">
    <w:nsid w:val="56B2C5B7"/>
    <w:multiLevelType w:val="singleLevel"/>
    <w:tmpl w:val="56B2C5B7"/>
    <w:lvl w:ilvl="0" w:tentative="0">
      <w:start w:val="1"/>
      <w:numFmt w:val="decimal"/>
      <w:suff w:val="nothing"/>
      <w:lvlText w:val="%1．"/>
      <w:lvlJc w:val="left"/>
      <w:pPr>
        <w:ind w:left="0" w:firstLine="403"/>
      </w:pPr>
      <w:rPr>
        <w:rFonts w:hint="default"/>
      </w:rPr>
    </w:lvl>
  </w:abstractNum>
  <w:abstractNum w:abstractNumId="3">
    <w:nsid w:val="5BAF30C9"/>
    <w:multiLevelType w:val="singleLevel"/>
    <w:tmpl w:val="5BAF30C9"/>
    <w:lvl w:ilvl="0" w:tentative="0">
      <w:start w:val="1"/>
      <w:numFmt w:val="chineseCounting"/>
      <w:suff w:val="nothing"/>
      <w:lvlText w:val="（%1）"/>
      <w:lvlJc w:val="left"/>
    </w:lvl>
  </w:abstractNum>
  <w:abstractNum w:abstractNumId="4">
    <w:nsid w:val="621B003B"/>
    <w:multiLevelType w:val="multilevel"/>
    <w:tmpl w:val="621B003B"/>
    <w:lvl w:ilvl="0" w:tentative="0">
      <w:start w:val="1"/>
      <w:numFmt w:val="japaneseCounting"/>
      <w:pStyle w:val="25"/>
      <w:suff w:val="space"/>
      <w:lvlText w:val="第%1条"/>
      <w:lvlJc w:val="left"/>
      <w:pPr>
        <w:ind w:left="0" w:firstLine="0"/>
      </w:pPr>
      <w:rPr>
        <w:rFonts w:ascii="华文仿宋" w:hAnsi="华文仿宋" w:eastAsia="华文仿宋" w:cs="Times New Roman"/>
        <w:b/>
        <w:i w:val="0"/>
        <w:sz w:val="24"/>
      </w:rPr>
    </w:lvl>
    <w:lvl w:ilvl="1" w:tentative="0">
      <w:start w:val="1"/>
      <w:numFmt w:val="decimal"/>
      <w:pStyle w:val="5"/>
      <w:suff w:val="space"/>
      <w:lvlText w:val="%2"/>
      <w:lvlJc w:val="left"/>
      <w:pPr>
        <w:ind w:left="0" w:firstLine="0"/>
      </w:pPr>
      <w:rPr>
        <w:rFonts w:hint="eastAsia"/>
      </w:rPr>
    </w:lvl>
    <w:lvl w:ilvl="2" w:tentative="0">
      <w:start w:val="1"/>
      <w:numFmt w:val="none"/>
      <w:pStyle w:val="6"/>
      <w:suff w:val="nothing"/>
      <w:lvlText w:val=""/>
      <w:lvlJc w:val="left"/>
      <w:pPr>
        <w:ind w:left="0" w:firstLine="0"/>
      </w:pPr>
      <w:rPr>
        <w:rFonts w:hint="eastAsia"/>
      </w:rPr>
    </w:lvl>
    <w:lvl w:ilvl="3" w:tentative="0">
      <w:start w:val="1"/>
      <w:numFmt w:val="none"/>
      <w:pStyle w:val="7"/>
      <w:suff w:val="nothing"/>
      <w:lvlText w:val=""/>
      <w:lvlJc w:val="left"/>
      <w:pPr>
        <w:ind w:left="0" w:firstLine="0"/>
      </w:pPr>
      <w:rPr>
        <w:rFonts w:hint="eastAsia"/>
      </w:rPr>
    </w:lvl>
    <w:lvl w:ilvl="4" w:tentative="0">
      <w:start w:val="1"/>
      <w:numFmt w:val="none"/>
      <w:pStyle w:val="8"/>
      <w:suff w:val="nothing"/>
      <w:lvlText w:val=""/>
      <w:lvlJc w:val="left"/>
      <w:pPr>
        <w:ind w:left="0" w:firstLine="0"/>
      </w:pPr>
      <w:rPr>
        <w:rFonts w:hint="eastAsia"/>
      </w:rPr>
    </w:lvl>
    <w:lvl w:ilvl="5" w:tentative="0">
      <w:start w:val="1"/>
      <w:numFmt w:val="none"/>
      <w:pStyle w:val="9"/>
      <w:suff w:val="nothing"/>
      <w:lvlText w:val=""/>
      <w:lvlJc w:val="left"/>
      <w:pPr>
        <w:ind w:left="0" w:firstLine="0"/>
      </w:pPr>
      <w:rPr>
        <w:rFonts w:hint="eastAsia"/>
      </w:rPr>
    </w:lvl>
    <w:lvl w:ilvl="6" w:tentative="0">
      <w:start w:val="1"/>
      <w:numFmt w:val="none"/>
      <w:pStyle w:val="10"/>
      <w:suff w:val="nothing"/>
      <w:lvlText w:val=""/>
      <w:lvlJc w:val="left"/>
      <w:pPr>
        <w:ind w:left="0" w:firstLine="0"/>
      </w:pPr>
      <w:rPr>
        <w:rFonts w:hint="eastAsia"/>
      </w:rPr>
    </w:lvl>
    <w:lvl w:ilvl="7" w:tentative="0">
      <w:start w:val="1"/>
      <w:numFmt w:val="none"/>
      <w:pStyle w:val="11"/>
      <w:suff w:val="nothing"/>
      <w:lvlText w:val=""/>
      <w:lvlJc w:val="left"/>
      <w:pPr>
        <w:ind w:left="0" w:firstLine="0"/>
      </w:pPr>
      <w:rPr>
        <w:rFonts w:hint="eastAsia"/>
      </w:rPr>
    </w:lvl>
    <w:lvl w:ilvl="8" w:tentative="0">
      <w:start w:val="1"/>
      <w:numFmt w:val="none"/>
      <w:pStyle w:val="12"/>
      <w:suff w:val="nothing"/>
      <w:lvlText w:val=""/>
      <w:lvlJc w:val="left"/>
      <w:pPr>
        <w:ind w:left="0" w:firstLine="0"/>
      </w:pPr>
      <w:rPr>
        <w:rFonts w:hint="eastAsia"/>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FEC"/>
    <w:rsid w:val="000902B7"/>
    <w:rsid w:val="000A2C83"/>
    <w:rsid w:val="000B206B"/>
    <w:rsid w:val="000E0D70"/>
    <w:rsid w:val="000F14CB"/>
    <w:rsid w:val="001309DA"/>
    <w:rsid w:val="00170B0A"/>
    <w:rsid w:val="001A7FEC"/>
    <w:rsid w:val="001C3842"/>
    <w:rsid w:val="00203016"/>
    <w:rsid w:val="0025263E"/>
    <w:rsid w:val="00305F5B"/>
    <w:rsid w:val="0031094A"/>
    <w:rsid w:val="00365A1A"/>
    <w:rsid w:val="003E428D"/>
    <w:rsid w:val="003F3B8A"/>
    <w:rsid w:val="004B30BD"/>
    <w:rsid w:val="004E4074"/>
    <w:rsid w:val="004E414E"/>
    <w:rsid w:val="004F1179"/>
    <w:rsid w:val="005032ED"/>
    <w:rsid w:val="0056039A"/>
    <w:rsid w:val="005D5802"/>
    <w:rsid w:val="00604755"/>
    <w:rsid w:val="00637ABD"/>
    <w:rsid w:val="006C3AC8"/>
    <w:rsid w:val="006F03BC"/>
    <w:rsid w:val="006F1D8F"/>
    <w:rsid w:val="0073133E"/>
    <w:rsid w:val="00754B4E"/>
    <w:rsid w:val="007A1AE9"/>
    <w:rsid w:val="00855B9C"/>
    <w:rsid w:val="008B46AE"/>
    <w:rsid w:val="008F0D2F"/>
    <w:rsid w:val="008F37D0"/>
    <w:rsid w:val="00913A46"/>
    <w:rsid w:val="0092667C"/>
    <w:rsid w:val="00934AE8"/>
    <w:rsid w:val="00995329"/>
    <w:rsid w:val="00A33D23"/>
    <w:rsid w:val="00A84E9B"/>
    <w:rsid w:val="00A852A8"/>
    <w:rsid w:val="00A85F79"/>
    <w:rsid w:val="00A86505"/>
    <w:rsid w:val="00AB3CCA"/>
    <w:rsid w:val="00AE3447"/>
    <w:rsid w:val="00AE66F1"/>
    <w:rsid w:val="00AF2E1D"/>
    <w:rsid w:val="00B27014"/>
    <w:rsid w:val="00B4262D"/>
    <w:rsid w:val="00B720B8"/>
    <w:rsid w:val="00C43986"/>
    <w:rsid w:val="00C628E9"/>
    <w:rsid w:val="00C64A94"/>
    <w:rsid w:val="00C66C88"/>
    <w:rsid w:val="00C84410"/>
    <w:rsid w:val="00D01AED"/>
    <w:rsid w:val="00D12FA8"/>
    <w:rsid w:val="00D26FDC"/>
    <w:rsid w:val="00D403CE"/>
    <w:rsid w:val="00D40534"/>
    <w:rsid w:val="00D74B35"/>
    <w:rsid w:val="00DD44C7"/>
    <w:rsid w:val="00E127FF"/>
    <w:rsid w:val="00E26559"/>
    <w:rsid w:val="00F019D0"/>
    <w:rsid w:val="00F024A2"/>
    <w:rsid w:val="00F47E36"/>
    <w:rsid w:val="00FA72AE"/>
    <w:rsid w:val="00FC3787"/>
    <w:rsid w:val="02EB777A"/>
    <w:rsid w:val="050D729A"/>
    <w:rsid w:val="05255AA8"/>
    <w:rsid w:val="080C0538"/>
    <w:rsid w:val="08595CEC"/>
    <w:rsid w:val="09272BDD"/>
    <w:rsid w:val="09B6397C"/>
    <w:rsid w:val="0A32790A"/>
    <w:rsid w:val="0AE600FB"/>
    <w:rsid w:val="0BD92C23"/>
    <w:rsid w:val="0D377625"/>
    <w:rsid w:val="0DDB1A29"/>
    <w:rsid w:val="0DDF4BAC"/>
    <w:rsid w:val="0E7A5B5C"/>
    <w:rsid w:val="0EEC1B82"/>
    <w:rsid w:val="14C84398"/>
    <w:rsid w:val="15C139B7"/>
    <w:rsid w:val="16DF2243"/>
    <w:rsid w:val="18427BFA"/>
    <w:rsid w:val="19C7635B"/>
    <w:rsid w:val="19E322D1"/>
    <w:rsid w:val="1D155580"/>
    <w:rsid w:val="1F645F16"/>
    <w:rsid w:val="1FF908A3"/>
    <w:rsid w:val="23E26EBA"/>
    <w:rsid w:val="248B1E9D"/>
    <w:rsid w:val="2523427A"/>
    <w:rsid w:val="26D94B49"/>
    <w:rsid w:val="29296A49"/>
    <w:rsid w:val="2C0633E3"/>
    <w:rsid w:val="2F2620EC"/>
    <w:rsid w:val="2FBF0F26"/>
    <w:rsid w:val="303A2600"/>
    <w:rsid w:val="31F44502"/>
    <w:rsid w:val="321972DE"/>
    <w:rsid w:val="337740B0"/>
    <w:rsid w:val="352246B9"/>
    <w:rsid w:val="358728C1"/>
    <w:rsid w:val="3A1B1D09"/>
    <w:rsid w:val="3BC617EA"/>
    <w:rsid w:val="3E30265D"/>
    <w:rsid w:val="3FC16E54"/>
    <w:rsid w:val="3FFB3A62"/>
    <w:rsid w:val="4097655D"/>
    <w:rsid w:val="41F20B30"/>
    <w:rsid w:val="421E213D"/>
    <w:rsid w:val="4297464D"/>
    <w:rsid w:val="434578DE"/>
    <w:rsid w:val="43911A4D"/>
    <w:rsid w:val="43A80B57"/>
    <w:rsid w:val="44673154"/>
    <w:rsid w:val="4571782D"/>
    <w:rsid w:val="45905DE1"/>
    <w:rsid w:val="45920EC8"/>
    <w:rsid w:val="4746493E"/>
    <w:rsid w:val="4A1476C2"/>
    <w:rsid w:val="4A7422E7"/>
    <w:rsid w:val="4DD94C21"/>
    <w:rsid w:val="4E007504"/>
    <w:rsid w:val="4E085512"/>
    <w:rsid w:val="503F27E2"/>
    <w:rsid w:val="507255DF"/>
    <w:rsid w:val="512A643A"/>
    <w:rsid w:val="520B290F"/>
    <w:rsid w:val="528D7D97"/>
    <w:rsid w:val="539F4107"/>
    <w:rsid w:val="53B55525"/>
    <w:rsid w:val="53CF2C99"/>
    <w:rsid w:val="54735B83"/>
    <w:rsid w:val="55F16F56"/>
    <w:rsid w:val="5698703E"/>
    <w:rsid w:val="56D40097"/>
    <w:rsid w:val="589122CC"/>
    <w:rsid w:val="5A4E5355"/>
    <w:rsid w:val="5BAF7160"/>
    <w:rsid w:val="5CD63B8E"/>
    <w:rsid w:val="5D09633F"/>
    <w:rsid w:val="5E3E198C"/>
    <w:rsid w:val="5F434144"/>
    <w:rsid w:val="6191488D"/>
    <w:rsid w:val="62585422"/>
    <w:rsid w:val="62E60D41"/>
    <w:rsid w:val="650452D5"/>
    <w:rsid w:val="656E1221"/>
    <w:rsid w:val="69073E8F"/>
    <w:rsid w:val="6AA31A4A"/>
    <w:rsid w:val="6BF24ECC"/>
    <w:rsid w:val="6C180B8A"/>
    <w:rsid w:val="705953B9"/>
    <w:rsid w:val="71F04327"/>
    <w:rsid w:val="7340183B"/>
    <w:rsid w:val="73B92CB4"/>
    <w:rsid w:val="744A7FA9"/>
    <w:rsid w:val="76F13556"/>
    <w:rsid w:val="780213CA"/>
    <w:rsid w:val="780332E8"/>
    <w:rsid w:val="78563879"/>
    <w:rsid w:val="78D92F7D"/>
    <w:rsid w:val="79997B3E"/>
    <w:rsid w:val="79A53818"/>
    <w:rsid w:val="7E2B4D78"/>
    <w:rsid w:val="7FCE626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4">
    <w:name w:val="heading 1"/>
    <w:basedOn w:val="1"/>
    <w:next w:val="1"/>
    <w:qFormat/>
    <w:uiPriority w:val="9"/>
    <w:pPr>
      <w:keepNext/>
      <w:keepLines/>
      <w:spacing w:before="340" w:after="330" w:line="578" w:lineRule="auto"/>
      <w:outlineLvl w:val="0"/>
    </w:pPr>
    <w:rPr>
      <w:b/>
      <w:bCs/>
      <w:kern w:val="44"/>
      <w:sz w:val="44"/>
      <w:szCs w:val="44"/>
    </w:rPr>
  </w:style>
  <w:style w:type="paragraph" w:styleId="5">
    <w:name w:val="heading 2"/>
    <w:basedOn w:val="1"/>
    <w:next w:val="1"/>
    <w:link w:val="32"/>
    <w:qFormat/>
    <w:uiPriority w:val="0"/>
    <w:pPr>
      <w:keepNext/>
      <w:keepLines/>
      <w:numPr>
        <w:ilvl w:val="1"/>
        <w:numId w:val="1"/>
      </w:numPr>
      <w:spacing w:before="260" w:after="260" w:line="416" w:lineRule="atLeast"/>
      <w:outlineLvl w:val="1"/>
    </w:pPr>
    <w:rPr>
      <w:rFonts w:ascii="Arial" w:hAnsi="Arial" w:eastAsia="黑体" w:cs="Times New Roman"/>
      <w:b/>
      <w:sz w:val="32"/>
      <w:szCs w:val="20"/>
    </w:rPr>
  </w:style>
  <w:style w:type="paragraph" w:styleId="6">
    <w:name w:val="heading 3"/>
    <w:basedOn w:val="1"/>
    <w:next w:val="1"/>
    <w:link w:val="37"/>
    <w:qFormat/>
    <w:uiPriority w:val="0"/>
    <w:pPr>
      <w:keepNext/>
      <w:keepLines/>
      <w:numPr>
        <w:ilvl w:val="2"/>
        <w:numId w:val="1"/>
      </w:numPr>
      <w:spacing w:before="260" w:after="260" w:line="416" w:lineRule="atLeast"/>
      <w:outlineLvl w:val="2"/>
    </w:pPr>
    <w:rPr>
      <w:rFonts w:ascii="Times New Roman" w:hAnsi="Times New Roman" w:eastAsia="宋体" w:cs="Times New Roman"/>
      <w:b/>
      <w:sz w:val="32"/>
      <w:szCs w:val="20"/>
    </w:rPr>
  </w:style>
  <w:style w:type="paragraph" w:styleId="7">
    <w:name w:val="heading 4"/>
    <w:basedOn w:val="1"/>
    <w:next w:val="3"/>
    <w:link w:val="39"/>
    <w:qFormat/>
    <w:uiPriority w:val="0"/>
    <w:pPr>
      <w:keepNext/>
      <w:keepLines/>
      <w:numPr>
        <w:ilvl w:val="3"/>
        <w:numId w:val="1"/>
      </w:numPr>
      <w:spacing w:before="280" w:after="290" w:line="376" w:lineRule="atLeast"/>
      <w:outlineLvl w:val="3"/>
    </w:pPr>
    <w:rPr>
      <w:rFonts w:ascii="Arial" w:hAnsi="Arial" w:eastAsia="黑体" w:cs="Times New Roman"/>
      <w:b/>
      <w:sz w:val="28"/>
      <w:szCs w:val="20"/>
    </w:rPr>
  </w:style>
  <w:style w:type="paragraph" w:styleId="8">
    <w:name w:val="heading 5"/>
    <w:basedOn w:val="1"/>
    <w:next w:val="3"/>
    <w:link w:val="35"/>
    <w:qFormat/>
    <w:uiPriority w:val="0"/>
    <w:pPr>
      <w:keepNext/>
      <w:keepLines/>
      <w:numPr>
        <w:ilvl w:val="4"/>
        <w:numId w:val="1"/>
      </w:numPr>
      <w:spacing w:before="280" w:after="290" w:line="376" w:lineRule="atLeast"/>
      <w:outlineLvl w:val="4"/>
    </w:pPr>
    <w:rPr>
      <w:rFonts w:ascii="Times New Roman" w:hAnsi="Times New Roman" w:eastAsia="宋体" w:cs="Times New Roman"/>
      <w:b/>
      <w:sz w:val="28"/>
      <w:szCs w:val="20"/>
    </w:rPr>
  </w:style>
  <w:style w:type="paragraph" w:styleId="9">
    <w:name w:val="heading 6"/>
    <w:basedOn w:val="1"/>
    <w:next w:val="3"/>
    <w:link w:val="31"/>
    <w:qFormat/>
    <w:uiPriority w:val="0"/>
    <w:pPr>
      <w:keepNext/>
      <w:keepLines/>
      <w:numPr>
        <w:ilvl w:val="5"/>
        <w:numId w:val="1"/>
      </w:numPr>
      <w:spacing w:before="240" w:after="64" w:line="320" w:lineRule="atLeast"/>
      <w:outlineLvl w:val="5"/>
    </w:pPr>
    <w:rPr>
      <w:rFonts w:ascii="Arial" w:hAnsi="Arial" w:eastAsia="黑体" w:cs="Times New Roman"/>
      <w:b/>
      <w:sz w:val="24"/>
      <w:szCs w:val="20"/>
    </w:rPr>
  </w:style>
  <w:style w:type="paragraph" w:styleId="10">
    <w:name w:val="heading 7"/>
    <w:basedOn w:val="1"/>
    <w:next w:val="3"/>
    <w:link w:val="38"/>
    <w:qFormat/>
    <w:uiPriority w:val="0"/>
    <w:pPr>
      <w:keepNext/>
      <w:keepLines/>
      <w:numPr>
        <w:ilvl w:val="6"/>
        <w:numId w:val="1"/>
      </w:numPr>
      <w:spacing w:before="240" w:after="64" w:line="320" w:lineRule="atLeast"/>
      <w:outlineLvl w:val="6"/>
    </w:pPr>
    <w:rPr>
      <w:rFonts w:ascii="Times New Roman" w:hAnsi="Times New Roman" w:eastAsia="宋体" w:cs="Times New Roman"/>
      <w:b/>
      <w:sz w:val="24"/>
      <w:szCs w:val="20"/>
    </w:rPr>
  </w:style>
  <w:style w:type="paragraph" w:styleId="11">
    <w:name w:val="heading 8"/>
    <w:basedOn w:val="1"/>
    <w:next w:val="3"/>
    <w:link w:val="30"/>
    <w:qFormat/>
    <w:uiPriority w:val="0"/>
    <w:pPr>
      <w:keepNext/>
      <w:keepLines/>
      <w:numPr>
        <w:ilvl w:val="7"/>
        <w:numId w:val="1"/>
      </w:numPr>
      <w:spacing w:before="240" w:after="64" w:line="320" w:lineRule="atLeast"/>
      <w:outlineLvl w:val="7"/>
    </w:pPr>
    <w:rPr>
      <w:rFonts w:ascii="Arial" w:hAnsi="Arial" w:eastAsia="黑体" w:cs="Times New Roman"/>
      <w:sz w:val="24"/>
      <w:szCs w:val="20"/>
    </w:rPr>
  </w:style>
  <w:style w:type="paragraph" w:styleId="12">
    <w:name w:val="heading 9"/>
    <w:basedOn w:val="1"/>
    <w:next w:val="3"/>
    <w:link w:val="40"/>
    <w:qFormat/>
    <w:uiPriority w:val="0"/>
    <w:pPr>
      <w:keepNext/>
      <w:keepLines/>
      <w:numPr>
        <w:ilvl w:val="8"/>
        <w:numId w:val="1"/>
      </w:numPr>
      <w:spacing w:before="240" w:after="64" w:line="320" w:lineRule="atLeast"/>
      <w:outlineLvl w:val="8"/>
    </w:pPr>
    <w:rPr>
      <w:rFonts w:ascii="Arial" w:hAnsi="Arial" w:eastAsia="黑体" w:cs="Times New Roman"/>
      <w:szCs w:val="20"/>
    </w:rPr>
  </w:style>
  <w:style w:type="character" w:default="1" w:styleId="22">
    <w:name w:val="Default Paragraph Font"/>
    <w:unhideWhenUsed/>
    <w:qFormat/>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customStyle="1" w:styleId="2">
    <w:name w:val="样式 正文缩进 + 首行缩进:  2.56 字符 段前: 0.6 行 段后: 0.6 行"/>
    <w:basedOn w:val="3"/>
    <w:qFormat/>
    <w:uiPriority w:val="0"/>
    <w:pPr>
      <w:spacing w:beforeLines="60" w:afterLines="60"/>
      <w:ind w:firstLine="0" w:firstLineChars="0"/>
    </w:pPr>
    <w:rPr>
      <w:rFonts w:ascii="微软简仿宋" w:hAnsi="宋体" w:eastAsia="宋体" w:cs="宋体"/>
      <w:snapToGrid w:val="0"/>
      <w:szCs w:val="24"/>
      <w:lang w:val="zh-CN"/>
    </w:rPr>
  </w:style>
  <w:style w:type="paragraph" w:styleId="3">
    <w:name w:val="Normal Indent"/>
    <w:basedOn w:val="1"/>
    <w:unhideWhenUsed/>
    <w:qFormat/>
    <w:uiPriority w:val="99"/>
    <w:pPr>
      <w:ind w:firstLine="420" w:firstLineChars="200"/>
    </w:pPr>
  </w:style>
  <w:style w:type="paragraph" w:styleId="13">
    <w:name w:val="annotation text"/>
    <w:basedOn w:val="1"/>
    <w:link w:val="29"/>
    <w:unhideWhenUsed/>
    <w:qFormat/>
    <w:uiPriority w:val="99"/>
    <w:pPr>
      <w:adjustRightInd w:val="0"/>
      <w:spacing w:line="312" w:lineRule="atLeast"/>
      <w:jc w:val="left"/>
      <w:textAlignment w:val="baseline"/>
    </w:pPr>
    <w:rPr>
      <w:rFonts w:ascii="Times New Roman" w:hAnsi="Times New Roman" w:eastAsia="宋体" w:cs="Times New Roman"/>
      <w:kern w:val="0"/>
      <w:szCs w:val="20"/>
    </w:rPr>
  </w:style>
  <w:style w:type="paragraph" w:styleId="14">
    <w:name w:val="Body Text Indent"/>
    <w:basedOn w:val="1"/>
    <w:qFormat/>
    <w:uiPriority w:val="0"/>
    <w:pPr>
      <w:spacing w:after="120"/>
      <w:ind w:left="420" w:leftChars="200"/>
    </w:pPr>
    <w:rPr>
      <w:rFonts w:ascii="Calibri" w:hAnsi="Calibri" w:eastAsia="宋体"/>
      <w:szCs w:val="24"/>
    </w:rPr>
  </w:style>
  <w:style w:type="paragraph" w:styleId="15">
    <w:name w:val="Balloon Text"/>
    <w:basedOn w:val="1"/>
    <w:link w:val="36"/>
    <w:unhideWhenUsed/>
    <w:qFormat/>
    <w:uiPriority w:val="99"/>
    <w:rPr>
      <w:sz w:val="18"/>
      <w:szCs w:val="18"/>
    </w:rPr>
  </w:style>
  <w:style w:type="paragraph" w:styleId="16">
    <w:name w:val="footer"/>
    <w:basedOn w:val="1"/>
    <w:link w:val="34"/>
    <w:unhideWhenUsed/>
    <w:qFormat/>
    <w:uiPriority w:val="99"/>
    <w:pPr>
      <w:tabs>
        <w:tab w:val="center" w:pos="4153"/>
        <w:tab w:val="right" w:pos="8306"/>
      </w:tabs>
      <w:snapToGrid w:val="0"/>
      <w:jc w:val="left"/>
    </w:pPr>
    <w:rPr>
      <w:sz w:val="18"/>
      <w:szCs w:val="18"/>
    </w:rPr>
  </w:style>
  <w:style w:type="paragraph" w:styleId="17">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annotation subject"/>
    <w:basedOn w:val="13"/>
    <w:next w:val="13"/>
    <w:link w:val="28"/>
    <w:unhideWhenUsed/>
    <w:qFormat/>
    <w:uiPriority w:val="99"/>
    <w:pPr>
      <w:adjustRightInd/>
      <w:spacing w:line="240" w:lineRule="auto"/>
      <w:textAlignment w:val="auto"/>
    </w:pPr>
    <w:rPr>
      <w:rFonts w:ascii="Calibri" w:hAnsi="Calibri" w:eastAsia="宋体" w:cs="Times New Roman"/>
      <w:b/>
      <w:bCs/>
      <w:kern w:val="2"/>
      <w:szCs w:val="22"/>
    </w:rPr>
  </w:style>
  <w:style w:type="paragraph" w:styleId="19">
    <w:name w:val="Body Text First Indent 2"/>
    <w:basedOn w:val="14"/>
    <w:qFormat/>
    <w:uiPriority w:val="0"/>
    <w:pPr>
      <w:ind w:firstLine="420" w:firstLineChars="200"/>
    </w:pPr>
  </w:style>
  <w:style w:type="table" w:styleId="21">
    <w:name w:val="Table Grid"/>
    <w:basedOn w:val="2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3">
    <w:name w:val="annotation reference"/>
    <w:basedOn w:val="22"/>
    <w:unhideWhenUsed/>
    <w:qFormat/>
    <w:uiPriority w:val="99"/>
    <w:rPr>
      <w:sz w:val="21"/>
      <w:szCs w:val="21"/>
    </w:rPr>
  </w:style>
  <w:style w:type="paragraph" w:customStyle="1" w:styleId="24">
    <w:name w:val="msonormal"/>
    <w:basedOn w:val="1"/>
    <w:qFormat/>
    <w:uiPriority w:val="0"/>
    <w:pPr>
      <w:widowControl/>
      <w:spacing w:before="100" w:beforeAutospacing="1" w:after="100" w:afterAutospacing="1"/>
      <w:jc w:val="left"/>
    </w:pPr>
    <w:rPr>
      <w:rFonts w:hint="eastAsia" w:ascii="宋体" w:hAnsi="宋体" w:eastAsia="宋体" w:cs="Times New Roman"/>
      <w:kern w:val="0"/>
      <w:sz w:val="24"/>
      <w:szCs w:val="24"/>
    </w:rPr>
  </w:style>
  <w:style w:type="paragraph" w:customStyle="1" w:styleId="25">
    <w:name w:val="条文"/>
    <w:basedOn w:val="1"/>
    <w:qFormat/>
    <w:uiPriority w:val="0"/>
    <w:pPr>
      <w:numPr>
        <w:ilvl w:val="0"/>
        <w:numId w:val="1"/>
      </w:numPr>
      <w:spacing w:before="120" w:line="0" w:lineRule="atLeast"/>
    </w:pPr>
    <w:rPr>
      <w:rFonts w:ascii="Times New Roman" w:hAnsi="Times New Roman" w:eastAsia="宋体" w:cs="Times New Roman"/>
      <w:sz w:val="24"/>
      <w:szCs w:val="20"/>
    </w:rPr>
  </w:style>
  <w:style w:type="paragraph" w:customStyle="1" w:styleId="26">
    <w:name w:val="合同条款2"/>
    <w:basedOn w:val="1"/>
    <w:qFormat/>
    <w:uiPriority w:val="0"/>
    <w:pPr>
      <w:numPr>
        <w:ilvl w:val="1"/>
        <w:numId w:val="2"/>
      </w:numPr>
      <w:spacing w:line="400" w:lineRule="exact"/>
      <w:ind w:left="992"/>
    </w:pPr>
    <w:rPr>
      <w:rFonts w:ascii="华文细黑" w:hAnsi="华文细黑" w:eastAsia="华文细黑" w:cs="Times New Roman"/>
      <w:szCs w:val="21"/>
    </w:rPr>
  </w:style>
  <w:style w:type="paragraph" w:customStyle="1" w:styleId="27">
    <w:name w:val="_Style 1"/>
    <w:basedOn w:val="1"/>
    <w:qFormat/>
    <w:uiPriority w:val="34"/>
    <w:pPr>
      <w:ind w:firstLine="420" w:firstLineChars="200"/>
    </w:pPr>
    <w:rPr>
      <w:rFonts w:ascii="Times New Roman" w:hAnsi="Times New Roman" w:eastAsia="宋体" w:cs="Times New Roman"/>
      <w:szCs w:val="24"/>
    </w:rPr>
  </w:style>
  <w:style w:type="character" w:customStyle="1" w:styleId="28">
    <w:name w:val="批注主题 字符"/>
    <w:basedOn w:val="29"/>
    <w:link w:val="18"/>
    <w:semiHidden/>
    <w:qFormat/>
    <w:uiPriority w:val="99"/>
    <w:rPr>
      <w:rFonts w:ascii="Times New Roman" w:hAnsi="Times New Roman" w:eastAsia="宋体" w:cs="Times New Roman"/>
      <w:b/>
      <w:bCs/>
      <w:kern w:val="0"/>
      <w:szCs w:val="20"/>
    </w:rPr>
  </w:style>
  <w:style w:type="character" w:customStyle="1" w:styleId="29">
    <w:name w:val="批注文字 字符"/>
    <w:basedOn w:val="22"/>
    <w:link w:val="13"/>
    <w:qFormat/>
    <w:uiPriority w:val="99"/>
    <w:rPr>
      <w:rFonts w:ascii="Times New Roman" w:hAnsi="Times New Roman" w:eastAsia="宋体" w:cs="Times New Roman"/>
      <w:kern w:val="0"/>
      <w:szCs w:val="20"/>
    </w:rPr>
  </w:style>
  <w:style w:type="character" w:customStyle="1" w:styleId="30">
    <w:name w:val="标题 8 字符"/>
    <w:basedOn w:val="22"/>
    <w:link w:val="11"/>
    <w:qFormat/>
    <w:uiPriority w:val="0"/>
    <w:rPr>
      <w:rFonts w:ascii="Arial" w:hAnsi="Arial" w:eastAsia="黑体" w:cs="Times New Roman"/>
      <w:sz w:val="24"/>
      <w:szCs w:val="20"/>
    </w:rPr>
  </w:style>
  <w:style w:type="character" w:customStyle="1" w:styleId="31">
    <w:name w:val="标题 6 字符"/>
    <w:basedOn w:val="22"/>
    <w:link w:val="9"/>
    <w:qFormat/>
    <w:uiPriority w:val="0"/>
    <w:rPr>
      <w:rFonts w:ascii="Arial" w:hAnsi="Arial" w:eastAsia="黑体" w:cs="Times New Roman"/>
      <w:b/>
      <w:sz w:val="24"/>
      <w:szCs w:val="20"/>
    </w:rPr>
  </w:style>
  <w:style w:type="character" w:customStyle="1" w:styleId="32">
    <w:name w:val="标题 2 字符"/>
    <w:basedOn w:val="22"/>
    <w:link w:val="5"/>
    <w:qFormat/>
    <w:uiPriority w:val="0"/>
    <w:rPr>
      <w:rFonts w:ascii="Arial" w:hAnsi="Arial" w:eastAsia="黑体" w:cs="Times New Roman"/>
      <w:b/>
      <w:sz w:val="32"/>
      <w:szCs w:val="20"/>
    </w:rPr>
  </w:style>
  <w:style w:type="character" w:customStyle="1" w:styleId="33">
    <w:name w:val="页眉 字符"/>
    <w:basedOn w:val="22"/>
    <w:link w:val="17"/>
    <w:semiHidden/>
    <w:qFormat/>
    <w:uiPriority w:val="99"/>
    <w:rPr>
      <w:sz w:val="18"/>
      <w:szCs w:val="18"/>
    </w:rPr>
  </w:style>
  <w:style w:type="character" w:customStyle="1" w:styleId="34">
    <w:name w:val="页脚 字符"/>
    <w:basedOn w:val="22"/>
    <w:link w:val="16"/>
    <w:semiHidden/>
    <w:qFormat/>
    <w:uiPriority w:val="99"/>
    <w:rPr>
      <w:sz w:val="18"/>
      <w:szCs w:val="18"/>
    </w:rPr>
  </w:style>
  <w:style w:type="character" w:customStyle="1" w:styleId="35">
    <w:name w:val="标题 5 字符"/>
    <w:basedOn w:val="22"/>
    <w:link w:val="8"/>
    <w:qFormat/>
    <w:uiPriority w:val="0"/>
    <w:rPr>
      <w:rFonts w:ascii="Times New Roman" w:hAnsi="Times New Roman" w:eastAsia="宋体" w:cs="Times New Roman"/>
      <w:b/>
      <w:sz w:val="28"/>
      <w:szCs w:val="20"/>
    </w:rPr>
  </w:style>
  <w:style w:type="character" w:customStyle="1" w:styleId="36">
    <w:name w:val="批注框文本 字符"/>
    <w:basedOn w:val="22"/>
    <w:link w:val="15"/>
    <w:semiHidden/>
    <w:qFormat/>
    <w:uiPriority w:val="99"/>
    <w:rPr>
      <w:sz w:val="18"/>
      <w:szCs w:val="18"/>
    </w:rPr>
  </w:style>
  <w:style w:type="character" w:customStyle="1" w:styleId="37">
    <w:name w:val="标题 3 字符"/>
    <w:basedOn w:val="22"/>
    <w:link w:val="6"/>
    <w:qFormat/>
    <w:uiPriority w:val="0"/>
    <w:rPr>
      <w:rFonts w:ascii="Times New Roman" w:hAnsi="Times New Roman" w:eastAsia="宋体" w:cs="Times New Roman"/>
      <w:b/>
      <w:sz w:val="32"/>
      <w:szCs w:val="20"/>
    </w:rPr>
  </w:style>
  <w:style w:type="character" w:customStyle="1" w:styleId="38">
    <w:name w:val="标题 7 字符"/>
    <w:basedOn w:val="22"/>
    <w:link w:val="10"/>
    <w:qFormat/>
    <w:uiPriority w:val="0"/>
    <w:rPr>
      <w:rFonts w:ascii="Times New Roman" w:hAnsi="Times New Roman" w:eastAsia="宋体" w:cs="Times New Roman"/>
      <w:b/>
      <w:sz w:val="24"/>
      <w:szCs w:val="20"/>
    </w:rPr>
  </w:style>
  <w:style w:type="character" w:customStyle="1" w:styleId="39">
    <w:name w:val="标题 4 字符"/>
    <w:basedOn w:val="22"/>
    <w:link w:val="7"/>
    <w:qFormat/>
    <w:uiPriority w:val="0"/>
    <w:rPr>
      <w:rFonts w:ascii="Arial" w:hAnsi="Arial" w:eastAsia="黑体" w:cs="Times New Roman"/>
      <w:b/>
      <w:sz w:val="28"/>
      <w:szCs w:val="20"/>
    </w:rPr>
  </w:style>
  <w:style w:type="character" w:customStyle="1" w:styleId="40">
    <w:name w:val="标题 9 字符"/>
    <w:basedOn w:val="22"/>
    <w:link w:val="12"/>
    <w:qFormat/>
    <w:uiPriority w:val="0"/>
    <w:rPr>
      <w:rFonts w:ascii="Arial" w:hAnsi="Arial" w:eastAsia="黑体" w:cs="Times New Roman"/>
      <w:szCs w:val="20"/>
    </w:rPr>
  </w:style>
  <w:style w:type="paragraph" w:customStyle="1" w:styleId="41">
    <w:name w:val="p17"/>
    <w:basedOn w:val="1"/>
    <w:qFormat/>
    <w:uiPriority w:val="0"/>
    <w:pPr>
      <w:spacing w:line="360" w:lineRule="auto"/>
      <w:ind w:firstLine="420"/>
      <w:jc w:val="both"/>
    </w:pPr>
    <w:rPr>
      <w:sz w:val="21"/>
      <w:szCs w:val="20"/>
    </w:rPr>
  </w:style>
  <w:style w:type="paragraph" w:customStyle="1" w:styleId="4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1905</Words>
  <Characters>10865</Characters>
  <Lines>1</Lines>
  <Paragraphs>1</Paragraphs>
  <TotalTime>54</TotalTime>
  <ScaleCrop>false</ScaleCrop>
  <LinksUpToDate>false</LinksUpToDate>
  <CharactersWithSpaces>12745</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2019-03-22T07:40:00Z</dcterms:created>
  <dc:creator>wdh</dc:creator>
  <cp:lastModifiedBy>袁丽华</cp:lastModifiedBy>
  <dcterms:modified xsi:type="dcterms:W3CDTF">2026-07-29T01:46:04Z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FEBAE6C56BD743E08B031AD3905564F3</vt:lpwstr>
  </property>
</Properties>
</file>