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spacing w:before="0" w:after="0" w:line="240" w:lineRule="auto"/>
        <w:jc w:val="center"/>
        <w:rPr>
          <w:rFonts w:ascii="黑体" w:hAnsi="黑体" w:eastAsia="黑体"/>
          <w:sz w:val="32"/>
          <w:szCs w:val="32"/>
          <w:highlight w:val="none"/>
        </w:rPr>
      </w:pPr>
      <w:bookmarkStart w:id="0" w:name="_Toc27613"/>
    </w:p>
    <w:p>
      <w:pPr>
        <w:pStyle w:val="3"/>
        <w:spacing w:before="0" w:after="0" w:line="240" w:lineRule="auto"/>
        <w:jc w:val="center"/>
        <w:rPr>
          <w:rFonts w:hint="eastAsia" w:ascii="黑体" w:hAnsi="黑体" w:eastAsia="黑体"/>
          <w:sz w:val="32"/>
          <w:szCs w:val="32"/>
          <w:highlight w:val="none"/>
        </w:rPr>
      </w:pPr>
      <w:r>
        <w:rPr>
          <w:rFonts w:ascii="黑体" w:hAnsi="黑体" w:eastAsia="黑体"/>
          <w:sz w:val="32"/>
          <w:szCs w:val="32"/>
          <w:highlight w:val="none"/>
        </w:rPr>
        <w:t>附件</w:t>
      </w:r>
      <w:r>
        <w:rPr>
          <w:rFonts w:hint="eastAsia" w:ascii="黑体" w:hAnsi="黑体" w:eastAsia="黑体"/>
          <w:sz w:val="32"/>
          <w:szCs w:val="32"/>
          <w:highlight w:val="none"/>
        </w:rPr>
        <w:t>：安徽移</w:t>
      </w:r>
      <w:bookmarkStart w:id="49" w:name="_GoBack"/>
      <w:bookmarkEnd w:id="49"/>
      <w:r>
        <w:rPr>
          <w:rFonts w:hint="eastAsia" w:ascii="黑体" w:hAnsi="黑体" w:eastAsia="黑体"/>
          <w:sz w:val="32"/>
          <w:szCs w:val="32"/>
          <w:highlight w:val="none"/>
        </w:rPr>
        <w:t>动供应商合作规则</w:t>
      </w:r>
      <w:bookmarkEnd w:id="0"/>
    </w:p>
    <w:p>
      <w:pPr>
        <w:pStyle w:val="5"/>
        <w:numPr>
          <w:numId w:val="0"/>
        </w:numPr>
        <w:ind w:leftChars="0"/>
        <w:jc w:val="center"/>
        <w:rPr>
          <w:rFonts w:hint="eastAsia" w:eastAsia="黑体"/>
          <w:highlight w:val="none"/>
          <w:lang w:eastAsia="zh-CN"/>
        </w:rPr>
      </w:pPr>
      <w:r>
        <w:rPr>
          <w:rFonts w:hint="eastAsia" w:ascii="黑体" w:hAnsi="黑体" w:eastAsia="黑体"/>
          <w:sz w:val="32"/>
          <w:szCs w:val="32"/>
          <w:highlight w:val="none"/>
          <w:lang w:eastAsia="zh-CN"/>
        </w:rPr>
        <w:t>（</w:t>
      </w:r>
      <w:r>
        <w:rPr>
          <w:rFonts w:hint="eastAsia" w:ascii="黑体" w:hAnsi="黑体" w:eastAsia="黑体"/>
          <w:sz w:val="32"/>
          <w:szCs w:val="32"/>
          <w:highlight w:val="none"/>
          <w:lang w:val="en-US" w:eastAsia="zh-CN"/>
        </w:rPr>
        <w:t>202505</w:t>
      </w:r>
      <w:r>
        <w:rPr>
          <w:rFonts w:hint="eastAsia" w:ascii="黑体" w:hAnsi="黑体" w:eastAsia="黑体"/>
          <w:sz w:val="32"/>
          <w:szCs w:val="32"/>
          <w:highlight w:val="none"/>
          <w:lang w:eastAsia="zh-CN"/>
        </w:rPr>
        <w:t>）</w:t>
      </w:r>
    </w:p>
    <w:p>
      <w:pPr>
        <w:keepNext w:val="0"/>
        <w:keepLines w:val="0"/>
        <w:pageBreakBefore w:val="0"/>
        <w:widowControl w:val="0"/>
        <w:kinsoku/>
        <w:wordWrap/>
        <w:overflowPunct/>
        <w:topLinePunct w:val="0"/>
        <w:autoSpaceDE/>
        <w:autoSpaceDN/>
        <w:bidi w:val="0"/>
        <w:adjustRightInd/>
        <w:snapToGrid w:val="0"/>
        <w:jc w:val="left"/>
        <w:textAlignment w:val="auto"/>
        <w:rPr>
          <w:rFonts w:hint="eastAsia" w:ascii="宋体" w:hAnsi="宋体"/>
          <w:b/>
          <w:bCs/>
          <w:kern w:val="0"/>
          <w:sz w:val="28"/>
          <w:szCs w:val="28"/>
          <w:highlight w:val="none"/>
        </w:rPr>
      </w:pPr>
    </w:p>
    <w:p>
      <w:pPr>
        <w:pStyle w:val="2"/>
        <w:rPr>
          <w:rFonts w:hint="eastAsia" w:ascii="宋体" w:hAnsi="宋体"/>
          <w:b/>
          <w:bCs/>
          <w:kern w:val="0"/>
          <w:sz w:val="28"/>
          <w:szCs w:val="28"/>
          <w:highlight w:val="none"/>
        </w:rPr>
      </w:pPr>
    </w:p>
    <w:p>
      <w:pPr>
        <w:pStyle w:val="2"/>
        <w:rPr>
          <w:rFonts w:hint="eastAsia" w:ascii="宋体" w:hAnsi="宋体"/>
          <w:b/>
          <w:bCs/>
          <w:kern w:val="0"/>
          <w:sz w:val="28"/>
          <w:szCs w:val="28"/>
          <w:highlight w:val="none"/>
        </w:rPr>
      </w:pPr>
    </w:p>
    <w:sdt>
      <w:sdtPr>
        <w:rPr>
          <w:rFonts w:ascii="宋体" w:hAnsi="宋体" w:eastAsia="宋体" w:cstheme="minorBidi"/>
          <w:kern w:val="2"/>
          <w:sz w:val="21"/>
          <w:szCs w:val="22"/>
          <w:highlight w:val="none"/>
          <w:lang w:val="en-US" w:eastAsia="zh-CN" w:bidi="ar-SA"/>
        </w:rPr>
        <w:id w:val="147480662"/>
        <w15:color w:val="DBDBDB"/>
        <w:docPartObj>
          <w:docPartGallery w:val="Table of Contents"/>
          <w:docPartUnique/>
        </w:docPartObj>
      </w:sdtPr>
      <w:sdtEndPr>
        <w:rPr>
          <w:rFonts w:hint="eastAsia" w:asciiTheme="minorHAnsi" w:hAnsiTheme="minorHAnsi" w:eastAsiaTheme="minorEastAsia" w:cstheme="minorBidi"/>
          <w:kern w:val="2"/>
          <w:sz w:val="21"/>
          <w:szCs w:val="22"/>
          <w:highlight w:val="none"/>
          <w:lang w:val="en-US" w:eastAsia="zh-CN" w:bidi="ar-SA"/>
        </w:rPr>
      </w:sdtEndPr>
      <w:sdtContent>
        <w:p>
          <w:pPr>
            <w:spacing w:before="0" w:beforeLines="0" w:after="0" w:afterLines="0" w:line="240" w:lineRule="auto"/>
            <w:ind w:left="0" w:leftChars="0" w:right="0" w:rightChars="0" w:firstLine="0" w:firstLineChars="0"/>
            <w:jc w:val="center"/>
            <w:rPr>
              <w:highlight w:val="none"/>
            </w:rPr>
          </w:pPr>
          <w:r>
            <w:rPr>
              <w:rFonts w:ascii="宋体" w:hAnsi="宋体" w:eastAsia="宋体"/>
              <w:b/>
              <w:bCs/>
              <w:sz w:val="21"/>
              <w:highlight w:val="none"/>
            </w:rPr>
            <w:t>目</w:t>
          </w:r>
          <w:r>
            <w:rPr>
              <w:rFonts w:hint="eastAsia" w:ascii="宋体" w:hAnsi="宋体" w:eastAsia="宋体"/>
              <w:b/>
              <w:bCs/>
              <w:sz w:val="21"/>
              <w:highlight w:val="none"/>
              <w:lang w:val="en-US" w:eastAsia="zh-CN"/>
            </w:rPr>
            <w:t xml:space="preserve"> </w:t>
          </w:r>
          <w:r>
            <w:rPr>
              <w:rFonts w:ascii="宋体" w:hAnsi="宋体" w:eastAsia="宋体"/>
              <w:b/>
              <w:bCs/>
              <w:sz w:val="21"/>
              <w:highlight w:val="none"/>
            </w:rPr>
            <w:t>录</w:t>
          </w:r>
        </w:p>
        <w:p>
          <w:pPr>
            <w:pStyle w:val="27"/>
            <w:tabs>
              <w:tab w:val="right" w:leader="dot" w:pos="8504"/>
            </w:tabs>
            <w:rPr>
              <w:highlight w:val="none"/>
            </w:rPr>
          </w:pPr>
          <w:r>
            <w:rPr>
              <w:rFonts w:hint="eastAsia"/>
              <w:highlight w:val="none"/>
            </w:rPr>
            <w:fldChar w:fldCharType="begin"/>
          </w:r>
          <w:r>
            <w:rPr>
              <w:rFonts w:hint="eastAsia"/>
              <w:highlight w:val="none"/>
            </w:rPr>
            <w:instrText xml:space="preserve">TOC \o "1-1" \h \u </w:instrText>
          </w:r>
          <w:r>
            <w:rPr>
              <w:rFonts w:hint="eastAsia"/>
              <w:highlight w:val="none"/>
            </w:rPr>
            <w:fldChar w:fldCharType="separate"/>
          </w:r>
          <w:r>
            <w:rPr>
              <w:rFonts w:hint="eastAsia"/>
              <w:highlight w:val="none"/>
            </w:rPr>
            <w:fldChar w:fldCharType="begin"/>
          </w:r>
          <w:r>
            <w:rPr>
              <w:rFonts w:hint="eastAsia"/>
              <w:highlight w:val="none"/>
            </w:rPr>
            <w:instrText xml:space="preserve"> HYPERLINK \l _Toc27613 </w:instrText>
          </w:r>
          <w:r>
            <w:rPr>
              <w:rFonts w:hint="eastAsia"/>
              <w:highlight w:val="none"/>
            </w:rPr>
            <w:fldChar w:fldCharType="separate"/>
          </w:r>
          <w:r>
            <w:rPr>
              <w:rFonts w:ascii="黑体" w:hAnsi="黑体" w:eastAsia="黑体"/>
              <w:szCs w:val="32"/>
              <w:highlight w:val="none"/>
            </w:rPr>
            <w:t>附件</w:t>
          </w:r>
          <w:r>
            <w:rPr>
              <w:rFonts w:hint="eastAsia" w:ascii="黑体" w:hAnsi="黑体" w:eastAsia="黑体"/>
              <w:szCs w:val="32"/>
              <w:highlight w:val="none"/>
            </w:rPr>
            <w:t>：安徽移动供应商合作规则</w:t>
          </w:r>
          <w:r>
            <w:rPr>
              <w:highlight w:val="none"/>
            </w:rPr>
            <w:tab/>
          </w:r>
          <w:r>
            <w:rPr>
              <w:highlight w:val="none"/>
            </w:rPr>
            <w:fldChar w:fldCharType="begin"/>
          </w:r>
          <w:r>
            <w:rPr>
              <w:highlight w:val="none"/>
            </w:rPr>
            <w:instrText xml:space="preserve"> PAGEREF _Toc27613 \h </w:instrText>
          </w:r>
          <w:r>
            <w:rPr>
              <w:highlight w:val="none"/>
            </w:rPr>
            <w:fldChar w:fldCharType="separate"/>
          </w:r>
          <w:r>
            <w:rPr>
              <w:highlight w:val="none"/>
            </w:rPr>
            <w:t>1</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_Toc1947 </w:instrText>
          </w:r>
          <w:r>
            <w:rPr>
              <w:rFonts w:hint="eastAsia"/>
              <w:highlight w:val="none"/>
            </w:rPr>
            <w:fldChar w:fldCharType="separate"/>
          </w:r>
          <w:r>
            <w:rPr>
              <w:rFonts w:hint="eastAsia" w:ascii="黑体" w:hAnsi="黑体" w:eastAsia="黑体"/>
              <w:szCs w:val="28"/>
              <w:highlight w:val="none"/>
              <w:lang w:val="en-US" w:eastAsia="zh-CN"/>
            </w:rPr>
            <w:t xml:space="preserve">1.1 </w:t>
          </w:r>
          <w:r>
            <w:rPr>
              <w:rFonts w:hint="eastAsia" w:ascii="黑体" w:hAnsi="黑体" w:eastAsia="黑体"/>
              <w:szCs w:val="28"/>
              <w:highlight w:val="none"/>
            </w:rPr>
            <w:t>安徽移动产品质量违约处理规则</w:t>
          </w:r>
          <w:r>
            <w:rPr>
              <w:highlight w:val="none"/>
            </w:rPr>
            <w:tab/>
          </w:r>
          <w:r>
            <w:rPr>
              <w:highlight w:val="none"/>
            </w:rPr>
            <w:fldChar w:fldCharType="begin"/>
          </w:r>
          <w:r>
            <w:rPr>
              <w:highlight w:val="none"/>
            </w:rPr>
            <w:instrText xml:space="preserve"> PAGEREF _Toc1947 \h </w:instrText>
          </w:r>
          <w:r>
            <w:rPr>
              <w:highlight w:val="none"/>
            </w:rPr>
            <w:fldChar w:fldCharType="separate"/>
          </w:r>
          <w:r>
            <w:rPr>
              <w:highlight w:val="none"/>
            </w:rPr>
            <w:t>2</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_Toc19561 </w:instrText>
          </w:r>
          <w:r>
            <w:rPr>
              <w:rFonts w:hint="eastAsia"/>
              <w:highlight w:val="none"/>
            </w:rPr>
            <w:fldChar w:fldCharType="separate"/>
          </w:r>
          <w:r>
            <w:rPr>
              <w:rFonts w:hint="eastAsia" w:ascii="黑体" w:hAnsi="黑体" w:eastAsia="黑体"/>
              <w:szCs w:val="28"/>
              <w:highlight w:val="none"/>
              <w:lang w:val="en-US" w:eastAsia="zh-CN"/>
            </w:rPr>
            <w:t xml:space="preserve">1.2 </w:t>
          </w:r>
          <w:r>
            <w:rPr>
              <w:rFonts w:hint="eastAsia" w:ascii="黑体" w:hAnsi="黑体" w:eastAsia="黑体"/>
              <w:szCs w:val="28"/>
              <w:highlight w:val="none"/>
            </w:rPr>
            <w:t>安徽移动供应商绩效评估处理规则</w:t>
          </w:r>
          <w:r>
            <w:rPr>
              <w:highlight w:val="none"/>
            </w:rPr>
            <w:tab/>
          </w:r>
          <w:r>
            <w:rPr>
              <w:highlight w:val="none"/>
            </w:rPr>
            <w:fldChar w:fldCharType="begin"/>
          </w:r>
          <w:r>
            <w:rPr>
              <w:highlight w:val="none"/>
            </w:rPr>
            <w:instrText xml:space="preserve"> PAGEREF _Toc19561 \h </w:instrText>
          </w:r>
          <w:r>
            <w:rPr>
              <w:highlight w:val="none"/>
            </w:rPr>
            <w:fldChar w:fldCharType="separate"/>
          </w:r>
          <w:r>
            <w:rPr>
              <w:highlight w:val="none"/>
            </w:rPr>
            <w:t>4</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_Toc18648 </w:instrText>
          </w:r>
          <w:r>
            <w:rPr>
              <w:rFonts w:hint="eastAsia"/>
              <w:highlight w:val="none"/>
            </w:rPr>
            <w:fldChar w:fldCharType="separate"/>
          </w:r>
          <w:r>
            <w:rPr>
              <w:rFonts w:hint="eastAsia" w:ascii="黑体" w:hAnsi="黑体" w:eastAsia="黑体"/>
              <w:szCs w:val="28"/>
              <w:highlight w:val="none"/>
            </w:rPr>
            <w:t>1</w:t>
          </w:r>
          <w:r>
            <w:rPr>
              <w:rFonts w:ascii="黑体" w:hAnsi="黑体" w:eastAsia="黑体"/>
              <w:szCs w:val="28"/>
              <w:highlight w:val="none"/>
            </w:rPr>
            <w:t>.</w:t>
          </w:r>
          <w:r>
            <w:rPr>
              <w:rFonts w:hint="default" w:ascii="黑体" w:hAnsi="黑体" w:eastAsia="黑体"/>
              <w:szCs w:val="28"/>
              <w:highlight w:val="none"/>
              <w:lang w:val="en-US" w:eastAsia="zh-CN"/>
            </w:rPr>
            <w:t>3</w:t>
          </w:r>
          <w:r>
            <w:rPr>
              <w:rFonts w:ascii="黑体" w:hAnsi="黑体" w:eastAsia="黑体"/>
              <w:szCs w:val="28"/>
              <w:highlight w:val="none"/>
            </w:rPr>
            <w:t xml:space="preserve"> 安徽移动</w:t>
          </w:r>
          <w:r>
            <w:rPr>
              <w:rFonts w:hint="eastAsia" w:ascii="黑体" w:hAnsi="黑体" w:eastAsia="黑体"/>
              <w:szCs w:val="28"/>
              <w:highlight w:val="none"/>
            </w:rPr>
            <w:t>供应商分级管理</w:t>
          </w:r>
          <w:r>
            <w:rPr>
              <w:rFonts w:hint="eastAsia" w:ascii="黑体" w:hAnsi="黑体" w:eastAsia="黑体"/>
              <w:szCs w:val="28"/>
              <w:highlight w:val="none"/>
              <w:lang w:val="en-US" w:eastAsia="zh-CN"/>
            </w:rPr>
            <w:t>规则</w:t>
          </w:r>
          <w:r>
            <w:rPr>
              <w:highlight w:val="none"/>
            </w:rPr>
            <w:tab/>
          </w:r>
          <w:r>
            <w:rPr>
              <w:highlight w:val="none"/>
            </w:rPr>
            <w:fldChar w:fldCharType="begin"/>
          </w:r>
          <w:r>
            <w:rPr>
              <w:highlight w:val="none"/>
            </w:rPr>
            <w:instrText xml:space="preserve"> PAGEREF _Toc18648 \h </w:instrText>
          </w:r>
          <w:r>
            <w:rPr>
              <w:highlight w:val="none"/>
            </w:rPr>
            <w:fldChar w:fldCharType="separate"/>
          </w:r>
          <w:r>
            <w:rPr>
              <w:highlight w:val="none"/>
            </w:rPr>
            <w:t>5</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_Toc31284 </w:instrText>
          </w:r>
          <w:r>
            <w:rPr>
              <w:rFonts w:hint="eastAsia"/>
              <w:highlight w:val="none"/>
            </w:rPr>
            <w:fldChar w:fldCharType="separate"/>
          </w:r>
          <w:r>
            <w:rPr>
              <w:rFonts w:hint="eastAsia" w:ascii="黑体" w:hAnsi="黑体" w:eastAsia="黑体"/>
              <w:szCs w:val="28"/>
              <w:highlight w:val="none"/>
            </w:rPr>
            <w:t>1</w:t>
          </w:r>
          <w:r>
            <w:rPr>
              <w:rFonts w:ascii="黑体" w:hAnsi="黑体" w:eastAsia="黑体"/>
              <w:szCs w:val="28"/>
              <w:highlight w:val="none"/>
            </w:rPr>
            <w:t>.</w:t>
          </w:r>
          <w:r>
            <w:rPr>
              <w:rFonts w:hint="default" w:ascii="黑体" w:hAnsi="黑体" w:eastAsia="黑体"/>
              <w:szCs w:val="28"/>
              <w:highlight w:val="none"/>
              <w:lang w:val="en-US" w:eastAsia="zh-CN"/>
            </w:rPr>
            <w:t>4</w:t>
          </w:r>
          <w:r>
            <w:rPr>
              <w:rFonts w:ascii="黑体" w:hAnsi="黑体" w:eastAsia="黑体"/>
              <w:szCs w:val="28"/>
              <w:highlight w:val="none"/>
            </w:rPr>
            <w:t xml:space="preserve"> 安徽移动供应商负面行为处理规则</w:t>
          </w:r>
          <w:r>
            <w:rPr>
              <w:highlight w:val="none"/>
            </w:rPr>
            <w:tab/>
          </w:r>
          <w:r>
            <w:rPr>
              <w:highlight w:val="none"/>
            </w:rPr>
            <w:fldChar w:fldCharType="begin"/>
          </w:r>
          <w:r>
            <w:rPr>
              <w:highlight w:val="none"/>
            </w:rPr>
            <w:instrText xml:space="preserve"> PAGEREF _Toc31284 \h </w:instrText>
          </w:r>
          <w:r>
            <w:rPr>
              <w:highlight w:val="none"/>
            </w:rPr>
            <w:fldChar w:fldCharType="separate"/>
          </w:r>
          <w:r>
            <w:rPr>
              <w:highlight w:val="none"/>
            </w:rPr>
            <w:t>6</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_Toc7319 </w:instrText>
          </w:r>
          <w:r>
            <w:rPr>
              <w:rFonts w:hint="eastAsia"/>
              <w:highlight w:val="none"/>
            </w:rPr>
            <w:fldChar w:fldCharType="separate"/>
          </w:r>
          <w:r>
            <w:rPr>
              <w:rFonts w:hint="eastAsia" w:ascii="黑体" w:hAnsi="黑体" w:eastAsia="黑体"/>
              <w:szCs w:val="28"/>
              <w:highlight w:val="none"/>
              <w:lang w:val="en-US" w:eastAsia="zh-CN"/>
            </w:rPr>
            <w:t xml:space="preserve">1.5 </w:t>
          </w:r>
          <w:r>
            <w:rPr>
              <w:rFonts w:hint="eastAsia" w:ascii="黑体" w:hAnsi="黑体" w:eastAsia="黑体"/>
              <w:szCs w:val="28"/>
              <w:highlight w:val="none"/>
            </w:rPr>
            <w:t>中国移动网络安全风险警示名单处理规则</w:t>
          </w:r>
          <w:r>
            <w:rPr>
              <w:highlight w:val="none"/>
            </w:rPr>
            <w:tab/>
          </w:r>
          <w:r>
            <w:rPr>
              <w:highlight w:val="none"/>
            </w:rPr>
            <w:fldChar w:fldCharType="begin"/>
          </w:r>
          <w:r>
            <w:rPr>
              <w:highlight w:val="none"/>
            </w:rPr>
            <w:instrText xml:space="preserve"> PAGEREF _Toc7319 \h </w:instrText>
          </w:r>
          <w:r>
            <w:rPr>
              <w:highlight w:val="none"/>
            </w:rPr>
            <w:fldChar w:fldCharType="separate"/>
          </w:r>
          <w:r>
            <w:rPr>
              <w:highlight w:val="none"/>
            </w:rPr>
            <w:t>12</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_Toc21173 </w:instrText>
          </w:r>
          <w:r>
            <w:rPr>
              <w:rFonts w:hint="eastAsia"/>
              <w:highlight w:val="none"/>
            </w:rPr>
            <w:fldChar w:fldCharType="separate"/>
          </w:r>
          <w:r>
            <w:rPr>
              <w:rFonts w:hint="eastAsia" w:ascii="黑体" w:hAnsi="黑体" w:eastAsia="黑体"/>
              <w:szCs w:val="28"/>
              <w:highlight w:val="none"/>
              <w:lang w:val="en-US" w:eastAsia="zh-CN"/>
            </w:rPr>
            <w:t>1.6</w:t>
          </w:r>
          <w:r>
            <w:rPr>
              <w:rFonts w:hint="eastAsia" w:ascii="黑体" w:hAnsi="黑体" w:eastAsia="黑体"/>
              <w:szCs w:val="28"/>
              <w:highlight w:val="none"/>
            </w:rPr>
            <w:t>中国移动全网重大通信故障定义</w:t>
          </w:r>
          <w:r>
            <w:rPr>
              <w:highlight w:val="none"/>
            </w:rPr>
            <w:tab/>
          </w:r>
          <w:r>
            <w:rPr>
              <w:highlight w:val="none"/>
            </w:rPr>
            <w:fldChar w:fldCharType="begin"/>
          </w:r>
          <w:r>
            <w:rPr>
              <w:highlight w:val="none"/>
            </w:rPr>
            <w:instrText xml:space="preserve"> PAGEREF _Toc21173 \h </w:instrText>
          </w:r>
          <w:r>
            <w:rPr>
              <w:highlight w:val="none"/>
            </w:rPr>
            <w:fldChar w:fldCharType="separate"/>
          </w:r>
          <w:r>
            <w:rPr>
              <w:highlight w:val="none"/>
            </w:rPr>
            <w:t>13</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_Toc22134 </w:instrText>
          </w:r>
          <w:r>
            <w:rPr>
              <w:rFonts w:hint="eastAsia"/>
              <w:highlight w:val="none"/>
            </w:rPr>
            <w:fldChar w:fldCharType="separate"/>
          </w:r>
          <w:r>
            <w:rPr>
              <w:rFonts w:hint="eastAsia" w:ascii="黑体" w:hAnsi="黑体" w:eastAsia="黑体"/>
              <w:szCs w:val="28"/>
              <w:highlight w:val="none"/>
              <w:lang w:val="en-US" w:eastAsia="zh-CN"/>
            </w:rPr>
            <w:t>1.7</w:t>
          </w:r>
          <w:r>
            <w:rPr>
              <w:rFonts w:hint="eastAsia" w:ascii="黑体" w:hAnsi="黑体" w:eastAsia="黑体"/>
              <w:szCs w:val="28"/>
              <w:highlight w:val="none"/>
            </w:rPr>
            <w:t>中国移动供应商</w:t>
          </w:r>
          <w:r>
            <w:rPr>
              <w:rFonts w:hint="eastAsia" w:ascii="黑体" w:hAnsi="黑体" w:eastAsia="黑体"/>
              <w:szCs w:val="28"/>
              <w:highlight w:val="none"/>
              <w:lang w:val="en-US" w:eastAsia="zh-CN"/>
            </w:rPr>
            <w:t>通用</w:t>
          </w:r>
          <w:r>
            <w:rPr>
              <w:rFonts w:hint="eastAsia" w:ascii="黑体" w:hAnsi="黑体" w:eastAsia="黑体"/>
              <w:szCs w:val="28"/>
              <w:highlight w:val="none"/>
            </w:rPr>
            <w:t>承诺书</w:t>
          </w:r>
          <w:r>
            <w:rPr>
              <w:highlight w:val="none"/>
            </w:rPr>
            <w:tab/>
          </w:r>
          <w:r>
            <w:rPr>
              <w:highlight w:val="none"/>
            </w:rPr>
            <w:fldChar w:fldCharType="begin"/>
          </w:r>
          <w:r>
            <w:rPr>
              <w:highlight w:val="none"/>
            </w:rPr>
            <w:instrText xml:space="preserve"> PAGEREF _Toc22134 \h </w:instrText>
          </w:r>
          <w:r>
            <w:rPr>
              <w:highlight w:val="none"/>
            </w:rPr>
            <w:fldChar w:fldCharType="separate"/>
          </w:r>
          <w:r>
            <w:rPr>
              <w:highlight w:val="none"/>
            </w:rPr>
            <w:t>19</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_Toc7953 </w:instrText>
          </w:r>
          <w:r>
            <w:rPr>
              <w:rFonts w:hint="eastAsia"/>
              <w:highlight w:val="none"/>
            </w:rPr>
            <w:fldChar w:fldCharType="separate"/>
          </w:r>
          <w:r>
            <w:rPr>
              <w:rFonts w:hint="eastAsia" w:ascii="黑体" w:hAnsi="黑体" w:eastAsia="黑体"/>
              <w:szCs w:val="28"/>
              <w:highlight w:val="none"/>
              <w:lang w:val="en-US" w:eastAsia="zh-CN"/>
            </w:rPr>
            <w:t>1.8</w:t>
          </w:r>
          <w:r>
            <w:rPr>
              <w:rFonts w:hint="eastAsia" w:ascii="黑体" w:hAnsi="黑体" w:eastAsia="黑体"/>
              <w:szCs w:val="28"/>
              <w:highlight w:val="none"/>
            </w:rPr>
            <w:t>廉洁诚信协议</w:t>
          </w:r>
          <w:r>
            <w:rPr>
              <w:highlight w:val="none"/>
            </w:rPr>
            <w:tab/>
          </w:r>
          <w:r>
            <w:rPr>
              <w:highlight w:val="none"/>
            </w:rPr>
            <w:fldChar w:fldCharType="begin"/>
          </w:r>
          <w:r>
            <w:rPr>
              <w:highlight w:val="none"/>
            </w:rPr>
            <w:instrText xml:space="preserve"> PAGEREF _Toc7953 \h </w:instrText>
          </w:r>
          <w:r>
            <w:rPr>
              <w:highlight w:val="none"/>
            </w:rPr>
            <w:fldChar w:fldCharType="separate"/>
          </w:r>
          <w:r>
            <w:rPr>
              <w:highlight w:val="none"/>
            </w:rPr>
            <w:t>21</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_Toc14107 </w:instrText>
          </w:r>
          <w:r>
            <w:rPr>
              <w:rFonts w:hint="eastAsia"/>
              <w:highlight w:val="none"/>
            </w:rPr>
            <w:fldChar w:fldCharType="separate"/>
          </w:r>
          <w:r>
            <w:rPr>
              <w:rFonts w:hint="eastAsia" w:ascii="黑体" w:hAnsi="黑体" w:eastAsia="黑体"/>
              <w:szCs w:val="28"/>
              <w:highlight w:val="none"/>
              <w:lang w:val="en-US" w:eastAsia="zh-CN"/>
            </w:rPr>
            <w:t>1</w:t>
          </w:r>
          <w:r>
            <w:rPr>
              <w:rFonts w:hint="eastAsia" w:ascii="黑体" w:hAnsi="黑体" w:eastAsia="黑体"/>
              <w:szCs w:val="28"/>
              <w:highlight w:val="none"/>
            </w:rPr>
            <w:t>.</w:t>
          </w:r>
          <w:r>
            <w:rPr>
              <w:rFonts w:hint="eastAsia" w:ascii="黑体" w:hAnsi="黑体" w:eastAsia="黑体"/>
              <w:szCs w:val="28"/>
              <w:highlight w:val="none"/>
              <w:lang w:val="en-US" w:eastAsia="zh-CN"/>
            </w:rPr>
            <w:t>9</w:t>
          </w:r>
          <w:r>
            <w:rPr>
              <w:rFonts w:hint="eastAsia" w:ascii="黑体" w:hAnsi="黑体" w:eastAsia="黑体"/>
              <w:szCs w:val="28"/>
              <w:highlight w:val="none"/>
            </w:rPr>
            <w:t>安全生产协议</w:t>
          </w:r>
          <w:r>
            <w:rPr>
              <w:highlight w:val="none"/>
            </w:rPr>
            <w:tab/>
          </w:r>
          <w:r>
            <w:rPr>
              <w:highlight w:val="none"/>
            </w:rPr>
            <w:fldChar w:fldCharType="begin"/>
          </w:r>
          <w:r>
            <w:rPr>
              <w:highlight w:val="none"/>
            </w:rPr>
            <w:instrText xml:space="preserve"> PAGEREF _Toc14107 \h </w:instrText>
          </w:r>
          <w:r>
            <w:rPr>
              <w:highlight w:val="none"/>
            </w:rPr>
            <w:fldChar w:fldCharType="separate"/>
          </w:r>
          <w:r>
            <w:rPr>
              <w:highlight w:val="none"/>
            </w:rPr>
            <w:t>22</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_Toc4381 </w:instrText>
          </w:r>
          <w:r>
            <w:rPr>
              <w:rFonts w:hint="eastAsia"/>
              <w:highlight w:val="none"/>
            </w:rPr>
            <w:fldChar w:fldCharType="separate"/>
          </w:r>
          <w:r>
            <w:rPr>
              <w:rFonts w:hint="eastAsia" w:ascii="黑体" w:hAnsi="黑体" w:eastAsia="黑体"/>
              <w:szCs w:val="28"/>
              <w:highlight w:val="none"/>
              <w:lang w:val="en-US" w:eastAsia="zh-CN"/>
            </w:rPr>
            <w:t>1.10</w:t>
          </w:r>
          <w:r>
            <w:rPr>
              <w:rFonts w:hint="eastAsia" w:ascii="黑体" w:hAnsi="黑体" w:eastAsia="黑体"/>
              <w:szCs w:val="28"/>
              <w:highlight w:val="none"/>
            </w:rPr>
            <w:t>信息安全承诺</w:t>
          </w:r>
          <w:r>
            <w:rPr>
              <w:highlight w:val="none"/>
            </w:rPr>
            <w:tab/>
          </w:r>
          <w:r>
            <w:rPr>
              <w:highlight w:val="none"/>
            </w:rPr>
            <w:fldChar w:fldCharType="begin"/>
          </w:r>
          <w:r>
            <w:rPr>
              <w:highlight w:val="none"/>
            </w:rPr>
            <w:instrText xml:space="preserve"> PAGEREF _Toc4381 \h </w:instrText>
          </w:r>
          <w:r>
            <w:rPr>
              <w:highlight w:val="none"/>
            </w:rPr>
            <w:fldChar w:fldCharType="separate"/>
          </w:r>
          <w:r>
            <w:rPr>
              <w:highlight w:val="none"/>
            </w:rPr>
            <w:t>23</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_Toc30117 </w:instrText>
          </w:r>
          <w:r>
            <w:rPr>
              <w:rFonts w:hint="eastAsia"/>
              <w:highlight w:val="none"/>
            </w:rPr>
            <w:fldChar w:fldCharType="separate"/>
          </w:r>
          <w:r>
            <w:rPr>
              <w:rFonts w:hint="eastAsia" w:ascii="黑体" w:hAnsi="黑体" w:eastAsia="黑体"/>
              <w:szCs w:val="28"/>
              <w:highlight w:val="none"/>
              <w:lang w:val="en-US" w:eastAsia="zh-CN"/>
            </w:rPr>
            <w:t>1.11网络及设备安全责任承诺</w:t>
          </w:r>
          <w:r>
            <w:rPr>
              <w:highlight w:val="none"/>
            </w:rPr>
            <w:tab/>
          </w:r>
          <w:r>
            <w:rPr>
              <w:highlight w:val="none"/>
            </w:rPr>
            <w:fldChar w:fldCharType="begin"/>
          </w:r>
          <w:r>
            <w:rPr>
              <w:highlight w:val="none"/>
            </w:rPr>
            <w:instrText xml:space="preserve"> PAGEREF _Toc30117 \h </w:instrText>
          </w:r>
          <w:r>
            <w:rPr>
              <w:highlight w:val="none"/>
            </w:rPr>
            <w:fldChar w:fldCharType="separate"/>
          </w:r>
          <w:r>
            <w:rPr>
              <w:highlight w:val="none"/>
            </w:rPr>
            <w:t>25</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_Toc9626 </w:instrText>
          </w:r>
          <w:r>
            <w:rPr>
              <w:rFonts w:hint="eastAsia"/>
              <w:highlight w:val="none"/>
            </w:rPr>
            <w:fldChar w:fldCharType="separate"/>
          </w:r>
          <w:r>
            <w:rPr>
              <w:rFonts w:hint="eastAsia" w:ascii="黑体" w:hAnsi="黑体" w:eastAsia="黑体"/>
              <w:szCs w:val="28"/>
              <w:highlight w:val="none"/>
              <w:lang w:val="en-US" w:eastAsia="zh-CN"/>
            </w:rPr>
            <w:t>1.12</w:t>
          </w:r>
          <w:r>
            <w:rPr>
              <w:rFonts w:hint="eastAsia" w:ascii="黑体" w:hAnsi="黑体" w:eastAsia="黑体"/>
              <w:szCs w:val="28"/>
              <w:highlight w:val="none"/>
            </w:rPr>
            <w:t>供应链安全承诺书</w:t>
          </w:r>
          <w:r>
            <w:rPr>
              <w:rFonts w:hint="eastAsia" w:ascii="黑体" w:hAnsi="黑体" w:eastAsia="黑体"/>
              <w:szCs w:val="28"/>
              <w:highlight w:val="none"/>
              <w:lang w:eastAsia="zh-CN"/>
            </w:rPr>
            <w:t>（</w:t>
          </w:r>
          <w:r>
            <w:rPr>
              <w:rFonts w:hint="eastAsia" w:ascii="黑体" w:hAnsi="黑体" w:eastAsia="黑体"/>
              <w:szCs w:val="28"/>
              <w:highlight w:val="none"/>
            </w:rPr>
            <w:t>网络产品和服务</w:t>
          </w:r>
          <w:r>
            <w:rPr>
              <w:rFonts w:hint="eastAsia" w:ascii="黑体" w:hAnsi="黑体" w:eastAsia="黑体"/>
              <w:szCs w:val="28"/>
              <w:highlight w:val="none"/>
              <w:lang w:val="en-US" w:eastAsia="zh-CN"/>
            </w:rPr>
            <w:t>适用</w:t>
          </w:r>
          <w:r>
            <w:rPr>
              <w:rFonts w:hint="eastAsia" w:ascii="黑体" w:hAnsi="黑体" w:eastAsia="黑体"/>
              <w:szCs w:val="28"/>
              <w:highlight w:val="none"/>
              <w:lang w:eastAsia="zh-CN"/>
            </w:rPr>
            <w:t>）</w:t>
          </w:r>
          <w:r>
            <w:rPr>
              <w:highlight w:val="none"/>
            </w:rPr>
            <w:tab/>
          </w:r>
          <w:r>
            <w:rPr>
              <w:highlight w:val="none"/>
            </w:rPr>
            <w:fldChar w:fldCharType="begin"/>
          </w:r>
          <w:r>
            <w:rPr>
              <w:highlight w:val="none"/>
            </w:rPr>
            <w:instrText xml:space="preserve"> PAGEREF _Toc9626 \h </w:instrText>
          </w:r>
          <w:r>
            <w:rPr>
              <w:highlight w:val="none"/>
            </w:rPr>
            <w:fldChar w:fldCharType="separate"/>
          </w:r>
          <w:r>
            <w:rPr>
              <w:highlight w:val="none"/>
            </w:rPr>
            <w:t>26</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_Toc7553 </w:instrText>
          </w:r>
          <w:r>
            <w:rPr>
              <w:rFonts w:hint="eastAsia"/>
              <w:highlight w:val="none"/>
            </w:rPr>
            <w:fldChar w:fldCharType="separate"/>
          </w:r>
          <w:r>
            <w:rPr>
              <w:rFonts w:hint="eastAsia" w:ascii="黑体" w:hAnsi="黑体" w:eastAsia="黑体"/>
              <w:szCs w:val="28"/>
              <w:highlight w:val="none"/>
              <w:lang w:val="en-US" w:eastAsia="zh-CN"/>
            </w:rPr>
            <w:t>1.13信息</w:t>
          </w:r>
          <w:r>
            <w:rPr>
              <w:rFonts w:hint="eastAsia" w:ascii="黑体" w:hAnsi="黑体" w:eastAsia="黑体"/>
              <w:szCs w:val="28"/>
              <w:highlight w:val="none"/>
            </w:rPr>
            <w:t>保密协议</w:t>
          </w:r>
          <w:r>
            <w:rPr>
              <w:highlight w:val="none"/>
            </w:rPr>
            <w:tab/>
          </w:r>
          <w:r>
            <w:rPr>
              <w:highlight w:val="none"/>
            </w:rPr>
            <w:fldChar w:fldCharType="begin"/>
          </w:r>
          <w:r>
            <w:rPr>
              <w:highlight w:val="none"/>
            </w:rPr>
            <w:instrText xml:space="preserve"> PAGEREF _Toc7553 \h </w:instrText>
          </w:r>
          <w:r>
            <w:rPr>
              <w:highlight w:val="none"/>
            </w:rPr>
            <w:fldChar w:fldCharType="separate"/>
          </w:r>
          <w:r>
            <w:rPr>
              <w:highlight w:val="none"/>
            </w:rPr>
            <w:t>27</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_Toc32036 </w:instrText>
          </w:r>
          <w:r>
            <w:rPr>
              <w:rFonts w:hint="eastAsia"/>
              <w:highlight w:val="none"/>
            </w:rPr>
            <w:fldChar w:fldCharType="separate"/>
          </w:r>
          <w:r>
            <w:rPr>
              <w:rFonts w:hint="eastAsia" w:ascii="黑体" w:hAnsi="黑体" w:eastAsia="黑体"/>
              <w:szCs w:val="28"/>
              <w:highlight w:val="none"/>
              <w:lang w:val="en-US" w:eastAsia="zh-CN"/>
            </w:rPr>
            <w:t>1.14数据安全保密协议</w:t>
          </w:r>
          <w:r>
            <w:rPr>
              <w:highlight w:val="none"/>
            </w:rPr>
            <w:tab/>
          </w:r>
          <w:r>
            <w:rPr>
              <w:highlight w:val="none"/>
            </w:rPr>
            <w:fldChar w:fldCharType="begin"/>
          </w:r>
          <w:r>
            <w:rPr>
              <w:highlight w:val="none"/>
            </w:rPr>
            <w:instrText xml:space="preserve"> PAGEREF _Toc32036 \h </w:instrText>
          </w:r>
          <w:r>
            <w:rPr>
              <w:highlight w:val="none"/>
            </w:rPr>
            <w:fldChar w:fldCharType="separate"/>
          </w:r>
          <w:r>
            <w:rPr>
              <w:highlight w:val="none"/>
            </w:rPr>
            <w:t>28</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_Toc11299 </w:instrText>
          </w:r>
          <w:r>
            <w:rPr>
              <w:rFonts w:hint="eastAsia"/>
              <w:highlight w:val="none"/>
            </w:rPr>
            <w:fldChar w:fldCharType="separate"/>
          </w:r>
          <w:r>
            <w:rPr>
              <w:rFonts w:hint="eastAsia" w:ascii="黑体" w:hAnsi="黑体" w:eastAsia="黑体"/>
              <w:szCs w:val="28"/>
              <w:highlight w:val="none"/>
              <w:lang w:val="en-US" w:eastAsia="zh-CN"/>
            </w:rPr>
            <w:t>1.15安徽移动“五条禁令”要求</w:t>
          </w:r>
          <w:r>
            <w:rPr>
              <w:highlight w:val="none"/>
            </w:rPr>
            <w:tab/>
          </w:r>
          <w:r>
            <w:rPr>
              <w:highlight w:val="none"/>
            </w:rPr>
            <w:fldChar w:fldCharType="begin"/>
          </w:r>
          <w:r>
            <w:rPr>
              <w:highlight w:val="none"/>
            </w:rPr>
            <w:instrText xml:space="preserve"> PAGEREF _Toc11299 \h </w:instrText>
          </w:r>
          <w:r>
            <w:rPr>
              <w:highlight w:val="none"/>
            </w:rPr>
            <w:fldChar w:fldCharType="separate"/>
          </w:r>
          <w:r>
            <w:rPr>
              <w:highlight w:val="none"/>
            </w:rPr>
            <w:t>29</w:t>
          </w:r>
          <w:r>
            <w:rPr>
              <w:highlight w:val="none"/>
            </w:rPr>
            <w:fldChar w:fldCharType="end"/>
          </w:r>
          <w:r>
            <w:rPr>
              <w:rFonts w:hint="eastAsia"/>
              <w:highlight w:val="none"/>
            </w:rPr>
            <w:fldChar w:fldCharType="end"/>
          </w:r>
        </w:p>
        <w:p>
          <w:pPr>
            <w:pStyle w:val="27"/>
            <w:tabs>
              <w:tab w:val="right" w:leader="dot" w:pos="8504"/>
            </w:tabs>
            <w:rPr>
              <w:highlight w:val="none"/>
            </w:rPr>
          </w:pPr>
          <w:r>
            <w:rPr>
              <w:rFonts w:hint="eastAsia"/>
              <w:highlight w:val="none"/>
            </w:rPr>
            <w:fldChar w:fldCharType="begin"/>
          </w:r>
          <w:r>
            <w:rPr>
              <w:rFonts w:hint="eastAsia"/>
              <w:highlight w:val="none"/>
            </w:rPr>
            <w:instrText xml:space="preserve"> HYPERLINK \l _Toc2465 </w:instrText>
          </w:r>
          <w:r>
            <w:rPr>
              <w:rFonts w:hint="eastAsia"/>
              <w:highlight w:val="none"/>
            </w:rPr>
            <w:fldChar w:fldCharType="separate"/>
          </w:r>
          <w:r>
            <w:rPr>
              <w:rFonts w:hint="eastAsia" w:ascii="黑体" w:hAnsi="黑体" w:eastAsia="黑体"/>
              <w:szCs w:val="28"/>
              <w:highlight w:val="none"/>
              <w:lang w:val="en-US" w:eastAsia="zh-CN"/>
            </w:rPr>
            <w:t>1.16 研发项目承诺（研发项目适用）</w:t>
          </w:r>
          <w:r>
            <w:rPr>
              <w:highlight w:val="none"/>
            </w:rPr>
            <w:tab/>
          </w:r>
          <w:r>
            <w:rPr>
              <w:highlight w:val="none"/>
            </w:rPr>
            <w:fldChar w:fldCharType="begin"/>
          </w:r>
          <w:r>
            <w:rPr>
              <w:highlight w:val="none"/>
            </w:rPr>
            <w:instrText xml:space="preserve"> PAGEREF _Toc2465 \h </w:instrText>
          </w:r>
          <w:r>
            <w:rPr>
              <w:highlight w:val="none"/>
            </w:rPr>
            <w:fldChar w:fldCharType="separate"/>
          </w:r>
          <w:r>
            <w:rPr>
              <w:highlight w:val="none"/>
            </w:rPr>
            <w:t>30</w:t>
          </w:r>
          <w:r>
            <w:rPr>
              <w:highlight w:val="none"/>
            </w:rPr>
            <w:fldChar w:fldCharType="end"/>
          </w:r>
          <w:r>
            <w:rPr>
              <w:rFonts w:hint="eastAsia"/>
              <w:highlight w:val="none"/>
            </w:rPr>
            <w:fldChar w:fldCharType="end"/>
          </w:r>
        </w:p>
        <w:p>
          <w:pPr>
            <w:pStyle w:val="2"/>
            <w:rPr>
              <w:rFonts w:hint="eastAsia"/>
              <w:highlight w:val="none"/>
            </w:rPr>
          </w:pPr>
          <w:r>
            <w:rPr>
              <w:rFonts w:hint="eastAsia"/>
              <w:highlight w:val="none"/>
            </w:rPr>
            <w:fldChar w:fldCharType="end"/>
          </w:r>
        </w:p>
      </w:sdtContent>
    </w:sdt>
    <w:p>
      <w:pPr>
        <w:rPr>
          <w:rFonts w:ascii="黑体" w:hAnsi="黑体" w:eastAsia="黑体"/>
          <w:sz w:val="32"/>
          <w:szCs w:val="32"/>
          <w:highlight w:val="none"/>
        </w:rPr>
      </w:pPr>
      <w:r>
        <w:rPr>
          <w:rFonts w:ascii="黑体" w:hAnsi="黑体" w:eastAsia="黑体"/>
          <w:sz w:val="32"/>
          <w:szCs w:val="32"/>
          <w:highlight w:val="none"/>
        </w:rPr>
        <w:br w:type="page"/>
      </w:r>
    </w:p>
    <w:p>
      <w:pPr>
        <w:pStyle w:val="6"/>
        <w:spacing w:before="0" w:after="0" w:line="240" w:lineRule="auto"/>
        <w:jc w:val="center"/>
        <w:outlineLvl w:val="0"/>
        <w:rPr>
          <w:rFonts w:ascii="黑体" w:hAnsi="黑体" w:eastAsia="黑体"/>
          <w:b w:val="0"/>
          <w:sz w:val="28"/>
          <w:szCs w:val="28"/>
          <w:highlight w:val="none"/>
        </w:rPr>
      </w:pPr>
      <w:bookmarkStart w:id="1" w:name="_Toc1947"/>
      <w:r>
        <w:rPr>
          <w:rFonts w:hint="eastAsia" w:ascii="黑体" w:hAnsi="黑体" w:eastAsia="黑体"/>
          <w:b w:val="0"/>
          <w:sz w:val="28"/>
          <w:szCs w:val="28"/>
          <w:highlight w:val="none"/>
          <w:lang w:val="en-US" w:eastAsia="zh-CN"/>
        </w:rPr>
        <w:t xml:space="preserve">1.1 </w:t>
      </w:r>
      <w:r>
        <w:rPr>
          <w:rFonts w:hint="eastAsia" w:ascii="黑体" w:hAnsi="黑体" w:eastAsia="黑体"/>
          <w:b w:val="0"/>
          <w:sz w:val="28"/>
          <w:szCs w:val="28"/>
          <w:highlight w:val="none"/>
        </w:rPr>
        <w:t>安徽移动产品质量违约处理规则</w:t>
      </w:r>
      <w:bookmarkEnd w:id="1"/>
    </w:p>
    <w:p>
      <w:pPr>
        <w:ind w:firstLine="420" w:firstLineChars="200"/>
        <w:rPr>
          <w:rFonts w:ascii="宋体" w:hAnsi="宋体" w:eastAsia="宋体"/>
          <w:bCs/>
          <w:color w:val="000000"/>
          <w:szCs w:val="21"/>
          <w:highlight w:val="none"/>
        </w:rPr>
      </w:pPr>
      <w:r>
        <w:rPr>
          <w:rFonts w:hint="eastAsia" w:ascii="宋体" w:hAnsi="宋体" w:eastAsia="宋体"/>
          <w:bCs/>
          <w:color w:val="000000"/>
          <w:szCs w:val="21"/>
          <w:highlight w:val="none"/>
        </w:rPr>
        <w:t>一、本规则所称产品是指供应商（“乙方”）向安徽移动（“甲方”）提供的满足需求的有形的设备、货物或服务（以下统称“产品”）。</w:t>
      </w:r>
    </w:p>
    <w:p>
      <w:pPr>
        <w:ind w:firstLine="420" w:firstLineChars="200"/>
        <w:rPr>
          <w:rFonts w:ascii="宋体" w:hAnsi="宋体" w:eastAsia="宋体"/>
          <w:bCs/>
          <w:color w:val="000000"/>
          <w:szCs w:val="21"/>
          <w:highlight w:val="none"/>
        </w:rPr>
      </w:pPr>
      <w:r>
        <w:rPr>
          <w:rFonts w:hint="eastAsia" w:ascii="宋体" w:hAnsi="宋体" w:eastAsia="宋体"/>
          <w:bCs/>
          <w:szCs w:val="21"/>
          <w:highlight w:val="none"/>
        </w:rPr>
        <w:t>二、本</w:t>
      </w:r>
      <w:r>
        <w:rPr>
          <w:rFonts w:hint="eastAsia" w:ascii="宋体" w:hAnsi="宋体" w:eastAsia="宋体"/>
          <w:bCs/>
          <w:color w:val="000000"/>
          <w:szCs w:val="21"/>
          <w:highlight w:val="none"/>
        </w:rPr>
        <w:t>规则</w:t>
      </w:r>
      <w:r>
        <w:rPr>
          <w:rFonts w:hint="eastAsia" w:ascii="宋体" w:hAnsi="宋体" w:eastAsia="宋体"/>
          <w:bCs/>
          <w:szCs w:val="21"/>
          <w:highlight w:val="none"/>
        </w:rPr>
        <w:t>所称产品质量问题是指乙方提供的产品由于不符合技术规范要求（包括设计、制造、运输、储存、交付、实施、售后服务等过程）给甲方带来的各类问题和风险（不包括甲方安装、使用、维护不当及不可抗力等因素）。</w:t>
      </w:r>
    </w:p>
    <w:p>
      <w:pPr>
        <w:ind w:firstLine="420" w:firstLineChars="200"/>
        <w:rPr>
          <w:rFonts w:ascii="宋体" w:hAnsi="宋体" w:eastAsia="宋体"/>
          <w:bCs/>
          <w:kern w:val="0"/>
          <w:szCs w:val="21"/>
          <w:highlight w:val="none"/>
        </w:rPr>
      </w:pPr>
      <w:bookmarkStart w:id="2" w:name="_Hlk56591717"/>
      <w:r>
        <w:rPr>
          <w:rFonts w:hint="eastAsia" w:ascii="宋体" w:hAnsi="宋体" w:eastAsia="宋体"/>
          <w:bCs/>
          <w:szCs w:val="21"/>
          <w:highlight w:val="none"/>
        </w:rPr>
        <w:t>三、甲方通过开展到货验收、自检、第三方送检、飞行检测/检查、驻厂检测、现场考评等方式，对乙方提供的产品质量进行全方位监测</w:t>
      </w:r>
      <w:bookmarkStart w:id="3" w:name="_Hlk44918172"/>
      <w:r>
        <w:rPr>
          <w:rFonts w:hint="eastAsia" w:ascii="宋体" w:hAnsi="宋体" w:eastAsia="宋体"/>
          <w:bCs/>
          <w:szCs w:val="21"/>
          <w:highlight w:val="none"/>
        </w:rPr>
        <w:t>，必要时可邀请乙方参与到货抽样、质量检测等环节监督工作。</w:t>
      </w:r>
      <w:r>
        <w:rPr>
          <w:rFonts w:hint="eastAsia" w:ascii="宋体" w:hAnsi="宋体" w:eastAsia="宋体"/>
          <w:bCs/>
          <w:kern w:val="0"/>
          <w:szCs w:val="21"/>
          <w:highlight w:val="none"/>
        </w:rPr>
        <w:t>若乙方对检测结果有异议，可在收到检测结果通知后</w:t>
      </w:r>
      <w:r>
        <w:rPr>
          <w:rFonts w:ascii="宋体" w:hAnsi="宋体" w:eastAsia="宋体"/>
          <w:bCs/>
          <w:kern w:val="0"/>
          <w:szCs w:val="21"/>
          <w:highlight w:val="none"/>
        </w:rPr>
        <w:t>15</w:t>
      </w:r>
      <w:r>
        <w:rPr>
          <w:rFonts w:hint="eastAsia" w:ascii="宋体" w:hAnsi="宋体" w:eastAsia="宋体"/>
          <w:bCs/>
          <w:kern w:val="0"/>
          <w:szCs w:val="21"/>
          <w:highlight w:val="none"/>
        </w:rPr>
        <w:t>日内向甲方书面反馈。乙方提出的异议应建立在客观事实基础上，乙方无正当理由拒不确认检测结果的，视为乙方同意甲方检测结果。</w:t>
      </w:r>
    </w:p>
    <w:p>
      <w:pPr>
        <w:ind w:firstLine="420" w:firstLineChars="200"/>
        <w:rPr>
          <w:rFonts w:ascii="宋体" w:hAnsi="宋体" w:eastAsia="宋体"/>
          <w:bCs/>
          <w:szCs w:val="21"/>
          <w:highlight w:val="none"/>
        </w:rPr>
      </w:pPr>
      <w:r>
        <w:rPr>
          <w:rFonts w:hint="eastAsia" w:ascii="宋体" w:hAnsi="宋体" w:eastAsia="宋体"/>
          <w:bCs/>
          <w:szCs w:val="21"/>
          <w:highlight w:val="none"/>
        </w:rPr>
        <w:t>四、对于质量不合格/有缺陷、部件存在缺失的问题产品，供应商应立即无条件更换或者补齐，包括所有已建/已用、在建/在用、已采购未建/未用的同种型号产品，由此引发的相关费用由供应商免费承担（包括但不限于产品更换补齐过程中发生的拆除、安装、仓储、物流等相关费用）。供应商应在规定的时限内完成产品更换补齐工作。</w:t>
      </w:r>
    </w:p>
    <w:p>
      <w:pPr>
        <w:ind w:firstLine="420" w:firstLineChars="200"/>
        <w:rPr>
          <w:rFonts w:ascii="宋体" w:hAnsi="宋体" w:eastAsia="宋体"/>
          <w:bCs/>
          <w:szCs w:val="21"/>
          <w:highlight w:val="none"/>
        </w:rPr>
      </w:pPr>
      <w:r>
        <w:rPr>
          <w:rFonts w:hint="eastAsia" w:ascii="宋体" w:hAnsi="宋体" w:eastAsia="宋体"/>
          <w:bCs/>
          <w:szCs w:val="21"/>
          <w:highlight w:val="none"/>
        </w:rPr>
        <w:t>五、对于已建/已用、在建/在用且无法更换的问题产品，由双方协商解决方案，包括但不限于采取延长质保期限、寻求经济补偿等方式。</w:t>
      </w:r>
    </w:p>
    <w:p>
      <w:pPr>
        <w:ind w:firstLine="420" w:firstLineChars="200"/>
        <w:rPr>
          <w:rFonts w:ascii="宋体" w:hAnsi="宋体" w:eastAsia="宋体"/>
          <w:bCs/>
          <w:szCs w:val="21"/>
          <w:highlight w:val="none"/>
        </w:rPr>
      </w:pPr>
      <w:r>
        <w:rPr>
          <w:rFonts w:hint="eastAsia" w:ascii="宋体" w:hAnsi="宋体" w:eastAsia="宋体"/>
          <w:bCs/>
          <w:szCs w:val="21"/>
          <w:highlight w:val="none"/>
        </w:rPr>
        <w:t>（一）产品检测结果判定不合格，甲方可按照问题产品金额1</w:t>
      </w:r>
      <w:r>
        <w:rPr>
          <w:rFonts w:ascii="宋体" w:hAnsi="宋体" w:eastAsia="宋体"/>
          <w:bCs/>
          <w:szCs w:val="21"/>
          <w:highlight w:val="none"/>
        </w:rPr>
        <w:t>00</w:t>
      </w:r>
      <w:r>
        <w:rPr>
          <w:rFonts w:hint="eastAsia" w:ascii="宋体" w:hAnsi="宋体" w:eastAsia="宋体"/>
          <w:bCs/>
          <w:szCs w:val="21"/>
          <w:highlight w:val="none"/>
        </w:rPr>
        <w:t>%向乙方寻求经济补偿；</w:t>
      </w:r>
    </w:p>
    <w:p>
      <w:pPr>
        <w:ind w:firstLine="420" w:firstLineChars="200"/>
        <w:rPr>
          <w:rFonts w:ascii="宋体" w:hAnsi="宋体" w:eastAsia="宋体"/>
          <w:bCs/>
          <w:szCs w:val="21"/>
          <w:highlight w:val="none"/>
        </w:rPr>
      </w:pPr>
      <w:r>
        <w:rPr>
          <w:rFonts w:hint="eastAsia" w:ascii="宋体" w:hAnsi="宋体" w:eastAsia="宋体"/>
          <w:bCs/>
          <w:szCs w:val="21"/>
          <w:highlight w:val="none"/>
        </w:rPr>
        <w:t>（二）产品检测结果判定有缺陷，甲方可按照问题产品金额</w:t>
      </w:r>
      <w:r>
        <w:rPr>
          <w:rFonts w:ascii="宋体" w:hAnsi="宋体" w:eastAsia="宋体"/>
          <w:bCs/>
          <w:szCs w:val="21"/>
          <w:highlight w:val="none"/>
        </w:rPr>
        <w:t>30</w:t>
      </w:r>
      <w:r>
        <w:rPr>
          <w:rFonts w:hint="eastAsia" w:ascii="宋体" w:hAnsi="宋体" w:eastAsia="宋体"/>
          <w:bCs/>
          <w:szCs w:val="21"/>
          <w:highlight w:val="none"/>
        </w:rPr>
        <w:t>%向乙方寻求经济补偿；</w:t>
      </w:r>
    </w:p>
    <w:p>
      <w:pPr>
        <w:ind w:firstLine="420" w:firstLineChars="200"/>
        <w:rPr>
          <w:rFonts w:ascii="宋体" w:hAnsi="宋体" w:eastAsia="宋体"/>
          <w:bCs/>
          <w:szCs w:val="21"/>
          <w:highlight w:val="none"/>
        </w:rPr>
      </w:pPr>
      <w:r>
        <w:rPr>
          <w:rFonts w:hint="eastAsia" w:ascii="宋体" w:hAnsi="宋体" w:eastAsia="宋体"/>
          <w:bCs/>
          <w:szCs w:val="21"/>
          <w:highlight w:val="none"/>
        </w:rPr>
        <w:t>（三）产品部件出现缺失，甲方可按照问题产品缺失部件金额</w:t>
      </w:r>
      <w:r>
        <w:rPr>
          <w:rFonts w:ascii="宋体" w:hAnsi="宋体" w:eastAsia="宋体"/>
          <w:bCs/>
          <w:szCs w:val="21"/>
          <w:highlight w:val="none"/>
        </w:rPr>
        <w:t>100</w:t>
      </w:r>
      <w:r>
        <w:rPr>
          <w:rFonts w:hint="eastAsia" w:ascii="宋体" w:hAnsi="宋体" w:eastAsia="宋体"/>
          <w:bCs/>
          <w:szCs w:val="21"/>
          <w:highlight w:val="none"/>
        </w:rPr>
        <w:t>%向乙方寻求经济补偿；</w:t>
      </w:r>
    </w:p>
    <w:p>
      <w:pPr>
        <w:ind w:firstLine="420" w:firstLineChars="200"/>
        <w:rPr>
          <w:rFonts w:ascii="宋体" w:hAnsi="宋体" w:eastAsia="宋体"/>
          <w:bCs/>
          <w:szCs w:val="21"/>
          <w:highlight w:val="none"/>
        </w:rPr>
      </w:pPr>
      <w:r>
        <w:rPr>
          <w:rFonts w:hint="eastAsia" w:ascii="宋体" w:hAnsi="宋体" w:eastAsia="宋体"/>
          <w:bCs/>
          <w:szCs w:val="21"/>
          <w:highlight w:val="none"/>
        </w:rPr>
        <w:t>（四）检测结果判定不合格或有缺陷产品，检测数值如满足采购技术规范标准（不满足供应商应答结果），经济补偿标准可在上述基础上再减半执行。</w:t>
      </w:r>
    </w:p>
    <w:p>
      <w:pPr>
        <w:ind w:firstLine="420" w:firstLineChars="200"/>
        <w:rPr>
          <w:rFonts w:ascii="宋体" w:hAnsi="宋体" w:eastAsia="宋体"/>
          <w:bCs/>
          <w:szCs w:val="21"/>
          <w:highlight w:val="none"/>
        </w:rPr>
      </w:pPr>
      <w:r>
        <w:rPr>
          <w:rFonts w:hint="eastAsia" w:ascii="宋体" w:hAnsi="宋体" w:eastAsia="宋体"/>
          <w:bCs/>
          <w:szCs w:val="21"/>
          <w:highlight w:val="none"/>
        </w:rPr>
        <w:t>六、根据供应商质量违约情形，安徽移动将追究供应商相应的违约责任，向供应商收取质量违约金：</w:t>
      </w:r>
    </w:p>
    <w:p>
      <w:pPr>
        <w:ind w:firstLine="420" w:firstLineChars="200"/>
        <w:rPr>
          <w:rFonts w:ascii="宋体" w:hAnsi="宋体" w:eastAsia="宋体"/>
          <w:bCs/>
          <w:szCs w:val="21"/>
          <w:highlight w:val="none"/>
        </w:rPr>
      </w:pPr>
      <w:r>
        <w:rPr>
          <w:rFonts w:hint="eastAsia" w:ascii="宋体" w:hAnsi="宋体" w:eastAsia="宋体"/>
          <w:bCs/>
          <w:szCs w:val="21"/>
          <w:highlight w:val="none"/>
        </w:rPr>
        <w:t>（一）供应商有下列情形之一的，属于一般质量违约情形</w:t>
      </w:r>
    </w:p>
    <w:p>
      <w:pPr>
        <w:ind w:firstLine="420" w:firstLineChars="200"/>
        <w:rPr>
          <w:rFonts w:ascii="宋体" w:hAnsi="宋体" w:eastAsia="宋体"/>
          <w:bCs/>
          <w:szCs w:val="21"/>
          <w:highlight w:val="none"/>
        </w:rPr>
      </w:pPr>
      <w:r>
        <w:rPr>
          <w:rFonts w:hint="eastAsia" w:ascii="宋体" w:hAnsi="宋体" w:eastAsia="宋体"/>
          <w:bCs/>
          <w:szCs w:val="21"/>
          <w:highlight w:val="none"/>
        </w:rPr>
        <w:t>1.产品检测结果判定为合格，但出现缺陷指标。</w:t>
      </w:r>
    </w:p>
    <w:p>
      <w:pPr>
        <w:ind w:firstLine="420" w:firstLineChars="200"/>
        <w:rPr>
          <w:rFonts w:ascii="宋体" w:hAnsi="宋体" w:eastAsia="宋体"/>
          <w:bCs/>
          <w:szCs w:val="21"/>
          <w:highlight w:val="none"/>
        </w:rPr>
      </w:pPr>
      <w:r>
        <w:rPr>
          <w:rFonts w:hint="eastAsia" w:ascii="宋体" w:hAnsi="宋体" w:eastAsia="宋体"/>
          <w:bCs/>
          <w:szCs w:val="21"/>
          <w:highlight w:val="none"/>
        </w:rPr>
        <w:t>2.供应商未按照框架协议或合同要求提供完整的产品，出现产品非关键部件缺失。</w:t>
      </w:r>
    </w:p>
    <w:p>
      <w:pPr>
        <w:ind w:firstLine="420" w:firstLineChars="200"/>
        <w:rPr>
          <w:rFonts w:ascii="宋体" w:hAnsi="宋体" w:eastAsia="宋体"/>
          <w:bCs/>
          <w:szCs w:val="21"/>
          <w:highlight w:val="none"/>
        </w:rPr>
      </w:pPr>
      <w:r>
        <w:rPr>
          <w:rFonts w:hint="eastAsia" w:ascii="宋体" w:hAnsi="宋体" w:eastAsia="宋体"/>
          <w:bCs/>
          <w:szCs w:val="21"/>
          <w:highlight w:val="none"/>
        </w:rPr>
        <w:t>3.其他经安徽移动认定为一般质量违约情形的。</w:t>
      </w:r>
    </w:p>
    <w:p>
      <w:pPr>
        <w:ind w:firstLine="420" w:firstLineChars="200"/>
        <w:rPr>
          <w:rFonts w:ascii="宋体" w:hAnsi="宋体" w:eastAsia="宋体"/>
          <w:bCs/>
          <w:szCs w:val="21"/>
          <w:highlight w:val="none"/>
        </w:rPr>
      </w:pPr>
      <w:r>
        <w:rPr>
          <w:rFonts w:hint="eastAsia" w:ascii="宋体" w:hAnsi="宋体" w:eastAsia="宋体"/>
          <w:bCs/>
          <w:szCs w:val="21"/>
          <w:highlight w:val="none"/>
        </w:rPr>
        <w:t>（二）供应商有下列情形之一的，属于严重质量违约情形</w:t>
      </w:r>
    </w:p>
    <w:p>
      <w:pPr>
        <w:ind w:firstLine="420" w:firstLineChars="200"/>
        <w:rPr>
          <w:rFonts w:ascii="宋体" w:hAnsi="宋体" w:eastAsia="宋体"/>
          <w:bCs/>
          <w:szCs w:val="21"/>
          <w:highlight w:val="none"/>
        </w:rPr>
      </w:pPr>
      <w:r>
        <w:rPr>
          <w:rFonts w:hint="eastAsia" w:ascii="宋体" w:hAnsi="宋体" w:eastAsia="宋体"/>
          <w:bCs/>
          <w:szCs w:val="21"/>
          <w:highlight w:val="none"/>
        </w:rPr>
        <w:t>1.产品检测结果判定为不合格。</w:t>
      </w:r>
    </w:p>
    <w:p>
      <w:pPr>
        <w:ind w:firstLine="420" w:firstLineChars="200"/>
        <w:rPr>
          <w:rFonts w:ascii="宋体" w:hAnsi="宋体" w:eastAsia="宋体"/>
          <w:bCs/>
          <w:szCs w:val="21"/>
          <w:highlight w:val="none"/>
        </w:rPr>
      </w:pPr>
      <w:r>
        <w:rPr>
          <w:rFonts w:ascii="宋体" w:hAnsi="宋体" w:eastAsia="宋体"/>
          <w:bCs/>
          <w:szCs w:val="21"/>
          <w:highlight w:val="none"/>
        </w:rPr>
        <w:t>2</w:t>
      </w:r>
      <w:r>
        <w:rPr>
          <w:rFonts w:hint="eastAsia" w:ascii="宋体" w:hAnsi="宋体" w:eastAsia="宋体"/>
          <w:bCs/>
          <w:szCs w:val="21"/>
          <w:highlight w:val="none"/>
        </w:rPr>
        <w:t>.产品检测结果判定为合格但有缺陷指标，经甲方需求主管部门牵头鉴定，产品缺陷对安徽移动网络运行、安全生产存在严重问题隐患。</w:t>
      </w:r>
    </w:p>
    <w:p>
      <w:pPr>
        <w:ind w:firstLine="420" w:firstLineChars="200"/>
        <w:rPr>
          <w:rFonts w:ascii="宋体" w:hAnsi="宋体" w:eastAsia="宋体"/>
          <w:bCs/>
          <w:szCs w:val="21"/>
          <w:highlight w:val="none"/>
        </w:rPr>
      </w:pPr>
      <w:r>
        <w:rPr>
          <w:rFonts w:ascii="宋体" w:hAnsi="宋体" w:eastAsia="宋体"/>
          <w:bCs/>
          <w:szCs w:val="21"/>
          <w:highlight w:val="none"/>
        </w:rPr>
        <w:t>3</w:t>
      </w:r>
      <w:r>
        <w:rPr>
          <w:rFonts w:hint="eastAsia" w:ascii="宋体" w:hAnsi="宋体" w:eastAsia="宋体"/>
          <w:bCs/>
          <w:szCs w:val="21"/>
          <w:highlight w:val="none"/>
        </w:rPr>
        <w:t>.供应商未按照框架协议或合同要求提供完整的产品，出现产品关键部件缺失。</w:t>
      </w:r>
    </w:p>
    <w:p>
      <w:pPr>
        <w:ind w:firstLine="420" w:firstLineChars="200"/>
        <w:rPr>
          <w:rFonts w:ascii="宋体" w:hAnsi="宋体" w:eastAsia="宋体"/>
          <w:bCs/>
          <w:szCs w:val="21"/>
          <w:highlight w:val="none"/>
        </w:rPr>
      </w:pPr>
      <w:r>
        <w:rPr>
          <w:rFonts w:ascii="宋体" w:hAnsi="宋体" w:eastAsia="宋体"/>
          <w:bCs/>
          <w:szCs w:val="21"/>
          <w:highlight w:val="none"/>
        </w:rPr>
        <w:t>4</w:t>
      </w:r>
      <w:r>
        <w:rPr>
          <w:rFonts w:hint="eastAsia" w:ascii="宋体" w:hAnsi="宋体" w:eastAsia="宋体"/>
          <w:bCs/>
          <w:szCs w:val="21"/>
          <w:highlight w:val="none"/>
        </w:rPr>
        <w:t>.产品未开展质量检测，但供应商故意降低产品质量标准，被甲方需求单位或者第三方投诉且经核实后确认投诉有效。</w:t>
      </w:r>
    </w:p>
    <w:p>
      <w:pPr>
        <w:ind w:firstLine="420" w:firstLineChars="200"/>
        <w:rPr>
          <w:rFonts w:ascii="宋体" w:hAnsi="宋体" w:eastAsia="宋体"/>
          <w:bCs/>
          <w:szCs w:val="21"/>
          <w:highlight w:val="none"/>
        </w:rPr>
      </w:pPr>
      <w:r>
        <w:rPr>
          <w:rFonts w:ascii="宋体" w:hAnsi="宋体" w:eastAsia="宋体"/>
          <w:bCs/>
          <w:szCs w:val="21"/>
          <w:highlight w:val="none"/>
        </w:rPr>
        <w:t>5</w:t>
      </w:r>
      <w:r>
        <w:rPr>
          <w:rFonts w:hint="eastAsia" w:ascii="宋体" w:hAnsi="宋体" w:eastAsia="宋体"/>
          <w:bCs/>
          <w:szCs w:val="21"/>
          <w:highlight w:val="none"/>
        </w:rPr>
        <w:t>.其他经安徽移动认定为严重质量违约情形的。</w:t>
      </w:r>
    </w:p>
    <w:p>
      <w:pPr>
        <w:ind w:firstLine="420" w:firstLineChars="200"/>
        <w:rPr>
          <w:rFonts w:ascii="宋体" w:hAnsi="宋体" w:eastAsia="宋体"/>
          <w:bCs/>
          <w:szCs w:val="21"/>
          <w:highlight w:val="none"/>
        </w:rPr>
      </w:pPr>
      <w:r>
        <w:rPr>
          <w:rFonts w:hint="eastAsia" w:ascii="宋体" w:hAnsi="宋体" w:eastAsia="宋体"/>
          <w:bCs/>
          <w:szCs w:val="21"/>
          <w:highlight w:val="none"/>
        </w:rPr>
        <w:t>（三）供应商有下列情形之一的，属于特别严重质量违约情形</w:t>
      </w:r>
    </w:p>
    <w:p>
      <w:pPr>
        <w:ind w:firstLine="420" w:firstLineChars="200"/>
        <w:rPr>
          <w:rFonts w:ascii="宋体" w:hAnsi="宋体" w:eastAsia="宋体"/>
          <w:bCs/>
          <w:szCs w:val="21"/>
          <w:highlight w:val="none"/>
        </w:rPr>
      </w:pPr>
      <w:r>
        <w:rPr>
          <w:rFonts w:hint="eastAsia" w:ascii="宋体" w:hAnsi="宋体" w:eastAsia="宋体"/>
          <w:bCs/>
          <w:szCs w:val="21"/>
          <w:highlight w:val="none"/>
        </w:rPr>
        <w:t>1.因为供应商产品质量问题造成安徽移动网络故障，或者造成安徽移动发生安全生产事故，或者对安徽移动造成其他较大负面影响。</w:t>
      </w:r>
    </w:p>
    <w:p>
      <w:pPr>
        <w:ind w:firstLine="420" w:firstLineChars="200"/>
        <w:rPr>
          <w:rFonts w:ascii="宋体" w:hAnsi="宋体" w:eastAsia="宋体"/>
          <w:bCs/>
          <w:szCs w:val="21"/>
          <w:highlight w:val="none"/>
        </w:rPr>
      </w:pPr>
      <w:r>
        <w:rPr>
          <w:rFonts w:ascii="宋体" w:hAnsi="宋体" w:eastAsia="宋体"/>
          <w:bCs/>
          <w:szCs w:val="21"/>
          <w:highlight w:val="none"/>
        </w:rPr>
        <w:t>2</w:t>
      </w:r>
      <w:r>
        <w:rPr>
          <w:rFonts w:hint="eastAsia" w:ascii="宋体" w:hAnsi="宋体" w:eastAsia="宋体"/>
          <w:bCs/>
          <w:szCs w:val="21"/>
          <w:highlight w:val="none"/>
        </w:rPr>
        <w:t>.检测过程中，供应商违规替换检测样品、与检测单位串通伪造检测结果、</w:t>
      </w:r>
      <w:r>
        <w:rPr>
          <w:rFonts w:ascii="宋体" w:hAnsi="宋体" w:eastAsia="宋体"/>
          <w:bCs/>
          <w:szCs w:val="21"/>
          <w:highlight w:val="none"/>
        </w:rPr>
        <w:t>向</w:t>
      </w:r>
      <w:r>
        <w:rPr>
          <w:rFonts w:hint="default" w:ascii="宋体" w:hAnsi="宋体" w:eastAsia="宋体"/>
          <w:bCs/>
          <w:szCs w:val="21"/>
          <w:highlight w:val="none"/>
          <w:lang w:val="en-US"/>
        </w:rPr>
        <w:t>采购人</w:t>
      </w:r>
      <w:r>
        <w:rPr>
          <w:rFonts w:hint="eastAsia" w:ascii="宋体" w:hAnsi="宋体" w:eastAsia="宋体"/>
          <w:bCs/>
          <w:szCs w:val="21"/>
          <w:highlight w:val="none"/>
        </w:rPr>
        <w:t>或</w:t>
      </w:r>
      <w:r>
        <w:rPr>
          <w:rFonts w:ascii="宋体" w:hAnsi="宋体" w:eastAsia="宋体"/>
          <w:bCs/>
          <w:szCs w:val="21"/>
          <w:highlight w:val="none"/>
        </w:rPr>
        <w:t>检测单位等相关方及相关人员行贿或违法违规提供不正当利益</w:t>
      </w:r>
      <w:r>
        <w:rPr>
          <w:rFonts w:hint="eastAsia" w:ascii="宋体" w:hAnsi="宋体" w:eastAsia="宋体"/>
          <w:bCs/>
          <w:szCs w:val="21"/>
          <w:highlight w:val="none"/>
        </w:rPr>
        <w:t>。</w:t>
      </w:r>
    </w:p>
    <w:p>
      <w:pPr>
        <w:ind w:firstLine="420" w:firstLineChars="200"/>
        <w:rPr>
          <w:rFonts w:ascii="宋体" w:hAnsi="宋体" w:eastAsia="宋体"/>
          <w:bCs/>
          <w:szCs w:val="21"/>
          <w:highlight w:val="none"/>
        </w:rPr>
      </w:pPr>
      <w:r>
        <w:rPr>
          <w:rFonts w:ascii="宋体" w:hAnsi="宋体" w:eastAsia="宋体"/>
          <w:bCs/>
          <w:szCs w:val="21"/>
          <w:highlight w:val="none"/>
        </w:rPr>
        <w:t>3.其他经安徽移动认定为特别严重质量违约情形的。</w:t>
      </w:r>
    </w:p>
    <w:p>
      <w:pPr>
        <w:ind w:firstLine="420" w:firstLineChars="200"/>
        <w:rPr>
          <w:rFonts w:ascii="宋体" w:hAnsi="宋体" w:eastAsia="宋体"/>
          <w:bCs/>
          <w:szCs w:val="21"/>
          <w:highlight w:val="none"/>
        </w:rPr>
      </w:pPr>
      <w:r>
        <w:rPr>
          <w:rFonts w:hint="eastAsia" w:ascii="宋体" w:hAnsi="宋体" w:eastAsia="宋体"/>
          <w:bCs/>
          <w:szCs w:val="21"/>
          <w:highlight w:val="none"/>
        </w:rPr>
        <w:t>（四）各类情形对应的质量违约金收取标准如下：</w:t>
      </w:r>
    </w:p>
    <w:p>
      <w:pPr>
        <w:ind w:firstLine="420" w:firstLineChars="200"/>
        <w:rPr>
          <w:rFonts w:ascii="宋体" w:hAnsi="宋体" w:eastAsia="宋体"/>
          <w:bCs/>
          <w:szCs w:val="21"/>
          <w:highlight w:val="none"/>
        </w:rPr>
      </w:pPr>
      <w:r>
        <w:rPr>
          <w:rFonts w:hint="eastAsia" w:ascii="宋体" w:hAnsi="宋体" w:eastAsia="宋体"/>
          <w:bCs/>
          <w:szCs w:val="21"/>
          <w:highlight w:val="none"/>
        </w:rPr>
        <w:t>1.出现一般质量违约情形，可处以问题产品金额</w:t>
      </w:r>
      <w:r>
        <w:rPr>
          <w:rFonts w:ascii="宋体" w:hAnsi="宋体" w:eastAsia="宋体"/>
          <w:bCs/>
          <w:szCs w:val="21"/>
          <w:highlight w:val="none"/>
        </w:rPr>
        <w:t>1</w:t>
      </w:r>
      <w:r>
        <w:rPr>
          <w:rFonts w:hint="eastAsia" w:ascii="宋体" w:hAnsi="宋体" w:eastAsia="宋体"/>
          <w:bCs/>
          <w:szCs w:val="21"/>
          <w:highlight w:val="none"/>
        </w:rPr>
        <w:t>0%质量违约金。</w:t>
      </w:r>
    </w:p>
    <w:p>
      <w:pPr>
        <w:ind w:firstLine="420" w:firstLineChars="200"/>
        <w:rPr>
          <w:rFonts w:ascii="宋体" w:hAnsi="宋体" w:eastAsia="宋体"/>
          <w:bCs/>
          <w:szCs w:val="21"/>
          <w:highlight w:val="none"/>
        </w:rPr>
      </w:pPr>
      <w:r>
        <w:rPr>
          <w:rFonts w:hint="eastAsia" w:ascii="宋体" w:hAnsi="宋体" w:eastAsia="宋体"/>
          <w:bCs/>
          <w:szCs w:val="21"/>
          <w:highlight w:val="none"/>
        </w:rPr>
        <w:t>2.出现严重质量违约情形，可处以问题产品金额</w:t>
      </w:r>
      <w:r>
        <w:rPr>
          <w:rFonts w:ascii="宋体" w:hAnsi="宋体" w:eastAsia="宋体"/>
          <w:bCs/>
          <w:szCs w:val="21"/>
          <w:highlight w:val="none"/>
        </w:rPr>
        <w:t>20</w:t>
      </w:r>
      <w:r>
        <w:rPr>
          <w:rFonts w:hint="eastAsia" w:ascii="宋体" w:hAnsi="宋体" w:eastAsia="宋体"/>
          <w:bCs/>
          <w:szCs w:val="21"/>
          <w:highlight w:val="none"/>
        </w:rPr>
        <w:t>%质量违约金。</w:t>
      </w:r>
    </w:p>
    <w:p>
      <w:pPr>
        <w:ind w:firstLine="420" w:firstLineChars="200"/>
        <w:rPr>
          <w:rFonts w:ascii="宋体" w:hAnsi="宋体" w:eastAsia="宋体"/>
          <w:bCs/>
          <w:szCs w:val="21"/>
          <w:highlight w:val="none"/>
        </w:rPr>
      </w:pPr>
      <w:r>
        <w:rPr>
          <w:rFonts w:hint="eastAsia" w:ascii="宋体" w:hAnsi="宋体" w:eastAsia="宋体"/>
          <w:bCs/>
          <w:szCs w:val="21"/>
          <w:highlight w:val="none"/>
        </w:rPr>
        <w:t>3.出现特别严重质量违约情形，可处以问题产品金额</w:t>
      </w:r>
      <w:r>
        <w:rPr>
          <w:rFonts w:ascii="宋体" w:hAnsi="宋体" w:eastAsia="宋体"/>
          <w:bCs/>
          <w:szCs w:val="21"/>
          <w:highlight w:val="none"/>
        </w:rPr>
        <w:t>3</w:t>
      </w:r>
      <w:r>
        <w:rPr>
          <w:rFonts w:hint="eastAsia" w:ascii="宋体" w:hAnsi="宋体" w:eastAsia="宋体"/>
          <w:bCs/>
          <w:szCs w:val="21"/>
          <w:highlight w:val="none"/>
        </w:rPr>
        <w:t>0%质量违约金。</w:t>
      </w:r>
    </w:p>
    <w:p>
      <w:pPr>
        <w:ind w:firstLine="420" w:firstLineChars="200"/>
        <w:rPr>
          <w:rFonts w:ascii="宋体" w:hAnsi="宋体" w:eastAsia="宋体"/>
          <w:bCs/>
          <w:szCs w:val="21"/>
          <w:highlight w:val="none"/>
        </w:rPr>
      </w:pPr>
      <w:r>
        <w:rPr>
          <w:rFonts w:hint="eastAsia" w:ascii="宋体" w:hAnsi="宋体" w:eastAsia="宋体"/>
          <w:bCs/>
          <w:szCs w:val="21"/>
          <w:highlight w:val="none"/>
        </w:rPr>
        <w:t>（五）供应商出现以下情形，可在上述第（四）项规定的各项标准基础上提高质量违约金收取比例：</w:t>
      </w:r>
    </w:p>
    <w:p>
      <w:pPr>
        <w:ind w:firstLine="420" w:firstLineChars="200"/>
        <w:rPr>
          <w:rFonts w:ascii="宋体" w:hAnsi="宋体" w:eastAsia="宋体"/>
          <w:bCs/>
          <w:szCs w:val="21"/>
          <w:highlight w:val="none"/>
        </w:rPr>
      </w:pPr>
      <w:r>
        <w:rPr>
          <w:rFonts w:hint="eastAsia" w:ascii="宋体" w:hAnsi="宋体" w:eastAsia="宋体"/>
          <w:bCs/>
          <w:szCs w:val="21"/>
          <w:highlight w:val="none"/>
        </w:rPr>
        <w:t>1.供应商未积极主动配合处理产品质量问题的；同一集采周期内供应商再次出现质量违约情形被追究责任的。质量违约金标准可增加10%执行；</w:t>
      </w:r>
    </w:p>
    <w:p>
      <w:pPr>
        <w:ind w:firstLine="420" w:firstLineChars="200"/>
        <w:rPr>
          <w:rFonts w:ascii="宋体" w:hAnsi="宋体" w:eastAsia="宋体"/>
          <w:bCs/>
          <w:szCs w:val="21"/>
          <w:highlight w:val="none"/>
        </w:rPr>
      </w:pPr>
      <w:r>
        <w:rPr>
          <w:rFonts w:hint="eastAsia" w:ascii="宋体" w:hAnsi="宋体" w:eastAsia="宋体"/>
          <w:bCs/>
          <w:szCs w:val="21"/>
          <w:highlight w:val="none"/>
        </w:rPr>
        <w:t>2.供应商在质量问题处理过程中，出现有意隐瞒或谎报与产品质量相关信息的；供应商对存在的产品质量问题拒不整改的，包括拒不签署质量问题约谈处理记录、拒不缴纳质量违约金、拒不进行退换货；同一集采周期内出现3次及以上质量违约情形被追究责任的。质量违约金标准可增加20%执行。</w:t>
      </w:r>
    </w:p>
    <w:p>
      <w:pPr>
        <w:ind w:firstLine="420" w:firstLineChars="200"/>
        <w:rPr>
          <w:rFonts w:ascii="宋体" w:hAnsi="宋体" w:eastAsia="宋体"/>
          <w:bCs/>
          <w:szCs w:val="21"/>
          <w:highlight w:val="none"/>
        </w:rPr>
      </w:pPr>
      <w:r>
        <w:rPr>
          <w:rFonts w:hint="eastAsia" w:ascii="宋体" w:hAnsi="宋体" w:eastAsia="宋体"/>
          <w:bCs/>
          <w:szCs w:val="21"/>
          <w:highlight w:val="none"/>
        </w:rPr>
        <w:t>（六）供应商积极主动发起问题产品召回且承担召回过程中涉及的所有相关费用，经安徽移动评估未造成影响的，可免于追究质量违约责任。</w:t>
      </w:r>
    </w:p>
    <w:p>
      <w:pPr>
        <w:ind w:firstLine="420" w:firstLineChars="200"/>
        <w:rPr>
          <w:rFonts w:ascii="宋体" w:hAnsi="宋体" w:eastAsia="宋体"/>
          <w:bCs/>
          <w:szCs w:val="21"/>
          <w:highlight w:val="none"/>
        </w:rPr>
      </w:pPr>
      <w:r>
        <w:rPr>
          <w:rFonts w:hint="eastAsia" w:ascii="宋体" w:hAnsi="宋体" w:eastAsia="宋体"/>
          <w:bCs/>
          <w:szCs w:val="21"/>
          <w:highlight w:val="none"/>
        </w:rPr>
        <w:t>（七）问题产品金额按照对应合同或订单中产品实际到货金额进行认定，为含税金额。</w:t>
      </w:r>
    </w:p>
    <w:p>
      <w:pPr>
        <w:ind w:firstLine="420" w:firstLineChars="200"/>
        <w:rPr>
          <w:rFonts w:ascii="宋体" w:hAnsi="宋体" w:eastAsia="宋体"/>
          <w:bCs/>
          <w:szCs w:val="21"/>
          <w:highlight w:val="none"/>
        </w:rPr>
      </w:pPr>
      <w:r>
        <w:rPr>
          <w:rFonts w:hint="eastAsia" w:ascii="宋体" w:hAnsi="宋体" w:eastAsia="宋体"/>
          <w:bCs/>
          <w:szCs w:val="21"/>
          <w:highlight w:val="none"/>
        </w:rPr>
        <w:t>（八）供应商出现产品质量违约情形时，如造成安徽移动重大经济损失。质量违约金不足以弥补安徽移动损失的，安徽移动有权进一步追偿。</w:t>
      </w:r>
    </w:p>
    <w:p>
      <w:pPr>
        <w:ind w:firstLine="420" w:firstLineChars="200"/>
        <w:rPr>
          <w:rFonts w:ascii="宋体" w:hAnsi="宋体" w:eastAsia="宋体"/>
          <w:bCs/>
          <w:szCs w:val="21"/>
          <w:highlight w:val="none"/>
        </w:rPr>
      </w:pPr>
      <w:r>
        <w:rPr>
          <w:rFonts w:hint="eastAsia" w:ascii="宋体" w:hAnsi="宋体" w:eastAsia="宋体"/>
          <w:bCs/>
          <w:szCs w:val="21"/>
          <w:highlight w:val="none"/>
        </w:rPr>
        <w:t>七、供应商出现质量违约情形时，根据具体违约情况及其严重性，安徽移动除收取质量违约金外，还可选择暂停付款、调整份额、限期整改、暂停、终止供货资格、上报集团公司处理、后评估扣分、禁止合作等处罚方式。上述处罚方式可以视情节情况单独使用，也可以综合使用。</w:t>
      </w:r>
    </w:p>
    <w:bookmarkEnd w:id="3"/>
    <w:p>
      <w:pPr>
        <w:tabs>
          <w:tab w:val="left" w:pos="1080"/>
          <w:tab w:val="left" w:pos="1395"/>
          <w:tab w:val="left" w:pos="1470"/>
        </w:tabs>
        <w:ind w:firstLine="424" w:firstLineChars="202"/>
        <w:rPr>
          <w:rFonts w:ascii="宋体" w:hAnsi="宋体" w:eastAsia="宋体"/>
          <w:bCs/>
          <w:szCs w:val="21"/>
          <w:highlight w:val="none"/>
        </w:rPr>
      </w:pPr>
      <w:r>
        <w:rPr>
          <w:rFonts w:hint="eastAsia" w:ascii="宋体" w:hAnsi="宋体" w:eastAsia="宋体"/>
          <w:bCs/>
          <w:szCs w:val="21"/>
          <w:highlight w:val="none"/>
        </w:rPr>
        <w:t>八、质量问题处理期间，甲方有权暂停乙方合同款项支付，直至问题处理完毕。甲方有权从支付给乙方的合同款项中扣除其应缴纳的质量违约金。</w:t>
      </w:r>
    </w:p>
    <w:bookmarkEnd w:id="2"/>
    <w:p>
      <w:pPr>
        <w:tabs>
          <w:tab w:val="left" w:pos="1080"/>
          <w:tab w:val="left" w:pos="1395"/>
          <w:tab w:val="left" w:pos="1470"/>
        </w:tabs>
        <w:ind w:firstLine="424" w:firstLineChars="202"/>
        <w:jc w:val="left"/>
        <w:rPr>
          <w:rFonts w:ascii="宋体" w:hAnsi="宋体" w:eastAsia="宋体"/>
          <w:szCs w:val="21"/>
          <w:highlight w:val="none"/>
        </w:rPr>
      </w:pPr>
      <w:r>
        <w:rPr>
          <w:rFonts w:hint="eastAsia" w:ascii="宋体" w:hAnsi="宋体" w:eastAsia="宋体"/>
          <w:szCs w:val="21"/>
          <w:highlight w:val="none"/>
        </w:rPr>
        <w:t>九、规则应用说明</w:t>
      </w:r>
    </w:p>
    <w:p>
      <w:pPr>
        <w:tabs>
          <w:tab w:val="left" w:pos="1080"/>
          <w:tab w:val="left" w:pos="1395"/>
          <w:tab w:val="left" w:pos="1470"/>
        </w:tabs>
        <w:ind w:firstLine="424" w:firstLineChars="202"/>
        <w:jc w:val="left"/>
        <w:rPr>
          <w:rFonts w:hint="eastAsia" w:ascii="宋体" w:hAnsi="宋体" w:eastAsia="宋体"/>
          <w:szCs w:val="21"/>
          <w:highlight w:val="none"/>
        </w:rPr>
      </w:pPr>
      <w:r>
        <w:rPr>
          <w:rFonts w:hint="eastAsia" w:ascii="宋体" w:hAnsi="宋体" w:eastAsia="宋体"/>
          <w:szCs w:val="21"/>
          <w:highlight w:val="none"/>
        </w:rPr>
        <w:t>本规则作为甲乙双方签订的框架协议或合同附件组成部分，与合同正文有同等法律效力。框架协议或合同正文中如对产品质量违约处理涉及的经济补偿金额或违约金金额有明确可计算的标准，则按照框架协议或合同正文规定执行。</w:t>
      </w:r>
    </w:p>
    <w:p>
      <w:pPr>
        <w:tabs>
          <w:tab w:val="left" w:pos="1080"/>
          <w:tab w:val="left" w:pos="1395"/>
          <w:tab w:val="left" w:pos="1470"/>
        </w:tabs>
        <w:ind w:firstLine="424" w:firstLineChars="202"/>
        <w:jc w:val="left"/>
        <w:rPr>
          <w:rFonts w:hint="default" w:ascii="宋体" w:hAnsi="宋体" w:eastAsia="宋体"/>
          <w:szCs w:val="21"/>
          <w:highlight w:val="none"/>
          <w:lang w:val="en-US" w:eastAsia="zh-CN"/>
        </w:rPr>
      </w:pPr>
      <w:r>
        <w:rPr>
          <w:rFonts w:hint="eastAsia" w:ascii="宋体" w:hAnsi="宋体" w:eastAsia="宋体"/>
          <w:szCs w:val="21"/>
          <w:highlight w:val="none"/>
          <w:lang w:val="en-US" w:eastAsia="zh-CN"/>
        </w:rPr>
        <w:t>十、其他</w:t>
      </w:r>
    </w:p>
    <w:p>
      <w:pPr>
        <w:tabs>
          <w:tab w:val="left" w:pos="1080"/>
          <w:tab w:val="left" w:pos="1395"/>
          <w:tab w:val="left" w:pos="1470"/>
        </w:tabs>
        <w:ind w:firstLine="424" w:firstLineChars="202"/>
        <w:jc w:val="left"/>
        <w:rPr>
          <w:rFonts w:hint="eastAsia" w:ascii="宋体" w:hAnsi="宋体" w:eastAsia="宋体"/>
          <w:szCs w:val="21"/>
          <w:highlight w:val="none"/>
        </w:rPr>
      </w:pPr>
      <w:r>
        <w:rPr>
          <w:rFonts w:hint="eastAsia" w:ascii="宋体" w:hAnsi="宋体" w:eastAsia="宋体"/>
          <w:szCs w:val="21"/>
          <w:highlight w:val="none"/>
        </w:rPr>
        <w:t>产品质量问题发现之日起往前3年内（按照检测结果报告日期或者收到质量问题投诉日期开始计算），供应商未发生过同类产品质量不合格问题，且积极配合问题整改和违约追责，对安徽移动生产运营、业务发展等未造成实质性影响，可不作一般负面行为认定，经安徽移动内部决策后实施。</w:t>
      </w:r>
    </w:p>
    <w:p>
      <w:pPr>
        <w:tabs>
          <w:tab w:val="left" w:pos="1080"/>
          <w:tab w:val="left" w:pos="1395"/>
          <w:tab w:val="left" w:pos="1470"/>
        </w:tabs>
        <w:ind w:firstLine="424" w:firstLineChars="202"/>
        <w:jc w:val="left"/>
        <w:rPr>
          <w:rFonts w:ascii="宋体" w:hAnsi="宋体" w:eastAsia="宋体" w:cs="宋体"/>
          <w:kern w:val="0"/>
          <w:szCs w:val="21"/>
          <w:highlight w:val="none"/>
        </w:rPr>
      </w:pPr>
      <w:r>
        <w:rPr>
          <w:rFonts w:hint="eastAsia" w:ascii="宋体" w:hAnsi="宋体" w:eastAsia="宋体"/>
          <w:szCs w:val="21"/>
          <w:highlight w:val="none"/>
        </w:rPr>
        <w:t xml:space="preserve"> </w:t>
      </w:r>
      <w:r>
        <w:rPr>
          <w:rFonts w:ascii="宋体" w:hAnsi="宋体" w:eastAsia="宋体"/>
          <w:szCs w:val="21"/>
          <w:highlight w:val="none"/>
        </w:rPr>
        <w:t xml:space="preserve"> </w:t>
      </w:r>
      <w:r>
        <w:rPr>
          <w:rFonts w:ascii="宋体" w:hAnsi="宋体" w:eastAsia="宋体" w:cs="宋体"/>
          <w:kern w:val="0"/>
          <w:szCs w:val="21"/>
          <w:highlight w:val="none"/>
        </w:rPr>
        <w:br w:type="page"/>
      </w:r>
    </w:p>
    <w:p>
      <w:pPr>
        <w:pStyle w:val="6"/>
        <w:spacing w:before="0" w:after="0" w:line="240" w:lineRule="auto"/>
        <w:jc w:val="center"/>
        <w:outlineLvl w:val="0"/>
        <w:rPr>
          <w:rFonts w:ascii="黑体" w:hAnsi="黑体" w:eastAsia="黑体"/>
          <w:b w:val="0"/>
          <w:sz w:val="28"/>
          <w:szCs w:val="28"/>
          <w:highlight w:val="none"/>
        </w:rPr>
      </w:pPr>
      <w:bookmarkStart w:id="4" w:name="_Toc19561"/>
      <w:r>
        <w:rPr>
          <w:rFonts w:hint="eastAsia" w:ascii="黑体" w:hAnsi="黑体" w:eastAsia="黑体"/>
          <w:b w:val="0"/>
          <w:sz w:val="28"/>
          <w:szCs w:val="28"/>
          <w:highlight w:val="none"/>
          <w:lang w:val="en-US" w:eastAsia="zh-CN"/>
        </w:rPr>
        <w:t xml:space="preserve">1.2 </w:t>
      </w:r>
      <w:r>
        <w:rPr>
          <w:rFonts w:hint="eastAsia" w:ascii="黑体" w:hAnsi="黑体" w:eastAsia="黑体"/>
          <w:b w:val="0"/>
          <w:sz w:val="28"/>
          <w:szCs w:val="28"/>
          <w:highlight w:val="none"/>
        </w:rPr>
        <w:t>安徽移动供应商绩效评估处理规则</w:t>
      </w:r>
      <w:bookmarkEnd w:id="4"/>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eastAsia="宋体" w:cs="宋体"/>
          <w:kern w:val="0"/>
          <w:szCs w:val="21"/>
          <w:highlight w:val="none"/>
        </w:rPr>
      </w:pPr>
      <w:r>
        <w:rPr>
          <w:rFonts w:hint="eastAsia" w:ascii="宋体" w:hAnsi="宋体" w:eastAsia="宋体" w:cs="宋体"/>
          <w:kern w:val="0"/>
          <w:szCs w:val="21"/>
          <w:highlight w:val="none"/>
        </w:rPr>
        <w:t>一、供应商绩效评估是指</w:t>
      </w:r>
      <w:r>
        <w:rPr>
          <w:rFonts w:hint="eastAsia" w:ascii="宋体" w:hAnsi="宋体" w:eastAsia="宋体" w:cs="宋体"/>
          <w:kern w:val="0"/>
          <w:szCs w:val="21"/>
          <w:highlight w:val="none"/>
          <w:lang w:val="en-US" w:eastAsia="zh-CN"/>
        </w:rPr>
        <w:t>甲方（</w:t>
      </w:r>
      <w:r>
        <w:rPr>
          <w:rFonts w:hint="eastAsia" w:ascii="宋体" w:hAnsi="宋体" w:eastAsia="宋体" w:cs="宋体"/>
          <w:kern w:val="0"/>
          <w:szCs w:val="21"/>
          <w:highlight w:val="none"/>
        </w:rPr>
        <w:t>安徽移动</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根据既定的标准、流程对</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在一定期间内各方面的合作表现所进行的综合评价与管理工作。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eastAsia="宋体" w:cs="宋体"/>
          <w:kern w:val="0"/>
          <w:szCs w:val="21"/>
          <w:highlight w:val="none"/>
        </w:rPr>
      </w:pPr>
      <w:r>
        <w:rPr>
          <w:rFonts w:hint="eastAsia" w:ascii="宋体" w:hAnsi="宋体" w:eastAsia="宋体" w:cs="宋体"/>
          <w:kern w:val="0"/>
          <w:szCs w:val="21"/>
          <w:highlight w:val="none"/>
        </w:rPr>
        <w:t>二、评估标准原则上覆盖</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在签约、交付、建设、维护</w:t>
      </w:r>
      <w:r>
        <w:rPr>
          <w:rFonts w:ascii="宋体" w:hAnsi="宋体" w:eastAsia="宋体" w:cs="宋体"/>
          <w:kern w:val="0"/>
          <w:szCs w:val="21"/>
          <w:highlight w:val="none"/>
        </w:rPr>
        <w:t>/使用直至退出的全过程中的技术、交付、质量、服务等方面的综合表现</w:t>
      </w:r>
      <w:r>
        <w:rPr>
          <w:rFonts w:hint="eastAsia" w:ascii="宋体" w:hAnsi="宋体" w:eastAsia="宋体" w:cs="宋体"/>
          <w:kern w:val="0"/>
          <w:szCs w:val="21"/>
          <w:highlight w:val="none"/>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eastAsia="宋体" w:cs="宋体"/>
          <w:kern w:val="0"/>
          <w:szCs w:val="21"/>
          <w:highlight w:val="none"/>
        </w:rPr>
      </w:pPr>
      <w:r>
        <w:rPr>
          <w:rFonts w:hint="eastAsia" w:ascii="宋体" w:hAnsi="宋体" w:eastAsia="宋体" w:cs="宋体"/>
          <w:kern w:val="0"/>
          <w:szCs w:val="21"/>
          <w:highlight w:val="none"/>
        </w:rPr>
        <w:t>三、评估周期可结合产品和服务特点按照不同周期定期组织，综合考虑</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所提供货物、工程、服务的使用稳定性、技术成熟度、评估复杂性、生命周期时长、评估工作量等因素，一般以年度为周期。特殊情况下，也可在固定周期之外组织专项评估活动。</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cs="宋体"/>
          <w:kern w:val="0"/>
          <w:szCs w:val="21"/>
          <w:highlight w:val="none"/>
          <w:lang w:val="en-US" w:eastAsia="zh-CN"/>
        </w:rPr>
      </w:pPr>
      <w:r>
        <w:rPr>
          <w:rFonts w:hint="eastAsia" w:ascii="宋体" w:hAnsi="宋体" w:cs="宋体"/>
          <w:kern w:val="0"/>
          <w:szCs w:val="21"/>
          <w:highlight w:val="none"/>
        </w:rPr>
        <w:t>四、</w:t>
      </w:r>
      <w:r>
        <w:rPr>
          <w:rFonts w:hint="eastAsia" w:ascii="宋体" w:hAnsi="宋体" w:cs="宋体"/>
          <w:kern w:val="0"/>
          <w:szCs w:val="21"/>
          <w:highlight w:val="none"/>
          <w:lang w:val="en-US" w:eastAsia="zh-CN"/>
        </w:rPr>
        <w:t>乙方（</w:t>
      </w:r>
      <w:r>
        <w:rPr>
          <w:rFonts w:hint="eastAsia" w:ascii="宋体" w:hAnsi="宋体" w:cs="宋体"/>
          <w:kern w:val="0"/>
          <w:szCs w:val="21"/>
          <w:highlight w:val="none"/>
        </w:rPr>
        <w:t>供应商</w:t>
      </w:r>
      <w:r>
        <w:rPr>
          <w:rFonts w:hint="eastAsia" w:ascii="宋体" w:hAnsi="宋体" w:cs="宋体"/>
          <w:kern w:val="0"/>
          <w:szCs w:val="21"/>
          <w:highlight w:val="none"/>
          <w:lang w:eastAsia="zh-CN"/>
        </w:rPr>
        <w:t>）</w:t>
      </w:r>
      <w:r>
        <w:rPr>
          <w:rFonts w:hint="eastAsia" w:ascii="宋体" w:hAnsi="宋体" w:cs="宋体"/>
          <w:kern w:val="0"/>
          <w:szCs w:val="21"/>
          <w:highlight w:val="none"/>
        </w:rPr>
        <w:t>绩效评估结果得分由例行评估结果和综合加减两个部分组成。例行评估是指</w:t>
      </w:r>
      <w:r>
        <w:rPr>
          <w:rFonts w:hint="eastAsia" w:ascii="宋体" w:hAnsi="宋体" w:cs="宋体"/>
          <w:kern w:val="0"/>
          <w:szCs w:val="21"/>
          <w:highlight w:val="none"/>
          <w:lang w:val="en-US" w:eastAsia="zh-CN"/>
        </w:rPr>
        <w:t>甲方（</w:t>
      </w:r>
      <w:r>
        <w:rPr>
          <w:rFonts w:hint="eastAsia" w:ascii="宋体" w:hAnsi="宋体" w:cs="宋体"/>
          <w:kern w:val="0"/>
          <w:szCs w:val="21"/>
          <w:highlight w:val="none"/>
        </w:rPr>
        <w:t>安徽移动</w:t>
      </w:r>
      <w:r>
        <w:rPr>
          <w:rFonts w:hint="eastAsia" w:ascii="宋体" w:hAnsi="宋体" w:cs="宋体"/>
          <w:kern w:val="0"/>
          <w:szCs w:val="21"/>
          <w:highlight w:val="none"/>
          <w:lang w:eastAsia="zh-CN"/>
        </w:rPr>
        <w:t>）</w:t>
      </w:r>
      <w:r>
        <w:rPr>
          <w:rFonts w:hint="eastAsia" w:ascii="宋体" w:hAnsi="宋体" w:cs="宋体"/>
          <w:kern w:val="0"/>
          <w:szCs w:val="21"/>
          <w:highlight w:val="none"/>
        </w:rPr>
        <w:t>省公司各相关部门和各市分公司评分结果汇总；综合加减根据供应商在全省的质量、履约等方面的综合表现，在例行评估结果上进行加减</w:t>
      </w:r>
      <w:r>
        <w:rPr>
          <w:rFonts w:hint="eastAsia" w:ascii="宋体" w:hAnsi="宋体" w:cs="宋体"/>
          <w:kern w:val="0"/>
          <w:szCs w:val="21"/>
          <w:highlight w:val="none"/>
          <w:lang w:eastAsia="zh-CN"/>
        </w:rPr>
        <w:t>，</w:t>
      </w:r>
      <w:r>
        <w:rPr>
          <w:rFonts w:hint="eastAsia" w:ascii="宋体" w:hAnsi="宋体" w:cs="宋体"/>
          <w:kern w:val="0"/>
          <w:szCs w:val="21"/>
          <w:highlight w:val="none"/>
          <w:lang w:val="en-US" w:eastAsia="zh-CN"/>
        </w:rPr>
        <w:t>具体如下：</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eastAsia" w:ascii="宋体" w:hAnsi="宋体" w:cs="宋体"/>
          <w:b/>
          <w:bCs/>
          <w:kern w:val="0"/>
          <w:szCs w:val="21"/>
          <w:highlight w:val="none"/>
          <w:lang w:val="en-US" w:eastAsia="zh-CN"/>
        </w:rPr>
        <w:t>加分的情形包括</w:t>
      </w:r>
      <w:r>
        <w:rPr>
          <w:rFonts w:hint="eastAsia" w:ascii="宋体" w:hAnsi="宋体" w:cs="宋体"/>
          <w:kern w:val="0"/>
          <w:szCs w:val="21"/>
          <w:highlight w:val="none"/>
          <w:lang w:val="en-US" w:eastAsia="zh-CN"/>
        </w:rPr>
        <w:t>：</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default" w:ascii="宋体" w:hAnsi="宋体" w:cs="宋体"/>
          <w:kern w:val="0"/>
          <w:szCs w:val="21"/>
          <w:highlight w:val="none"/>
          <w:lang w:val="en-US" w:eastAsia="zh-CN"/>
        </w:rPr>
        <w:t>1.</w:t>
      </w:r>
      <w:r>
        <w:rPr>
          <w:rFonts w:hint="eastAsia" w:ascii="宋体" w:hAnsi="宋体" w:cs="宋体"/>
          <w:kern w:val="0"/>
          <w:szCs w:val="21"/>
          <w:highlight w:val="none"/>
          <w:lang w:val="en-US" w:eastAsia="zh-CN"/>
        </w:rPr>
        <w:t>对我公司生产、经营、管理做出重大贡献的；</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default" w:ascii="宋体" w:hAnsi="宋体" w:cs="宋体"/>
          <w:kern w:val="0"/>
          <w:szCs w:val="21"/>
          <w:highlight w:val="none"/>
          <w:lang w:val="en-US" w:eastAsia="zh-CN"/>
        </w:rPr>
        <w:t>2.</w:t>
      </w:r>
      <w:r>
        <w:rPr>
          <w:rFonts w:hint="eastAsia" w:ascii="宋体" w:hAnsi="宋体" w:cs="宋体"/>
          <w:kern w:val="0"/>
          <w:szCs w:val="21"/>
          <w:highlight w:val="none"/>
          <w:lang w:val="en-US" w:eastAsia="zh-CN"/>
        </w:rPr>
        <w:t>行业紧缺或战略产品供货表现良好或给予重大支持，并得到我公司认可的；</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default" w:ascii="宋体" w:hAnsi="宋体" w:cs="宋体"/>
          <w:kern w:val="0"/>
          <w:szCs w:val="21"/>
          <w:highlight w:val="none"/>
          <w:lang w:val="en-US" w:eastAsia="zh-CN"/>
        </w:rPr>
        <w:t>3.</w:t>
      </w:r>
      <w:r>
        <w:rPr>
          <w:rFonts w:hint="eastAsia" w:ascii="宋体" w:hAnsi="宋体" w:cs="宋体"/>
          <w:kern w:val="0"/>
          <w:szCs w:val="21"/>
          <w:highlight w:val="none"/>
          <w:lang w:val="en-US" w:eastAsia="zh-CN"/>
        </w:rPr>
        <w:t>对于我方紧急供货要求予以积极配合，快速到货，确保我方及时完成相关工作，并得到我公司认可的；</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default" w:ascii="宋体" w:hAnsi="宋体" w:cs="宋体"/>
          <w:kern w:val="0"/>
          <w:szCs w:val="21"/>
          <w:highlight w:val="none"/>
          <w:lang w:val="en-US" w:eastAsia="zh-CN"/>
        </w:rPr>
        <w:t>4.在遇到抢险救灾等突发事件时，能协助我公司完成设备紧急调拨、包装、运输等工作，并得到我公司认可的</w:t>
      </w:r>
      <w:r>
        <w:rPr>
          <w:rFonts w:hint="eastAsia" w:ascii="宋体" w:hAnsi="宋体" w:cs="宋体"/>
          <w:kern w:val="0"/>
          <w:szCs w:val="21"/>
          <w:highlight w:val="none"/>
          <w:lang w:val="en-US" w:eastAsia="zh-CN"/>
        </w:rPr>
        <w:t>；</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宋体" w:cs="宋体"/>
          <w:kern w:val="0"/>
          <w:szCs w:val="21"/>
          <w:highlight w:val="none"/>
          <w:lang w:val="en-US" w:eastAsia="zh-CN"/>
        </w:rPr>
      </w:pPr>
      <w:r>
        <w:rPr>
          <w:rFonts w:hint="default" w:ascii="宋体" w:hAnsi="宋体" w:cs="宋体"/>
          <w:kern w:val="0"/>
          <w:szCs w:val="21"/>
          <w:highlight w:val="none"/>
          <w:lang w:val="en-US" w:eastAsia="zh-CN"/>
        </w:rPr>
        <w:t>5.积极响应我公司号召参与乡村振兴、慈善事业或其他履行社会责任事项，并得到我公司认可的。</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default" w:ascii="宋体" w:hAnsi="宋体" w:cs="宋体"/>
          <w:kern w:val="0"/>
          <w:szCs w:val="21"/>
          <w:highlight w:val="none"/>
          <w:lang w:val="en-US" w:eastAsia="zh-CN"/>
        </w:rPr>
        <w:t>6.</w:t>
      </w:r>
      <w:r>
        <w:rPr>
          <w:rFonts w:hint="eastAsia" w:ascii="宋体" w:hAnsi="宋体" w:cs="宋体"/>
          <w:kern w:val="0"/>
          <w:szCs w:val="21"/>
          <w:highlight w:val="none"/>
          <w:lang w:val="en-US" w:eastAsia="zh-CN"/>
        </w:rPr>
        <w:t>与我公司政企业务深入合作，并取得实际成效的等；</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cs="宋体"/>
          <w:kern w:val="0"/>
          <w:szCs w:val="21"/>
          <w:highlight w:val="none"/>
          <w:lang w:val="en-US" w:eastAsia="zh-CN"/>
        </w:rPr>
      </w:pPr>
      <w:r>
        <w:rPr>
          <w:rFonts w:hint="eastAsia" w:ascii="宋体" w:hAnsi="宋体" w:cs="宋体"/>
          <w:b/>
          <w:bCs/>
          <w:kern w:val="0"/>
          <w:szCs w:val="21"/>
          <w:highlight w:val="none"/>
          <w:lang w:val="en-US" w:eastAsia="zh-CN"/>
        </w:rPr>
        <w:t>减分的具体情形包括</w:t>
      </w:r>
      <w:r>
        <w:rPr>
          <w:rFonts w:hint="eastAsia" w:ascii="宋体" w:hAnsi="宋体" w:cs="宋体"/>
          <w:kern w:val="0"/>
          <w:szCs w:val="21"/>
          <w:highlight w:val="none"/>
          <w:lang w:val="en-US" w:eastAsia="zh-CN"/>
        </w:rPr>
        <w:t>：</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1.合同签订后或框架订单下达后，拒绝供货或提供服务，被使用单位书面有效投诉；</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2.因供应商原因，到货慢或服务差（如安装不及时、维修不及时等），达不到合同约定，被使用单位书面有效投诉的；</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3.施工、物业等服务类产品不符合合同要求（如人员配置、人员能力、服务工期等），被使用单位书面有效投诉的；</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4.在产品到货检测（含设计审查）或使用（含施工）过程中，发现产品质量问题；</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5.供应商出现严重违约、重大质量问题、安全事件以及其他供应商负面行为造成公司生产经营活动受到严重影响或带来其它恶劣影响，且并被经济处罚或被列入严重负面行为的等。</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6.供应商发生经营状况重大变化以及重要担保、重大合同纠纷或诉讼、信用等级和资质变化等可能影响履约能力的重大事项，未及时向我公司提供书面通知，因而造成后期采购行为无法履约或造成损失的；</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7.供应商发生名称和帐号变更，未及时通知我公司，导致我公司存在支付风险的情况；</w:t>
      </w:r>
    </w:p>
    <w:p>
      <w:pPr>
        <w:pStyle w:val="22"/>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lang w:val="en-US" w:eastAsia="zh-CN"/>
        </w:rPr>
        <w:t>8.在供应商信息核查后，对供应商申报信息组织抽查中发现问题情节轻微，对我方未造成负面影响的；</w:t>
      </w:r>
    </w:p>
    <w:p>
      <w:pPr>
        <w:pStyle w:val="22"/>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宋体" w:cs="宋体"/>
          <w:kern w:val="0"/>
          <w:szCs w:val="21"/>
          <w:highlight w:val="none"/>
        </w:rPr>
      </w:pPr>
      <w:r>
        <w:rPr>
          <w:rFonts w:hint="eastAsia" w:ascii="宋体" w:hAnsi="宋体" w:eastAsia="宋体" w:cs="宋体"/>
          <w:kern w:val="0"/>
          <w:szCs w:val="21"/>
          <w:highlight w:val="none"/>
          <w:lang w:val="en-US" w:eastAsia="zh-CN"/>
        </w:rPr>
        <w:t>五、对于质量、交付、服务出现问题的供应商原则上相关评分项的得分不高于未出现问题的供应商</w:t>
      </w:r>
      <w:r>
        <w:rPr>
          <w:rFonts w:hint="eastAsia" w:ascii="宋体" w:hAnsi="宋体" w:cs="宋体"/>
          <w:kern w:val="0"/>
          <w:szCs w:val="21"/>
          <w:highlight w:val="none"/>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eastAsia="宋体" w:cs="宋体"/>
          <w:kern w:val="0"/>
          <w:szCs w:val="21"/>
          <w:highlight w:val="none"/>
        </w:rPr>
      </w:pPr>
      <w:r>
        <w:rPr>
          <w:rFonts w:hint="default" w:ascii="宋体" w:hAnsi="宋体" w:eastAsia="宋体" w:cs="宋体"/>
          <w:kern w:val="0"/>
          <w:szCs w:val="21"/>
          <w:highlight w:val="none"/>
          <w:lang w:val="en-US"/>
        </w:rPr>
        <w:t>六</w:t>
      </w: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供应商绩效评估结果如低于70分，将要求</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递交针对性整改计划；绩效评估结果如低于6</w:t>
      </w:r>
      <w:r>
        <w:rPr>
          <w:rFonts w:ascii="宋体" w:hAnsi="宋体" w:eastAsia="宋体" w:cs="宋体"/>
          <w:kern w:val="0"/>
          <w:szCs w:val="21"/>
          <w:highlight w:val="none"/>
        </w:rPr>
        <w:t>0</w:t>
      </w:r>
      <w:r>
        <w:rPr>
          <w:rFonts w:hint="eastAsia" w:ascii="宋体" w:hAnsi="宋体" w:eastAsia="宋体" w:cs="宋体"/>
          <w:kern w:val="0"/>
          <w:szCs w:val="21"/>
          <w:highlight w:val="none"/>
        </w:rPr>
        <w:t>分，可取消其省内供货资格，并在合同规定范围内进行索赔。如为一级集采供应商，评估情况上报集团；若为二级集采供应商，可按照《中国移动通信集团安徽有限公司供应商负面行为管理办法》中严重负面行为或特别严重负面行为进行责任追究。</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eastAsia="宋体" w:cs="宋体"/>
          <w:kern w:val="0"/>
          <w:szCs w:val="21"/>
          <w:highlight w:val="none"/>
        </w:rPr>
      </w:pPr>
      <w:r>
        <w:rPr>
          <w:rFonts w:hint="eastAsia" w:ascii="宋体" w:hAnsi="宋体" w:eastAsia="宋体" w:cs="宋体"/>
          <w:kern w:val="0"/>
          <w:szCs w:val="21"/>
          <w:highlight w:val="none"/>
          <w:lang w:val="en-US" w:eastAsia="zh-CN"/>
        </w:rPr>
        <w:t>七</w:t>
      </w: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乙方的</w:t>
      </w:r>
      <w:r>
        <w:rPr>
          <w:rFonts w:hint="eastAsia" w:ascii="宋体" w:hAnsi="宋体" w:eastAsia="宋体" w:cs="宋体"/>
          <w:kern w:val="0"/>
          <w:szCs w:val="21"/>
          <w:highlight w:val="none"/>
        </w:rPr>
        <w:t>供应商绩效评估结果通过安徽移动供应商门户一对一向</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发布，将作为</w:t>
      </w:r>
      <w:r>
        <w:rPr>
          <w:rFonts w:hint="eastAsia" w:ascii="宋体" w:hAnsi="宋体" w:eastAsia="宋体" w:cs="宋体"/>
          <w:kern w:val="0"/>
          <w:szCs w:val="21"/>
          <w:highlight w:val="none"/>
          <w:lang w:val="en-US" w:eastAsia="zh-CN"/>
        </w:rPr>
        <w:t>甲方（</w:t>
      </w:r>
      <w:r>
        <w:rPr>
          <w:rFonts w:hint="eastAsia" w:ascii="宋体" w:hAnsi="宋体" w:eastAsia="宋体" w:cs="宋体"/>
          <w:kern w:val="0"/>
          <w:szCs w:val="21"/>
          <w:highlight w:val="none"/>
        </w:rPr>
        <w:t>安徽移动</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供应商选择、份额分配、供应商分级和奖惩、集采供应商推荐等工作的重要依据。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eastAsia="宋体" w:cs="宋体"/>
          <w:kern w:val="0"/>
          <w:szCs w:val="21"/>
          <w:highlight w:val="none"/>
        </w:rPr>
      </w:pPr>
      <w:r>
        <w:rPr>
          <w:rFonts w:hint="eastAsia" w:ascii="宋体" w:hAnsi="宋体" w:eastAsia="宋体" w:cs="宋体"/>
          <w:kern w:val="0"/>
          <w:szCs w:val="21"/>
          <w:highlight w:val="none"/>
          <w:lang w:val="en-US" w:eastAsia="zh-CN"/>
        </w:rPr>
        <w:t>八</w:t>
      </w: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在禁止合作期满后参与安徽移动相应产品类别采购活动时，其首次参与时的绩效评估成绩按照新供应商取定标准计取。</w:t>
      </w:r>
    </w:p>
    <w:p>
      <w:pPr>
        <w:rPr>
          <w:highlight w:val="none"/>
        </w:rPr>
      </w:pPr>
    </w:p>
    <w:p>
      <w:pPr>
        <w:rPr>
          <w:highlight w:val="none"/>
        </w:rPr>
      </w:pPr>
    </w:p>
    <w:p>
      <w:pPr>
        <w:rPr>
          <w:rFonts w:hint="eastAsia" w:ascii="黑体" w:hAnsi="黑体" w:eastAsia="黑体"/>
          <w:b w:val="0"/>
          <w:sz w:val="28"/>
          <w:szCs w:val="28"/>
          <w:highlight w:val="none"/>
        </w:rPr>
      </w:pPr>
      <w:r>
        <w:rPr>
          <w:rFonts w:hint="eastAsia" w:ascii="黑体" w:hAnsi="黑体" w:eastAsia="黑体"/>
          <w:b w:val="0"/>
          <w:sz w:val="28"/>
          <w:szCs w:val="28"/>
          <w:highlight w:val="none"/>
        </w:rPr>
        <w:br w:type="page"/>
      </w:r>
    </w:p>
    <w:p>
      <w:pPr>
        <w:pStyle w:val="6"/>
        <w:spacing w:before="0" w:after="0" w:line="240" w:lineRule="auto"/>
        <w:jc w:val="center"/>
        <w:outlineLvl w:val="0"/>
        <w:rPr>
          <w:rFonts w:hint="eastAsia" w:ascii="黑体" w:hAnsi="黑体" w:eastAsia="黑体"/>
          <w:b w:val="0"/>
          <w:sz w:val="28"/>
          <w:szCs w:val="28"/>
          <w:highlight w:val="none"/>
          <w:lang w:eastAsia="zh-CN"/>
        </w:rPr>
      </w:pPr>
      <w:bookmarkStart w:id="5" w:name="_Toc18648"/>
      <w:r>
        <w:rPr>
          <w:rFonts w:hint="eastAsia" w:ascii="黑体" w:hAnsi="黑体" w:eastAsia="黑体"/>
          <w:b w:val="0"/>
          <w:sz w:val="28"/>
          <w:szCs w:val="28"/>
          <w:highlight w:val="none"/>
        </w:rPr>
        <w:t>1</w:t>
      </w:r>
      <w:r>
        <w:rPr>
          <w:rFonts w:ascii="黑体" w:hAnsi="黑体" w:eastAsia="黑体"/>
          <w:b w:val="0"/>
          <w:sz w:val="28"/>
          <w:szCs w:val="28"/>
          <w:highlight w:val="none"/>
        </w:rPr>
        <w:t>.</w:t>
      </w:r>
      <w:r>
        <w:rPr>
          <w:rFonts w:hint="default" w:ascii="黑体" w:hAnsi="黑体" w:eastAsia="黑体"/>
          <w:b w:val="0"/>
          <w:sz w:val="28"/>
          <w:szCs w:val="28"/>
          <w:highlight w:val="none"/>
          <w:lang w:val="en-US" w:eastAsia="zh-CN"/>
        </w:rPr>
        <w:t>3</w:t>
      </w:r>
      <w:r>
        <w:rPr>
          <w:rFonts w:ascii="黑体" w:hAnsi="黑体" w:eastAsia="黑体"/>
          <w:b w:val="0"/>
          <w:sz w:val="28"/>
          <w:szCs w:val="28"/>
          <w:highlight w:val="none"/>
        </w:rPr>
        <w:t xml:space="preserve"> 安徽移动</w:t>
      </w:r>
      <w:r>
        <w:rPr>
          <w:rFonts w:hint="eastAsia" w:ascii="黑体" w:hAnsi="黑体" w:eastAsia="黑体"/>
          <w:b w:val="0"/>
          <w:sz w:val="28"/>
          <w:szCs w:val="28"/>
          <w:highlight w:val="none"/>
        </w:rPr>
        <w:t>供应商分级管理</w:t>
      </w:r>
      <w:r>
        <w:rPr>
          <w:rFonts w:hint="eastAsia" w:ascii="黑体" w:hAnsi="黑体" w:eastAsia="黑体"/>
          <w:b w:val="0"/>
          <w:sz w:val="28"/>
          <w:szCs w:val="28"/>
          <w:highlight w:val="none"/>
          <w:lang w:val="en-US" w:eastAsia="zh-CN"/>
        </w:rPr>
        <w:t>规则</w:t>
      </w:r>
      <w:bookmarkEnd w:id="5"/>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(一)</w:t>
      </w:r>
      <w:r>
        <w:rPr>
          <w:rFonts w:hint="eastAsia" w:ascii="宋体" w:hAnsi="宋体" w:eastAsia="宋体" w:cs="宋体"/>
          <w:kern w:val="0"/>
          <w:szCs w:val="21"/>
          <w:highlight w:val="none"/>
          <w:lang w:val="en-US" w:eastAsia="zh-CN"/>
        </w:rPr>
        <w:t>甲方（安徽移动</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集采供应商分级评定原则上每</w:t>
      </w:r>
      <w:r>
        <w:rPr>
          <w:rFonts w:hint="eastAsia" w:ascii="宋体" w:hAnsi="宋体" w:eastAsia="宋体" w:cs="宋体"/>
          <w:kern w:val="0"/>
          <w:szCs w:val="21"/>
          <w:highlight w:val="none"/>
          <w:lang w:val="en-US" w:eastAsia="zh-CN"/>
        </w:rPr>
        <w:t>年</w:t>
      </w:r>
      <w:r>
        <w:rPr>
          <w:rFonts w:hint="eastAsia" w:ascii="宋体" w:hAnsi="宋体" w:eastAsia="宋体" w:cs="宋体"/>
          <w:kern w:val="0"/>
          <w:szCs w:val="21"/>
          <w:highlight w:val="none"/>
        </w:rPr>
        <w:t>按产品开展，并根据</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的负面行为、</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潜在风险评估等情况变化动态调整供应商分级结果。</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(二)</w:t>
      </w:r>
      <w:r>
        <w:rPr>
          <w:rFonts w:hint="eastAsia" w:ascii="宋体" w:hAnsi="宋体" w:eastAsia="宋体" w:cs="宋体"/>
          <w:kern w:val="0"/>
          <w:szCs w:val="21"/>
          <w:highlight w:val="none"/>
          <w:lang w:val="en-US" w:eastAsia="zh-CN"/>
        </w:rPr>
        <w:t>甲方（安徽移动）</w:t>
      </w:r>
      <w:r>
        <w:rPr>
          <w:rFonts w:hint="eastAsia" w:ascii="宋体" w:hAnsi="宋体" w:eastAsia="宋体" w:cs="宋体"/>
          <w:kern w:val="0"/>
          <w:szCs w:val="21"/>
          <w:highlight w:val="none"/>
        </w:rPr>
        <w:t>集采供应商分级主要评估</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的日常履约（绩效评估）、综合实力</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合作规模</w:t>
      </w:r>
      <w:r>
        <w:rPr>
          <w:rFonts w:hint="eastAsia" w:ascii="宋体" w:hAnsi="宋体" w:eastAsia="宋体" w:cs="宋体"/>
          <w:kern w:val="0"/>
          <w:szCs w:val="21"/>
          <w:highlight w:val="none"/>
          <w:lang w:val="en-US" w:eastAsia="zh-CN"/>
        </w:rPr>
        <w:t>以及</w:t>
      </w:r>
      <w:r>
        <w:rPr>
          <w:rFonts w:hint="eastAsia" w:ascii="宋体" w:hAnsi="宋体" w:eastAsia="宋体" w:cs="宋体"/>
          <w:kern w:val="0"/>
          <w:szCs w:val="21"/>
          <w:highlight w:val="none"/>
        </w:rPr>
        <w:t>等方面表现。</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(三)按照不同的产品，</w:t>
      </w:r>
      <w:r>
        <w:rPr>
          <w:rFonts w:hint="eastAsia" w:ascii="宋体" w:hAnsi="宋体" w:eastAsia="宋体" w:cs="宋体"/>
          <w:kern w:val="0"/>
          <w:szCs w:val="21"/>
          <w:highlight w:val="none"/>
          <w:lang w:val="en-US" w:eastAsia="zh-CN"/>
        </w:rPr>
        <w:t>甲方（安徽移动）</w:t>
      </w:r>
      <w:r>
        <w:rPr>
          <w:rFonts w:hint="eastAsia" w:ascii="宋体" w:hAnsi="宋体" w:eastAsia="宋体" w:cs="宋体"/>
          <w:kern w:val="0"/>
          <w:szCs w:val="21"/>
          <w:highlight w:val="none"/>
        </w:rPr>
        <w:t>集采供应商分级的级别分为A、B、C、D四个等级，其中：</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1.A级供应商为优秀供应商。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2.B级供应商为良好供应商。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3.C级供应商为合格供应商。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仿宋_GB2312" w:eastAsia="仿宋_GB2312"/>
          <w:color w:val="000000"/>
          <w:sz w:val="24"/>
          <w:highlight w:val="none"/>
        </w:rPr>
      </w:pPr>
      <w:r>
        <w:rPr>
          <w:rFonts w:hint="eastAsia" w:ascii="宋体" w:hAnsi="宋体" w:eastAsia="宋体" w:cs="宋体"/>
          <w:kern w:val="0"/>
          <w:szCs w:val="21"/>
          <w:highlight w:val="none"/>
        </w:rPr>
        <w:t>4.D级供应商为不合格供应商。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根据</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产品分级结果，对</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实施相应的管理措施。给予优质供应商激励并开展长期稳定合作，对于分级评估不佳的供应商实施惩罚和退出机制。</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四</w:t>
      </w:r>
      <w:r>
        <w:rPr>
          <w:rFonts w:hint="eastAsia" w:ascii="宋体" w:hAnsi="宋体" w:eastAsia="宋体" w:cs="宋体"/>
          <w:kern w:val="0"/>
          <w:szCs w:val="21"/>
          <w:highlight w:val="none"/>
        </w:rPr>
        <w:t>）对于A级供应商可选用以下管理措施：</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1.可根据供应商申请，付款时适用安徽移动信用管理办法中规定的信誉特优供应商相关政策，在合同约定范围内，同等条件下，优先考虑A级供应商的付款需求；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宋体" w:hAnsi="宋体" w:eastAsia="宋体" w:cs="宋体"/>
          <w:kern w:val="0"/>
          <w:szCs w:val="21"/>
          <w:highlight w:val="none"/>
          <w:lang w:val="en-US"/>
        </w:rPr>
      </w:pPr>
      <w:r>
        <w:rPr>
          <w:rFonts w:hint="default" w:ascii="宋体" w:hAnsi="宋体" w:eastAsia="宋体" w:cs="宋体"/>
          <w:kern w:val="0"/>
          <w:szCs w:val="21"/>
          <w:highlight w:val="none"/>
          <w:lang w:val="en-US"/>
        </w:rPr>
        <w:t>2.共享行业发展趋势及产品技术信息，邀请参与产品技术发展趋势交流研讨；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3</w:t>
      </w:r>
      <w:r>
        <w:rPr>
          <w:rFonts w:hint="eastAsia" w:ascii="宋体" w:hAnsi="宋体" w:eastAsia="宋体" w:cs="宋体"/>
          <w:kern w:val="0"/>
          <w:szCs w:val="21"/>
          <w:highlight w:val="none"/>
        </w:rPr>
        <w:t>.原则上免收履约保证金等；</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4</w:t>
      </w:r>
      <w:r>
        <w:rPr>
          <w:rFonts w:hint="eastAsia" w:ascii="宋体" w:hAnsi="宋体" w:eastAsia="宋体" w:cs="宋体"/>
          <w:kern w:val="0"/>
          <w:szCs w:val="21"/>
          <w:highlight w:val="none"/>
        </w:rPr>
        <w:t>.颁发优秀供应商证书，并进行公告；</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5</w:t>
      </w:r>
      <w:r>
        <w:rPr>
          <w:rFonts w:hint="eastAsia" w:ascii="宋体" w:hAnsi="宋体" w:eastAsia="宋体" w:cs="宋体"/>
          <w:kern w:val="0"/>
          <w:szCs w:val="21"/>
          <w:highlight w:val="none"/>
        </w:rPr>
        <w:t>.根据产品情况，A级供应商可予以免检或降低检测频次；</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6</w:t>
      </w:r>
      <w:r>
        <w:rPr>
          <w:rFonts w:hint="eastAsia" w:ascii="宋体" w:hAnsi="宋体" w:eastAsia="宋体" w:cs="宋体"/>
          <w:kern w:val="0"/>
          <w:szCs w:val="21"/>
          <w:highlight w:val="none"/>
        </w:rPr>
        <w:t xml:space="preserve">.其他经决策的管理措施。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五</w:t>
      </w:r>
      <w:r>
        <w:rPr>
          <w:rFonts w:hint="eastAsia" w:ascii="宋体" w:hAnsi="宋体" w:eastAsia="宋体" w:cs="宋体"/>
          <w:kern w:val="0"/>
          <w:szCs w:val="21"/>
          <w:highlight w:val="none"/>
        </w:rPr>
        <w:t>）对于B级供应商可选用以下管理措施：</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default" w:ascii="宋体" w:hAnsi="宋体" w:eastAsia="宋体" w:cs="宋体"/>
          <w:kern w:val="0"/>
          <w:szCs w:val="21"/>
          <w:highlight w:val="none"/>
          <w:lang w:val="en-US"/>
        </w:rPr>
      </w:pPr>
      <w:r>
        <w:rPr>
          <w:rFonts w:hint="default" w:ascii="宋体" w:hAnsi="宋体" w:eastAsia="宋体" w:cs="宋体"/>
          <w:kern w:val="0"/>
          <w:szCs w:val="21"/>
          <w:highlight w:val="none"/>
          <w:lang w:val="en-US"/>
        </w:rPr>
        <w:t>1.</w:t>
      </w:r>
      <w:r>
        <w:rPr>
          <w:rFonts w:hint="eastAsia" w:ascii="宋体" w:hAnsi="宋体" w:eastAsia="宋体" w:cs="宋体"/>
          <w:kern w:val="0"/>
          <w:szCs w:val="21"/>
          <w:highlight w:val="none"/>
        </w:rPr>
        <w:t>共享行业发展趋势及产品技术信息，邀请参与产品技术发展趋势交流研讨；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2</w:t>
      </w:r>
      <w:r>
        <w:rPr>
          <w:rFonts w:hint="eastAsia" w:ascii="宋体" w:hAnsi="宋体" w:eastAsia="宋体" w:cs="宋体"/>
          <w:kern w:val="0"/>
          <w:szCs w:val="21"/>
          <w:highlight w:val="none"/>
        </w:rPr>
        <w:t>.原则上可减少履约保证金的额度的50%；</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3</w:t>
      </w:r>
      <w:r>
        <w:rPr>
          <w:rFonts w:hint="eastAsia" w:ascii="宋体" w:hAnsi="宋体" w:eastAsia="宋体" w:cs="宋体"/>
          <w:kern w:val="0"/>
          <w:szCs w:val="21"/>
          <w:highlight w:val="none"/>
        </w:rPr>
        <w:t xml:space="preserve">.其他经决策的管理措施。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六</w:t>
      </w:r>
      <w:r>
        <w:rPr>
          <w:rFonts w:hint="eastAsia" w:ascii="宋体" w:hAnsi="宋体" w:eastAsia="宋体" w:cs="宋体"/>
          <w:kern w:val="0"/>
          <w:szCs w:val="21"/>
          <w:highlight w:val="none"/>
        </w:rPr>
        <w:t>）对于C级供应商可选用以下管理措施：</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1</w:t>
      </w:r>
      <w:r>
        <w:rPr>
          <w:rFonts w:hint="eastAsia" w:ascii="宋体" w:hAnsi="宋体" w:eastAsia="宋体" w:cs="宋体"/>
          <w:kern w:val="0"/>
          <w:szCs w:val="21"/>
          <w:highlight w:val="none"/>
        </w:rPr>
        <w:t>.及时反馈改进意见，提供相关技术及管理方面的帮助，促使其不断提高产品质量和服务水平；</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default" w:ascii="宋体" w:hAnsi="宋体" w:eastAsia="宋体" w:cs="宋体"/>
          <w:kern w:val="0"/>
          <w:szCs w:val="21"/>
          <w:highlight w:val="none"/>
          <w:lang w:val="en-US"/>
        </w:rPr>
        <w:t>2</w:t>
      </w:r>
      <w:r>
        <w:rPr>
          <w:rFonts w:hint="eastAsia" w:ascii="宋体" w:hAnsi="宋体" w:eastAsia="宋体" w:cs="宋体"/>
          <w:kern w:val="0"/>
          <w:szCs w:val="21"/>
          <w:highlight w:val="none"/>
        </w:rPr>
        <w:t xml:space="preserve">.其他经决策的管理措施。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七</w:t>
      </w:r>
      <w:r>
        <w:rPr>
          <w:rFonts w:hint="eastAsia" w:ascii="宋体" w:hAnsi="宋体" w:eastAsia="宋体" w:cs="宋体"/>
          <w:kern w:val="0"/>
          <w:szCs w:val="21"/>
          <w:highlight w:val="none"/>
        </w:rPr>
        <w:t>）对于D级供应商可选用以下管理措施：</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1.D级供应商禁止合作期满后，首次采购时若为非招标采购项目的，经</w:t>
      </w:r>
      <w:r>
        <w:rPr>
          <w:rFonts w:hint="eastAsia" w:ascii="宋体" w:hAnsi="宋体" w:eastAsia="宋体" w:cs="宋体"/>
          <w:kern w:val="0"/>
          <w:szCs w:val="21"/>
          <w:highlight w:val="none"/>
          <w:lang w:val="en-US" w:eastAsia="zh-CN"/>
        </w:rPr>
        <w:t>决策</w:t>
      </w:r>
      <w:r>
        <w:rPr>
          <w:rFonts w:hint="eastAsia" w:ascii="宋体" w:hAnsi="宋体" w:eastAsia="宋体" w:cs="宋体"/>
          <w:kern w:val="0"/>
          <w:szCs w:val="21"/>
          <w:highlight w:val="none"/>
        </w:rPr>
        <w:t>可扣减其综合评审得分总分0至5分(百分制)；禁止合作期满后再次合作的，经</w:t>
      </w:r>
      <w:r>
        <w:rPr>
          <w:rFonts w:hint="eastAsia" w:ascii="宋体" w:hAnsi="宋体" w:eastAsia="宋体" w:cs="宋体"/>
          <w:kern w:val="0"/>
          <w:szCs w:val="21"/>
          <w:highlight w:val="none"/>
          <w:lang w:val="en-US" w:eastAsia="zh-CN"/>
        </w:rPr>
        <w:t>决策</w:t>
      </w:r>
      <w:r>
        <w:rPr>
          <w:rFonts w:hint="eastAsia" w:ascii="宋体" w:hAnsi="宋体" w:eastAsia="宋体" w:cs="宋体"/>
          <w:kern w:val="0"/>
          <w:szCs w:val="21"/>
          <w:highlight w:val="none"/>
        </w:rPr>
        <w:t>，可根据产品情况对其进行份额限制；</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eastAsia="宋体" w:cs="宋体"/>
          <w:kern w:val="0"/>
          <w:szCs w:val="21"/>
          <w:highlight w:val="none"/>
        </w:rPr>
      </w:pPr>
      <w:r>
        <w:rPr>
          <w:rFonts w:hint="eastAsia" w:ascii="宋体" w:hAnsi="宋体" w:eastAsia="宋体" w:cs="宋体"/>
          <w:kern w:val="0"/>
          <w:szCs w:val="21"/>
          <w:highlight w:val="none"/>
        </w:rPr>
        <w:t>2.其他经决策的管理措施。</w:t>
      </w:r>
    </w:p>
    <w:p>
      <w:pPr>
        <w:rPr>
          <w:rFonts w:hint="eastAsia"/>
          <w:highlight w:val="none"/>
        </w:rPr>
      </w:pPr>
    </w:p>
    <w:p>
      <w:pPr>
        <w:rPr>
          <w:rFonts w:hint="eastAsia"/>
          <w:highlight w:val="none"/>
        </w:rPr>
      </w:pPr>
    </w:p>
    <w:p>
      <w:pPr>
        <w:rPr>
          <w:rFonts w:hint="eastAsia"/>
          <w:highlight w:val="none"/>
        </w:rPr>
      </w:pPr>
    </w:p>
    <w:p>
      <w:pPr>
        <w:rPr>
          <w:rFonts w:hint="eastAsia"/>
          <w:highlight w:val="none"/>
        </w:rPr>
      </w:pPr>
    </w:p>
    <w:p>
      <w:pPr>
        <w:rPr>
          <w:rFonts w:hint="eastAsia"/>
          <w:highlight w:val="none"/>
        </w:rPr>
      </w:pPr>
    </w:p>
    <w:p>
      <w:pPr>
        <w:rPr>
          <w:rFonts w:hint="eastAsia"/>
          <w:highlight w:val="none"/>
        </w:rPr>
      </w:pPr>
    </w:p>
    <w:p>
      <w:pPr>
        <w:rPr>
          <w:rFonts w:hint="eastAsia"/>
          <w:highlight w:val="none"/>
        </w:rPr>
      </w:pPr>
    </w:p>
    <w:p>
      <w:pPr>
        <w:rPr>
          <w:rFonts w:hint="eastAsia" w:ascii="黑体" w:hAnsi="黑体" w:eastAsia="黑体"/>
          <w:b w:val="0"/>
          <w:sz w:val="28"/>
          <w:szCs w:val="28"/>
          <w:highlight w:val="none"/>
        </w:rPr>
      </w:pPr>
      <w:bookmarkStart w:id="6" w:name="_Toc31284"/>
      <w:r>
        <w:rPr>
          <w:rFonts w:hint="eastAsia" w:ascii="黑体" w:hAnsi="黑体" w:eastAsia="黑体"/>
          <w:b w:val="0"/>
          <w:sz w:val="28"/>
          <w:szCs w:val="28"/>
          <w:highlight w:val="none"/>
        </w:rPr>
        <w:br w:type="page"/>
      </w:r>
    </w:p>
    <w:p>
      <w:pPr>
        <w:pStyle w:val="6"/>
        <w:spacing w:before="0" w:after="0" w:line="240" w:lineRule="auto"/>
        <w:jc w:val="center"/>
        <w:outlineLvl w:val="0"/>
        <w:rPr>
          <w:rFonts w:ascii="黑体" w:hAnsi="黑体" w:eastAsia="黑体"/>
          <w:b w:val="0"/>
          <w:sz w:val="28"/>
          <w:szCs w:val="28"/>
          <w:highlight w:val="none"/>
        </w:rPr>
      </w:pPr>
      <w:r>
        <w:rPr>
          <w:rFonts w:hint="eastAsia" w:ascii="黑体" w:hAnsi="黑体" w:eastAsia="黑体"/>
          <w:b w:val="0"/>
          <w:sz w:val="28"/>
          <w:szCs w:val="28"/>
          <w:highlight w:val="none"/>
        </w:rPr>
        <w:t>1</w:t>
      </w:r>
      <w:r>
        <w:rPr>
          <w:rFonts w:ascii="黑体" w:hAnsi="黑体" w:eastAsia="黑体"/>
          <w:b w:val="0"/>
          <w:sz w:val="28"/>
          <w:szCs w:val="28"/>
          <w:highlight w:val="none"/>
        </w:rPr>
        <w:t>.</w:t>
      </w:r>
      <w:r>
        <w:rPr>
          <w:rFonts w:hint="default" w:ascii="黑体" w:hAnsi="黑体" w:eastAsia="黑体"/>
          <w:b w:val="0"/>
          <w:sz w:val="28"/>
          <w:szCs w:val="28"/>
          <w:highlight w:val="none"/>
          <w:lang w:val="en-US" w:eastAsia="zh-CN"/>
        </w:rPr>
        <w:t>4</w:t>
      </w:r>
      <w:r>
        <w:rPr>
          <w:rFonts w:ascii="黑体" w:hAnsi="黑体" w:eastAsia="黑体"/>
          <w:b w:val="0"/>
          <w:sz w:val="28"/>
          <w:szCs w:val="28"/>
          <w:highlight w:val="none"/>
        </w:rPr>
        <w:t xml:space="preserve"> 安徽移动供应商负面行为处理规则</w:t>
      </w:r>
      <w:bookmarkEnd w:id="6"/>
    </w:p>
    <w:p>
      <w:pPr>
        <w:ind w:firstLine="420" w:firstLineChars="200"/>
        <w:rPr>
          <w:rFonts w:ascii="宋体" w:hAnsi="宋体" w:eastAsia="宋体" w:cs="宋体"/>
          <w:kern w:val="0"/>
          <w:szCs w:val="21"/>
          <w:highlight w:val="none"/>
        </w:rPr>
      </w:pPr>
      <w:r>
        <w:rPr>
          <w:rFonts w:hint="eastAsia" w:ascii="宋体" w:hAnsi="宋体" w:eastAsia="宋体" w:cs="宋体"/>
          <w:kern w:val="0"/>
          <w:szCs w:val="21"/>
          <w:highlight w:val="none"/>
        </w:rPr>
        <w:t>一、根据</w:t>
      </w:r>
      <w:r>
        <w:rPr>
          <w:rFonts w:hint="eastAsia" w:ascii="宋体" w:hAnsi="宋体" w:eastAsia="宋体" w:cs="宋体"/>
          <w:kern w:val="0"/>
          <w:szCs w:val="21"/>
          <w:highlight w:val="none"/>
          <w:lang w:val="en-US" w:eastAsia="zh-CN"/>
        </w:rPr>
        <w:t>乙方（</w:t>
      </w:r>
      <w:r>
        <w:rPr>
          <w:rFonts w:hint="eastAsia" w:ascii="宋体" w:hAnsi="宋体" w:eastAsia="宋体" w:cs="宋体"/>
          <w:kern w:val="0"/>
          <w:szCs w:val="21"/>
          <w:highlight w:val="none"/>
        </w:rPr>
        <w:t>供应商</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rPr>
        <w:t>负面行为给</w:t>
      </w:r>
      <w:r>
        <w:rPr>
          <w:rFonts w:hint="eastAsia" w:ascii="宋体" w:hAnsi="宋体" w:eastAsia="宋体" w:cs="宋体"/>
          <w:kern w:val="0"/>
          <w:szCs w:val="21"/>
          <w:highlight w:val="none"/>
          <w:lang w:val="en-US" w:eastAsia="zh-CN"/>
        </w:rPr>
        <w:t>甲方（安徽移动）</w:t>
      </w:r>
      <w:r>
        <w:rPr>
          <w:rFonts w:hint="eastAsia" w:ascii="宋体" w:hAnsi="宋体" w:eastAsia="宋体" w:cs="宋体"/>
          <w:kern w:val="0"/>
          <w:szCs w:val="21"/>
          <w:highlight w:val="none"/>
        </w:rPr>
        <w:t>通信网络建设、生产运营、优质服务、企业形象造成的负面影响程度和经济损失不同，依次分为一般负面行为、严重负面行为和特别严重负面行为</w:t>
      </w:r>
      <w:r>
        <w:rPr>
          <w:rFonts w:ascii="宋体" w:hAnsi="宋体" w:eastAsia="宋体" w:cs="宋体"/>
          <w:kern w:val="0"/>
          <w:szCs w:val="21"/>
          <w:highlight w:val="none"/>
        </w:rPr>
        <w:t>。</w:t>
      </w:r>
    </w:p>
    <w:p>
      <w:pPr>
        <w:ind w:left="420"/>
        <w:rPr>
          <w:rFonts w:ascii="宋体" w:hAnsi="宋体" w:eastAsia="宋体" w:cs="宋体"/>
          <w:b/>
          <w:bCs/>
          <w:kern w:val="0"/>
          <w:szCs w:val="21"/>
          <w:highlight w:val="none"/>
        </w:rPr>
      </w:pPr>
      <w:r>
        <w:rPr>
          <w:rFonts w:hint="eastAsia" w:ascii="宋体" w:hAnsi="宋体" w:eastAsia="宋体" w:cs="宋体"/>
          <w:b/>
          <w:bCs/>
          <w:kern w:val="0"/>
          <w:szCs w:val="21"/>
          <w:highlight w:val="none"/>
        </w:rPr>
        <w:t>二、</w:t>
      </w:r>
      <w:r>
        <w:rPr>
          <w:rFonts w:ascii="宋体" w:hAnsi="宋体" w:eastAsia="宋体" w:cs="宋体"/>
          <w:b/>
          <w:bCs/>
          <w:kern w:val="0"/>
          <w:szCs w:val="21"/>
          <w:highlight w:val="none"/>
        </w:rPr>
        <w:t>有下列情况之一者，为</w:t>
      </w:r>
      <w:r>
        <w:rPr>
          <w:rFonts w:ascii="宋体" w:hAnsi="宋体" w:eastAsia="宋体" w:cs="宋体"/>
          <w:b/>
          <w:bCs/>
          <w:color w:val="FF0000"/>
          <w:kern w:val="0"/>
          <w:szCs w:val="21"/>
          <w:highlight w:val="none"/>
        </w:rPr>
        <w:t>一般负面行为</w:t>
      </w:r>
      <w:r>
        <w:rPr>
          <w:rFonts w:ascii="宋体" w:hAnsi="宋体" w:eastAsia="宋体" w:cs="宋体"/>
          <w:b/>
          <w:bCs/>
          <w:kern w:val="0"/>
          <w:szCs w:val="21"/>
          <w:highlight w:val="none"/>
        </w:rPr>
        <w:t>：</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（一）产品质量不合格且达到合同规定质量问题负面行为标准；</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（二）供应商原因造成延期交货，或存在服务人员未按合同要求及时到位、技术指导或售后服务未达到合同约定等服务问题，且对网络建设进度、网络质量或生产运营等造成影响；</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（三）供应商故意修改采购文件明确列明的技术参数并进行响应，或在合同签订过程中擅自对合同实质性条款进行修改；</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（四）转包、违法分包合同标的；</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（五）未按照承诺使用承诺品牌、承诺参数的元器件或原材料被责任追究或导致安徽移动利益受损，或供应产品到货配置与订单配置不一致且导致安徽移动利益受损；</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（六）合同履约过程中供应商无不可抗力、情势变更等合理正当理由提出解除合同/框架协议，但已积极采取措施减少对安徽移动网络建设进度、网络质量等影响；</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七）因供应商产品或供应商操作等原因造成安徽移动网络故障，达到《电信网络运行监督管理办法》（工信部电管〔2009〕187号,以下简称《监督管理办法》）定义的重大事故，或达到《中国移动全网重大通信故障定义》（以下简称《故障定义》，详见本文1.6章节）定义的故障情形。如前述事故或故障同时符合《监督管理办法》和《故障定义》的相应情形定义，则以《监督管理办法》定义的情形为准；</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八）因供应商产品或操作等原因给安徽移动造成网络安全风险事件，达到《公共互联网网络安全突发事件应急预案》（工信部网安[2017]281号，以下简称《公共互联网网络安全突发事件应急预案》）或《互联网网络安全信息通报实施办法》（工信部保[2009]156号，以下简称《互联网网络安全信息通报实施办法》）定义的一般事件或较大事件；</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（九）因供应商产品或供应商操作等原因造成安徽移动生产安全事故，并达到国家《生产安全事故报告和调查处理条例》（国务院令第493号，以下简称《生产安全事故条例》）定义的一般事故级别；</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（十）因供应商产品或供应商操作等原因造成安徽移动突发环境事件，并达到《突发环境事件分级标准》（国办函[2014]119号，以下简称《突发环境事件分级标准》）定义的一般（Ⅳ级）突发环境事件；</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（十一）在合同履约过程中，因供应商原因发生拖欠农民工工资，引发农民工上访事件且拒绝整改；</w:t>
      </w:r>
    </w:p>
    <w:p>
      <w:pPr>
        <w:ind w:left="420"/>
        <w:rPr>
          <w:rFonts w:hint="eastAsia"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（十二）其他经安徽移动认定为一般负面行为的。</w:t>
      </w:r>
    </w:p>
    <w:p>
      <w:pPr>
        <w:ind w:left="420"/>
        <w:rPr>
          <w:rFonts w:ascii="宋体" w:hAnsi="宋体" w:eastAsia="宋体" w:cs="宋体"/>
          <w:b/>
          <w:bCs/>
          <w:kern w:val="0"/>
          <w:szCs w:val="21"/>
          <w:highlight w:val="none"/>
        </w:rPr>
      </w:pPr>
      <w:r>
        <w:rPr>
          <w:rFonts w:hint="eastAsia" w:ascii="宋体" w:hAnsi="宋体" w:eastAsia="宋体" w:cs="宋体"/>
          <w:b/>
          <w:bCs/>
          <w:kern w:val="0"/>
          <w:szCs w:val="21"/>
          <w:highlight w:val="none"/>
        </w:rPr>
        <w:t>三、</w:t>
      </w:r>
      <w:r>
        <w:rPr>
          <w:rFonts w:ascii="宋体" w:hAnsi="宋体" w:eastAsia="宋体" w:cs="宋体"/>
          <w:b/>
          <w:bCs/>
          <w:kern w:val="0"/>
          <w:szCs w:val="21"/>
          <w:highlight w:val="none"/>
        </w:rPr>
        <w:t>有下列情况之一者，为</w:t>
      </w:r>
      <w:r>
        <w:rPr>
          <w:rFonts w:ascii="宋体" w:hAnsi="宋体" w:eastAsia="宋体" w:cs="宋体"/>
          <w:b/>
          <w:bCs/>
          <w:color w:val="FF0000"/>
          <w:kern w:val="0"/>
          <w:szCs w:val="21"/>
          <w:highlight w:val="none"/>
        </w:rPr>
        <w:t>严重负面行为</w:t>
      </w:r>
      <w:r>
        <w:rPr>
          <w:rFonts w:ascii="宋体" w:hAnsi="宋体" w:eastAsia="宋体" w:cs="宋体"/>
          <w:b/>
          <w:bCs/>
          <w:kern w:val="0"/>
          <w:szCs w:val="21"/>
          <w:highlight w:val="none"/>
        </w:rPr>
        <w:t>：</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一）在采购活动中供应商以他人名义参加采购或弄虚作假，包括但不限于使用伪造变造的许可证件、检测报告，提供虚假的财务状况或者业绩，提供虚假的项目负责人或者主要技术人员简历、劳动关系证明，提供虚假的信用状况，以及与检测单位串通伪造检测结果的行为等；</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二）在采购活动中供应商相互串通或者与采购人及采购相关方串通，包括但不限于相互协商报价等实质性内容，约定中选人，约定部分供应商放弃参加采购或者中选，按照同一集团、协会、商会等组织要求协同投标，为谋取中选或者排斥特定供应商而采取联合行动，非法获知标底或评审委员会成员信息等；</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三）不按采购文件及应答文件承诺签订合同或框架协议的，包括但不限于已列入中选候选人的供应商在发布候选人公示之日后无正当理由放弃中选资格或中标通知书发出后拒绝签订合同文件以及在合同履约过程中无不可抗力、情势变更等合理正当理由不履约且拒绝整改；</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（四）对采购人或其他供应商进行诋毁、恶意异议</w:t>
      </w:r>
      <w:r>
        <w:rPr>
          <w:rFonts w:hint="default" w:ascii="宋体" w:hAnsi="宋体" w:eastAsia="宋体" w:cs="宋体"/>
          <w:kern w:val="0"/>
          <w:sz w:val="21"/>
          <w:szCs w:val="21"/>
          <w:highlight w:val="none"/>
          <w:lang w:val="en-US" w:eastAsia="zh-CN" w:bidi="ar-SA"/>
        </w:rPr>
        <w:t>，或对其他供应商、采购人等采购活动的相关方采取威胁、欺骗等非法手段的。恶意异议行为包括但不限于捏造事实、伪造材料、以非法手段取得证明材料进行异议、首次异议受理并正式答复后，在不能提供新的有效证据情况下仍就同一问题再次进行异议，在采购人给予后续处罚提醒后，依然就同一问题继续进行异议</w:t>
      </w:r>
      <w:r>
        <w:rPr>
          <w:rFonts w:hint="eastAsia" w:ascii="宋体" w:hAnsi="宋体" w:eastAsia="宋体" w:cs="宋体"/>
          <w:kern w:val="0"/>
          <w:sz w:val="21"/>
          <w:szCs w:val="21"/>
          <w:highlight w:val="none"/>
          <w:lang w:val="en-US" w:eastAsia="zh-CN" w:bidi="ar-SA"/>
        </w:rPr>
        <w:t>；</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（五）因供应商产品或供应商操作等原因造成安徽移动网络故障，并达到《监督管理办法》定义的特别重大事故；</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（六）</w:t>
      </w:r>
      <w:r>
        <w:rPr>
          <w:rFonts w:hint="default" w:ascii="宋体" w:hAnsi="宋体" w:eastAsia="宋体" w:cs="宋体"/>
          <w:kern w:val="0"/>
          <w:sz w:val="21"/>
          <w:szCs w:val="21"/>
          <w:highlight w:val="none"/>
          <w:lang w:val="en-US" w:eastAsia="zh-CN" w:bidi="ar-SA"/>
        </w:rPr>
        <w:t>因供应商产品或操作等原因给</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移动造成网络安全风险事件，达到《公共互联网网络安全突发事件应急预案》或《互联网网络安全信息通报实施办法》定义的重大事件；</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（七）</w:t>
      </w:r>
      <w:r>
        <w:rPr>
          <w:rFonts w:hint="default" w:ascii="宋体" w:hAnsi="宋体" w:eastAsia="宋体" w:cs="宋体"/>
          <w:kern w:val="0"/>
          <w:sz w:val="21"/>
          <w:szCs w:val="21"/>
          <w:highlight w:val="none"/>
          <w:lang w:val="en-US" w:eastAsia="zh-CN" w:bidi="ar-SA"/>
        </w:rPr>
        <w:t>因供应商产品或供应商操作等原因造成</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移动生产安全事故，并达到《生产安全事故条例》定义的较大事故；</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（八）</w:t>
      </w:r>
      <w:r>
        <w:rPr>
          <w:rFonts w:hint="default" w:ascii="宋体" w:hAnsi="宋体" w:eastAsia="宋体" w:cs="宋体"/>
          <w:kern w:val="0"/>
          <w:sz w:val="21"/>
          <w:szCs w:val="21"/>
          <w:highlight w:val="none"/>
          <w:lang w:val="en-US" w:eastAsia="zh-CN" w:bidi="ar-SA"/>
        </w:rPr>
        <w:t>因供应商产品或供应商操作等原因造成</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移动突发环境事件，并达到《突发环境事件分级标准》定义的</w:t>
      </w:r>
      <w:r>
        <w:rPr>
          <w:rFonts w:hint="eastAsia" w:ascii="宋体" w:hAnsi="宋体" w:eastAsia="宋体" w:cs="宋体"/>
          <w:kern w:val="0"/>
          <w:sz w:val="21"/>
          <w:szCs w:val="21"/>
          <w:highlight w:val="none"/>
          <w:lang w:val="en-US" w:eastAsia="zh-CN" w:bidi="ar-SA"/>
        </w:rPr>
        <w:t>较大</w:t>
      </w:r>
      <w:r>
        <w:rPr>
          <w:rFonts w:hint="default" w:ascii="宋体" w:hAnsi="宋体" w:eastAsia="宋体" w:cs="宋体"/>
          <w:kern w:val="0"/>
          <w:sz w:val="21"/>
          <w:szCs w:val="21"/>
          <w:highlight w:val="none"/>
          <w:lang w:val="en-US" w:eastAsia="zh-CN" w:bidi="ar-SA"/>
        </w:rPr>
        <w:t>（Ⅲ级）突发环境事件</w:t>
      </w:r>
      <w:r>
        <w:rPr>
          <w:rFonts w:hint="eastAsia" w:ascii="宋体" w:hAnsi="宋体" w:eastAsia="宋体" w:cs="宋体"/>
          <w:kern w:val="0"/>
          <w:sz w:val="21"/>
          <w:szCs w:val="21"/>
          <w:highlight w:val="none"/>
          <w:lang w:val="en-US" w:eastAsia="zh-CN" w:bidi="ar-SA"/>
        </w:rPr>
        <w:t>，或引起生态环境损害赔偿并达到《关于深入推进生态环境损害赔偿制度改革若干具体问题的意见》（环法规〔2025〕6号）规定的重大案件</w:t>
      </w:r>
      <w:r>
        <w:rPr>
          <w:rFonts w:hint="default" w:ascii="宋体" w:hAnsi="宋体" w:eastAsia="宋体" w:cs="宋体"/>
          <w:kern w:val="0"/>
          <w:sz w:val="21"/>
          <w:szCs w:val="21"/>
          <w:highlight w:val="none"/>
          <w:lang w:val="en-US" w:eastAsia="zh-CN" w:bidi="ar-SA"/>
        </w:rPr>
        <w:t>；</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（八）</w:t>
      </w:r>
      <w:r>
        <w:rPr>
          <w:rFonts w:hint="default" w:ascii="宋体" w:hAnsi="宋体" w:eastAsia="宋体" w:cs="宋体"/>
          <w:kern w:val="0"/>
          <w:sz w:val="21"/>
          <w:szCs w:val="21"/>
          <w:highlight w:val="none"/>
          <w:lang w:val="en-US" w:eastAsia="zh-CN" w:bidi="ar-SA"/>
        </w:rPr>
        <w:t>在合同</w:t>
      </w:r>
      <w:r>
        <w:rPr>
          <w:rFonts w:hint="eastAsia" w:ascii="宋体" w:hAnsi="宋体" w:eastAsia="宋体" w:cs="宋体"/>
          <w:kern w:val="0"/>
          <w:sz w:val="21"/>
          <w:szCs w:val="21"/>
          <w:highlight w:val="none"/>
          <w:lang w:val="en-US" w:eastAsia="zh-CN" w:bidi="ar-SA"/>
        </w:rPr>
        <w:t>履约</w:t>
      </w:r>
      <w:r>
        <w:rPr>
          <w:rFonts w:hint="default" w:ascii="宋体" w:hAnsi="宋体" w:eastAsia="宋体" w:cs="宋体"/>
          <w:kern w:val="0"/>
          <w:sz w:val="21"/>
          <w:szCs w:val="21"/>
          <w:highlight w:val="none"/>
          <w:lang w:val="en-US" w:eastAsia="zh-CN" w:bidi="ar-SA"/>
        </w:rPr>
        <w:t>过程中，</w:t>
      </w:r>
      <w:r>
        <w:rPr>
          <w:rFonts w:hint="eastAsia" w:ascii="宋体" w:hAnsi="宋体" w:eastAsia="宋体" w:cs="宋体"/>
          <w:kern w:val="0"/>
          <w:sz w:val="21"/>
          <w:szCs w:val="21"/>
          <w:highlight w:val="none"/>
          <w:lang w:val="en-US" w:eastAsia="zh-CN" w:bidi="ar-SA"/>
        </w:rPr>
        <w:t>因</w:t>
      </w:r>
      <w:r>
        <w:rPr>
          <w:rFonts w:hint="default" w:ascii="宋体" w:hAnsi="宋体" w:eastAsia="宋体" w:cs="宋体"/>
          <w:kern w:val="0"/>
          <w:sz w:val="21"/>
          <w:szCs w:val="21"/>
          <w:highlight w:val="none"/>
          <w:lang w:val="en-US" w:eastAsia="zh-CN" w:bidi="ar-SA"/>
        </w:rPr>
        <w:t>供应商</w:t>
      </w:r>
      <w:r>
        <w:rPr>
          <w:rFonts w:hint="eastAsia" w:ascii="宋体" w:hAnsi="宋体" w:eastAsia="宋体" w:cs="宋体"/>
          <w:kern w:val="0"/>
          <w:sz w:val="21"/>
          <w:szCs w:val="21"/>
          <w:highlight w:val="none"/>
          <w:lang w:val="en-US" w:eastAsia="zh-CN" w:bidi="ar-SA"/>
        </w:rPr>
        <w:t>原因</w:t>
      </w:r>
      <w:r>
        <w:rPr>
          <w:rFonts w:hint="default" w:ascii="宋体" w:hAnsi="宋体" w:eastAsia="宋体" w:cs="宋体"/>
          <w:kern w:val="0"/>
          <w:sz w:val="21"/>
          <w:szCs w:val="21"/>
          <w:highlight w:val="none"/>
          <w:lang w:val="en-US" w:eastAsia="zh-CN" w:bidi="ar-SA"/>
        </w:rPr>
        <w:t>发生拖欠农民工工资，引发农民工上访事件</w:t>
      </w:r>
      <w:r>
        <w:rPr>
          <w:rFonts w:hint="eastAsia" w:ascii="宋体" w:hAnsi="宋体" w:eastAsia="宋体" w:cs="宋体"/>
          <w:kern w:val="0"/>
          <w:sz w:val="21"/>
          <w:szCs w:val="21"/>
          <w:highlight w:val="none"/>
          <w:lang w:val="en-US" w:eastAsia="zh-CN" w:bidi="ar-SA"/>
        </w:rPr>
        <w:t>，拒绝整改且</w:t>
      </w:r>
      <w:r>
        <w:rPr>
          <w:rFonts w:hint="default" w:ascii="宋体" w:hAnsi="宋体" w:eastAsia="宋体" w:cs="宋体"/>
          <w:kern w:val="0"/>
          <w:sz w:val="21"/>
          <w:szCs w:val="21"/>
          <w:highlight w:val="none"/>
          <w:lang w:val="en-US" w:eastAsia="zh-CN" w:bidi="ar-SA"/>
        </w:rPr>
        <w:t>造成较大及以上舆情（参照中国移动舆情工作管理办法）</w:t>
      </w:r>
      <w:r>
        <w:rPr>
          <w:rFonts w:hint="eastAsia" w:ascii="宋体" w:hAnsi="宋体" w:eastAsia="宋体" w:cs="宋体"/>
          <w:kern w:val="0"/>
          <w:sz w:val="21"/>
          <w:szCs w:val="21"/>
          <w:highlight w:val="none"/>
          <w:lang w:val="en-US" w:eastAsia="zh-CN" w:bidi="ar-SA"/>
        </w:rPr>
        <w:t>；</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（九）违反合同约定的保密义务，或违反其他依法或依照商业惯例负有的保密义务，对外泄露安徽移动商业秘密；</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（九）其他经安徽移动认定为严重负面行为的。</w:t>
      </w:r>
    </w:p>
    <w:p>
      <w:pPr>
        <w:ind w:left="420"/>
        <w:rPr>
          <w:rFonts w:ascii="宋体" w:hAnsi="宋体" w:eastAsia="宋体" w:cs="宋体"/>
          <w:b/>
          <w:bCs/>
          <w:kern w:val="0"/>
          <w:szCs w:val="21"/>
          <w:highlight w:val="none"/>
        </w:rPr>
      </w:pPr>
      <w:r>
        <w:rPr>
          <w:rFonts w:hint="eastAsia" w:ascii="宋体" w:hAnsi="宋体" w:eastAsia="宋体" w:cs="宋体"/>
          <w:b/>
          <w:bCs/>
          <w:kern w:val="0"/>
          <w:szCs w:val="21"/>
          <w:highlight w:val="none"/>
        </w:rPr>
        <w:t>四、</w:t>
      </w:r>
      <w:r>
        <w:rPr>
          <w:rFonts w:ascii="宋体" w:hAnsi="宋体" w:eastAsia="宋体" w:cs="宋体"/>
          <w:b/>
          <w:bCs/>
          <w:kern w:val="0"/>
          <w:szCs w:val="21"/>
          <w:highlight w:val="none"/>
        </w:rPr>
        <w:t>有下列情况之一者，为</w:t>
      </w:r>
      <w:r>
        <w:rPr>
          <w:rFonts w:ascii="宋体" w:hAnsi="宋体" w:eastAsia="宋体" w:cs="宋体"/>
          <w:b/>
          <w:bCs/>
          <w:color w:val="FF0000"/>
          <w:kern w:val="0"/>
          <w:szCs w:val="21"/>
          <w:highlight w:val="none"/>
        </w:rPr>
        <w:t>特别严重负面行为</w:t>
      </w:r>
      <w:r>
        <w:rPr>
          <w:rFonts w:ascii="宋体" w:hAnsi="宋体" w:eastAsia="宋体" w:cs="宋体"/>
          <w:b/>
          <w:bCs/>
          <w:kern w:val="0"/>
          <w:szCs w:val="21"/>
          <w:highlight w:val="none"/>
        </w:rPr>
        <w:t>：</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（一）</w:t>
      </w:r>
      <w:r>
        <w:rPr>
          <w:rFonts w:hint="default" w:ascii="宋体" w:hAnsi="宋体" w:eastAsia="宋体" w:cs="宋体"/>
          <w:kern w:val="0"/>
          <w:sz w:val="21"/>
          <w:szCs w:val="21"/>
          <w:highlight w:val="none"/>
          <w:lang w:val="en-US" w:eastAsia="zh-CN" w:bidi="ar-SA"/>
        </w:rPr>
        <w:t>司法机关认定供应商存在单位行贿行为，包括向采购人、评审委员会成员、采购代理机构、检测单位等</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移动采购相关方及相关人员行贿或提供不正当利益；</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（二）</w:t>
      </w:r>
      <w:r>
        <w:rPr>
          <w:rFonts w:hint="default" w:ascii="宋体" w:hAnsi="宋体" w:eastAsia="宋体" w:cs="宋体"/>
          <w:kern w:val="0"/>
          <w:sz w:val="21"/>
          <w:szCs w:val="21"/>
          <w:highlight w:val="none"/>
          <w:lang w:val="en-US" w:eastAsia="zh-CN" w:bidi="ar-SA"/>
        </w:rPr>
        <w:t>因供应商产品或供应商操作等原因造成</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移动生产</w:t>
      </w:r>
      <w:r>
        <w:rPr>
          <w:rFonts w:hint="eastAsia" w:ascii="宋体" w:hAnsi="宋体" w:eastAsia="宋体" w:cs="宋体"/>
          <w:kern w:val="0"/>
          <w:sz w:val="21"/>
          <w:szCs w:val="21"/>
          <w:highlight w:val="none"/>
          <w:lang w:val="en-US" w:eastAsia="zh-CN" w:bidi="ar-SA"/>
        </w:rPr>
        <w:t>安全</w:t>
      </w:r>
      <w:r>
        <w:rPr>
          <w:rFonts w:hint="default" w:ascii="宋体" w:hAnsi="宋体" w:eastAsia="宋体" w:cs="宋体"/>
          <w:kern w:val="0"/>
          <w:sz w:val="21"/>
          <w:szCs w:val="21"/>
          <w:highlight w:val="none"/>
          <w:lang w:val="en-US" w:eastAsia="zh-CN" w:bidi="ar-SA"/>
        </w:rPr>
        <w:t>事故，并达到《生产安全事故条例》定义的重大事故及以上级别事故；</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（三）</w:t>
      </w:r>
      <w:r>
        <w:rPr>
          <w:rFonts w:hint="default" w:ascii="宋体" w:hAnsi="宋体" w:eastAsia="宋体" w:cs="宋体"/>
          <w:kern w:val="0"/>
          <w:sz w:val="21"/>
          <w:szCs w:val="21"/>
          <w:highlight w:val="none"/>
          <w:lang w:val="en-US" w:eastAsia="zh-CN" w:bidi="ar-SA"/>
        </w:rPr>
        <w:t>因供应商产品或操作等原因给</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移动造成网络安全风险事件，达到《公共互联网网络安全突发事件应急预案》或《互联网网络安全信息通报实施办法》定义的特别重大事件；</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（四）</w:t>
      </w:r>
      <w:r>
        <w:rPr>
          <w:rFonts w:hint="default" w:ascii="宋体" w:hAnsi="宋体" w:eastAsia="宋体" w:cs="宋体"/>
          <w:kern w:val="0"/>
          <w:sz w:val="21"/>
          <w:szCs w:val="21"/>
          <w:highlight w:val="none"/>
          <w:lang w:val="en-US" w:eastAsia="zh-CN" w:bidi="ar-SA"/>
        </w:rPr>
        <w:t>因供应商产品或供应商操作等原因造成</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移动突发环境事件，并达到《突发环境事件分级标准》定义的重大（Ⅱ级）及以上突发环境事件；</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（五）</w:t>
      </w:r>
      <w:r>
        <w:rPr>
          <w:rFonts w:hint="default" w:ascii="宋体" w:hAnsi="宋体" w:eastAsia="宋体" w:cs="宋体"/>
          <w:kern w:val="0"/>
          <w:sz w:val="21"/>
          <w:szCs w:val="21"/>
          <w:highlight w:val="none"/>
          <w:lang w:val="en-US" w:eastAsia="zh-CN" w:bidi="ar-SA"/>
        </w:rPr>
        <w:t>与</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移动的合作中</w:t>
      </w:r>
      <w:r>
        <w:rPr>
          <w:rFonts w:hint="eastAsia" w:ascii="宋体" w:hAnsi="宋体" w:eastAsia="宋体" w:cs="宋体"/>
          <w:kern w:val="0"/>
          <w:sz w:val="21"/>
          <w:szCs w:val="21"/>
          <w:highlight w:val="none"/>
          <w:lang w:val="en-US" w:eastAsia="zh-CN" w:bidi="ar-SA"/>
        </w:rPr>
        <w:t>或涉及安徽移动的行为</w:t>
      </w:r>
      <w:r>
        <w:rPr>
          <w:rFonts w:hint="default" w:ascii="宋体" w:hAnsi="宋体" w:eastAsia="宋体" w:cs="宋体"/>
          <w:kern w:val="0"/>
          <w:sz w:val="21"/>
          <w:szCs w:val="21"/>
          <w:highlight w:val="none"/>
          <w:lang w:val="en-US" w:eastAsia="zh-CN" w:bidi="ar-SA"/>
        </w:rPr>
        <w:t>发生严重违法违规</w:t>
      </w:r>
      <w:r>
        <w:rPr>
          <w:rFonts w:hint="eastAsia" w:ascii="宋体" w:hAnsi="宋体" w:eastAsia="宋体" w:cs="宋体"/>
          <w:kern w:val="0"/>
          <w:sz w:val="21"/>
          <w:szCs w:val="21"/>
          <w:highlight w:val="none"/>
          <w:lang w:val="en-US" w:eastAsia="zh-CN" w:bidi="ar-SA"/>
        </w:rPr>
        <w:t>行为，</w:t>
      </w:r>
      <w:r>
        <w:rPr>
          <w:rFonts w:hint="default" w:ascii="宋体" w:hAnsi="宋体" w:eastAsia="宋体" w:cs="宋体"/>
          <w:kern w:val="0"/>
          <w:sz w:val="21"/>
          <w:szCs w:val="21"/>
          <w:highlight w:val="none"/>
          <w:lang w:val="en-US" w:eastAsia="zh-CN" w:bidi="ar-SA"/>
        </w:rPr>
        <w:t>受到重大刑事处罚、重大行政处罚</w:t>
      </w:r>
      <w:r>
        <w:rPr>
          <w:rFonts w:hint="eastAsia" w:ascii="宋体" w:hAnsi="宋体" w:eastAsia="宋体" w:cs="宋体"/>
          <w:kern w:val="0"/>
          <w:sz w:val="21"/>
          <w:szCs w:val="21"/>
          <w:highlight w:val="none"/>
          <w:lang w:val="en-US" w:eastAsia="zh-CN" w:bidi="ar-SA"/>
        </w:rPr>
        <w:t>；</w:t>
      </w:r>
    </w:p>
    <w:p>
      <w:pPr>
        <w:ind w:left="420"/>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（六）</w:t>
      </w:r>
      <w:r>
        <w:rPr>
          <w:rFonts w:hint="default" w:ascii="宋体" w:hAnsi="宋体" w:eastAsia="宋体" w:cs="宋体"/>
          <w:kern w:val="0"/>
          <w:sz w:val="21"/>
          <w:szCs w:val="21"/>
          <w:highlight w:val="none"/>
          <w:lang w:val="en-US" w:eastAsia="zh-CN" w:bidi="ar-SA"/>
        </w:rPr>
        <w:t>其他经</w:t>
      </w:r>
      <w:r>
        <w:rPr>
          <w:rFonts w:hint="eastAsia" w:ascii="宋体" w:hAnsi="宋体" w:eastAsia="宋体" w:cs="宋体"/>
          <w:kern w:val="0"/>
          <w:sz w:val="21"/>
          <w:szCs w:val="21"/>
          <w:highlight w:val="none"/>
          <w:lang w:val="en-US" w:eastAsia="zh-CN" w:bidi="ar-SA"/>
        </w:rPr>
        <w:t>安徽</w:t>
      </w:r>
      <w:r>
        <w:rPr>
          <w:rFonts w:hint="default" w:ascii="宋体" w:hAnsi="宋体" w:eastAsia="宋体" w:cs="宋体"/>
          <w:kern w:val="0"/>
          <w:sz w:val="21"/>
          <w:szCs w:val="21"/>
          <w:highlight w:val="none"/>
          <w:lang w:val="en-US" w:eastAsia="zh-CN" w:bidi="ar-SA"/>
        </w:rPr>
        <w:t>移动认定为特别严重负面行为的。</w:t>
      </w:r>
    </w:p>
    <w:p>
      <w:pPr>
        <w:pStyle w:val="21"/>
        <w:tabs>
          <w:tab w:val="left" w:pos="1580"/>
          <w:tab w:val="left" w:pos="1619"/>
        </w:tabs>
        <w:spacing w:line="240" w:lineRule="auto"/>
        <w:ind w:firstLine="560"/>
        <w:textAlignment w:val="baseline"/>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五、根据乙方（供应商）负面行为分级情况和产品是否充分竞争属性不同，对发生负面行为的供应商给予所有充分竞争采购领域的产品禁止合作三年、相应产品类别禁止合作三年、扣减后续采购综合评审得分、终止剩余份额执行等追究措施。(详见附件：《安徽移动供应商负面行为责任追究措施》)。责任追究情况在中国移动采购与招标网公告。</w:t>
      </w:r>
    </w:p>
    <w:p>
      <w:pPr>
        <w:pStyle w:val="21"/>
        <w:tabs>
          <w:tab w:val="left" w:pos="1580"/>
          <w:tab w:val="left" w:pos="1619"/>
        </w:tabs>
        <w:spacing w:line="240" w:lineRule="auto"/>
        <w:ind w:firstLine="560"/>
        <w:textAlignment w:val="baseline"/>
        <w:rPr>
          <w:rFonts w:hint="default" w:ascii="宋体" w:hAnsi="宋体" w:eastAsia="宋体" w:cs="宋体"/>
          <w:kern w:val="0"/>
          <w:sz w:val="21"/>
          <w:szCs w:val="21"/>
          <w:highlight w:val="none"/>
          <w:lang w:val="en-US" w:eastAsia="zh-CN" w:bidi="ar-SA"/>
        </w:rPr>
      </w:pPr>
      <w:r>
        <w:rPr>
          <w:rFonts w:hint="eastAsia" w:ascii="宋体" w:hAnsi="宋体" w:eastAsia="宋体" w:cs="宋体"/>
          <w:kern w:val="0"/>
          <w:sz w:val="21"/>
          <w:szCs w:val="21"/>
          <w:highlight w:val="none"/>
          <w:lang w:val="en-US" w:eastAsia="zh-CN" w:bidi="ar-SA"/>
        </w:rPr>
        <w:t>六、对于禁止合作供应商自禁用期起自动进入安徽移动供应商“黑名单”，禁用期三年，禁用期满且在期限内完成整改并承诺依法合规开展业务的供应商，将其移除供应商“黑名单”。对禁用期结束时仍未完成整改的供应商，自动延长其追责期限。</w:t>
      </w:r>
    </w:p>
    <w:p>
      <w:pPr>
        <w:numPr>
          <w:ilvl w:val="0"/>
          <w:numId w:val="0"/>
        </w:numPr>
        <w:ind w:firstLine="420" w:firstLineChars="200"/>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七、处于“黑名单”的供应商，在追责相应的品类、地域范围内不具备中标或中选资格、不得新签采购合同。</w:t>
      </w:r>
    </w:p>
    <w:p>
      <w:pPr>
        <w:pStyle w:val="2"/>
        <w:ind w:firstLine="420" w:firstLineChars="200"/>
        <w:rPr>
          <w:rFonts w:hint="default"/>
          <w:highlight w:val="none"/>
          <w:lang w:val="en-US" w:eastAsia="zh-CN"/>
        </w:rPr>
      </w:pPr>
      <w:r>
        <w:rPr>
          <w:rFonts w:hint="eastAsia" w:ascii="宋体" w:hAnsi="宋体" w:eastAsia="宋体" w:cs="宋体"/>
          <w:kern w:val="0"/>
          <w:szCs w:val="21"/>
          <w:highlight w:val="none"/>
          <w:lang w:val="en-US" w:eastAsia="zh-CN"/>
        </w:rPr>
        <w:t>八、乙方（供应商）因其负面行为被追究责任的，其基于合同约定应承担的违约责任仍应继续承担。对供应商负面行为的处理不替代对供应商合同或采购文件规定的法律责任追究。</w:t>
      </w:r>
    </w:p>
    <w:p>
      <w:pPr>
        <w:numPr>
          <w:ilvl w:val="0"/>
          <w:numId w:val="0"/>
        </w:numPr>
        <w:ind w:firstLine="420" w:firstLineChars="200"/>
        <w:rPr>
          <w:rFonts w:hint="eastAsia" w:eastAsia="宋体"/>
          <w:highlight w:val="none"/>
          <w:lang w:val="en-US" w:eastAsia="zh-CN"/>
        </w:rPr>
      </w:pPr>
      <w:r>
        <w:rPr>
          <w:rFonts w:hint="eastAsia" w:ascii="宋体" w:hAnsi="宋体" w:eastAsia="宋体" w:cs="宋体"/>
          <w:kern w:val="0"/>
          <w:szCs w:val="21"/>
          <w:highlight w:val="none"/>
          <w:lang w:val="en-US" w:eastAsia="zh-CN"/>
        </w:rPr>
        <w:t>九</w:t>
      </w:r>
      <w:r>
        <w:rPr>
          <w:rFonts w:hint="eastAsia" w:ascii="宋体" w:hAnsi="宋体" w:eastAsia="宋体" w:cs="宋体"/>
          <w:kern w:val="0"/>
          <w:szCs w:val="21"/>
          <w:highlight w:val="none"/>
        </w:rPr>
        <w:t>、</w:t>
      </w:r>
      <w:r>
        <w:rPr>
          <w:rFonts w:hint="eastAsia" w:ascii="宋体" w:hAnsi="宋体" w:eastAsia="宋体" w:cs="宋体"/>
          <w:kern w:val="0"/>
          <w:szCs w:val="21"/>
          <w:highlight w:val="none"/>
          <w:lang w:val="en-US" w:eastAsia="zh-CN"/>
        </w:rPr>
        <w:t>甲方（安徽移动）</w:t>
      </w:r>
      <w:r>
        <w:rPr>
          <w:rFonts w:hint="eastAsia" w:ascii="宋体" w:hAnsi="宋体" w:eastAsia="宋体" w:cs="宋体"/>
          <w:kern w:val="0"/>
          <w:szCs w:val="21"/>
          <w:highlight w:val="none"/>
        </w:rPr>
        <w:t>接收供应商负面行为信息和证明材料后，将履行</w:t>
      </w:r>
      <w:r>
        <w:rPr>
          <w:rFonts w:ascii="宋体" w:hAnsi="宋体" w:eastAsia="宋体" w:cs="宋体"/>
          <w:kern w:val="0"/>
          <w:szCs w:val="21"/>
          <w:highlight w:val="none"/>
        </w:rPr>
        <w:t>情况调查核实、与供应商确认</w:t>
      </w:r>
      <w:r>
        <w:rPr>
          <w:rFonts w:hint="eastAsia" w:ascii="宋体" w:hAnsi="宋体" w:eastAsia="宋体" w:cs="宋体"/>
          <w:kern w:val="0"/>
          <w:szCs w:val="21"/>
          <w:highlight w:val="none"/>
        </w:rPr>
        <w:t>、负面行为认定及处理等程序</w:t>
      </w:r>
      <w:r>
        <w:rPr>
          <w:rFonts w:ascii="宋体" w:hAnsi="宋体" w:eastAsia="宋体" w:cs="宋体"/>
          <w:kern w:val="0"/>
          <w:szCs w:val="21"/>
          <w:highlight w:val="none"/>
        </w:rPr>
        <w:t>。与供应商确认时</w:t>
      </w:r>
      <w:r>
        <w:rPr>
          <w:rFonts w:hint="eastAsia" w:ascii="宋体" w:hAnsi="宋体" w:eastAsia="宋体" w:cs="宋体"/>
          <w:kern w:val="0"/>
          <w:szCs w:val="21"/>
          <w:highlight w:val="none"/>
        </w:rPr>
        <w:t>一般</w:t>
      </w:r>
      <w:r>
        <w:rPr>
          <w:rFonts w:ascii="宋体" w:hAnsi="宋体" w:eastAsia="宋体" w:cs="宋体"/>
          <w:kern w:val="0"/>
          <w:szCs w:val="21"/>
          <w:highlight w:val="none"/>
        </w:rPr>
        <w:t>采用书面</w:t>
      </w:r>
      <w:r>
        <w:rPr>
          <w:rFonts w:hint="eastAsia" w:ascii="宋体" w:hAnsi="宋体" w:eastAsia="宋体" w:cs="宋体"/>
          <w:kern w:val="0"/>
          <w:szCs w:val="21"/>
          <w:highlight w:val="none"/>
          <w:lang w:eastAsia="zh-CN"/>
        </w:rPr>
        <w:t>、</w:t>
      </w:r>
      <w:r>
        <w:rPr>
          <w:rFonts w:ascii="宋体" w:hAnsi="宋体" w:eastAsia="宋体" w:cs="宋体"/>
          <w:kern w:val="0"/>
          <w:szCs w:val="21"/>
          <w:highlight w:val="none"/>
        </w:rPr>
        <w:t>会议</w:t>
      </w:r>
      <w:r>
        <w:rPr>
          <w:rFonts w:hint="eastAsia" w:ascii="宋体" w:hAnsi="宋体" w:eastAsia="宋体" w:cs="宋体"/>
          <w:kern w:val="0"/>
          <w:szCs w:val="21"/>
          <w:highlight w:val="none"/>
          <w:lang w:eastAsia="zh-CN"/>
        </w:rPr>
        <w:t>、</w:t>
      </w:r>
      <w:r>
        <w:rPr>
          <w:rFonts w:hint="eastAsia" w:ascii="宋体" w:hAnsi="宋体" w:eastAsia="宋体" w:cs="宋体"/>
          <w:kern w:val="0"/>
          <w:szCs w:val="21"/>
          <w:highlight w:val="none"/>
          <w:lang w:val="en-US" w:eastAsia="zh-CN"/>
        </w:rPr>
        <w:t>邮件确认等</w:t>
      </w:r>
      <w:r>
        <w:rPr>
          <w:rFonts w:ascii="宋体" w:hAnsi="宋体" w:eastAsia="宋体" w:cs="宋体"/>
          <w:kern w:val="0"/>
          <w:szCs w:val="21"/>
          <w:highlight w:val="none"/>
        </w:rPr>
        <w:t>形式</w:t>
      </w:r>
      <w:r>
        <w:rPr>
          <w:rFonts w:hint="eastAsia" w:ascii="宋体" w:hAnsi="宋体" w:eastAsia="宋体" w:cs="宋体"/>
          <w:kern w:val="0"/>
          <w:szCs w:val="21"/>
          <w:highlight w:val="none"/>
        </w:rPr>
        <w:t>，</w:t>
      </w:r>
      <w:r>
        <w:rPr>
          <w:rFonts w:ascii="宋体" w:hAnsi="宋体" w:eastAsia="宋体" w:cs="宋体"/>
          <w:kern w:val="0"/>
          <w:szCs w:val="21"/>
          <w:highlight w:val="none"/>
        </w:rPr>
        <w:t>供应商未在规定时限内确认且证据确凿</w:t>
      </w:r>
      <w:r>
        <w:rPr>
          <w:rFonts w:hint="eastAsia" w:ascii="宋体" w:hAnsi="宋体" w:eastAsia="宋体" w:cs="宋体"/>
          <w:kern w:val="0"/>
          <w:szCs w:val="21"/>
          <w:highlight w:val="none"/>
        </w:rPr>
        <w:t>，</w:t>
      </w:r>
      <w:r>
        <w:rPr>
          <w:rFonts w:ascii="宋体" w:hAnsi="宋体" w:eastAsia="宋体" w:cs="宋体"/>
          <w:kern w:val="0"/>
          <w:szCs w:val="21"/>
          <w:highlight w:val="none"/>
        </w:rPr>
        <w:t>视为供应商确认。</w:t>
      </w:r>
      <w:r>
        <w:rPr>
          <w:rFonts w:hint="eastAsia" w:ascii="宋体" w:hAnsi="宋体" w:eastAsia="宋体" w:cs="宋体"/>
          <w:kern w:val="0"/>
          <w:szCs w:val="21"/>
          <w:highlight w:val="none"/>
        </w:rPr>
        <w:t>对于在采购寻源阶段由评审委员会认定的供应商围标串标或弄虚作假等负面行为，处理时可不再与供应商进行确认。</w:t>
      </w:r>
    </w:p>
    <w:p>
      <w:pPr>
        <w:ind w:firstLine="420" w:firstLineChars="200"/>
        <w:rPr>
          <w:rFonts w:hint="eastAsia" w:ascii="宋体" w:hAnsi="宋体" w:eastAsia="宋体" w:cs="宋体"/>
          <w:b w:val="0"/>
          <w:bCs w:val="0"/>
          <w:kern w:val="0"/>
          <w:szCs w:val="21"/>
          <w:highlight w:val="none"/>
        </w:rPr>
      </w:pPr>
      <w:r>
        <w:rPr>
          <w:rFonts w:hint="eastAsia" w:ascii="宋体" w:hAnsi="宋体" w:eastAsia="宋体" w:cs="宋体"/>
          <w:b w:val="0"/>
          <w:bCs w:val="0"/>
          <w:kern w:val="0"/>
          <w:szCs w:val="21"/>
          <w:highlight w:val="none"/>
          <w:lang w:val="en-US" w:eastAsia="zh-CN"/>
        </w:rPr>
        <w:t>十</w:t>
      </w:r>
      <w:r>
        <w:rPr>
          <w:rFonts w:hint="eastAsia" w:ascii="宋体" w:hAnsi="宋体" w:eastAsia="宋体" w:cs="宋体"/>
          <w:b w:val="0"/>
          <w:bCs w:val="0"/>
          <w:kern w:val="0"/>
          <w:szCs w:val="21"/>
          <w:highlight w:val="none"/>
        </w:rPr>
        <w:t>、供应商向</w:t>
      </w:r>
      <w:r>
        <w:rPr>
          <w:rFonts w:hint="eastAsia" w:ascii="宋体" w:hAnsi="宋体" w:eastAsia="宋体" w:cs="宋体"/>
          <w:b w:val="0"/>
          <w:bCs w:val="0"/>
          <w:kern w:val="0"/>
          <w:szCs w:val="21"/>
          <w:highlight w:val="none"/>
          <w:lang w:val="en-US" w:eastAsia="zh-CN"/>
        </w:rPr>
        <w:t>安徽</w:t>
      </w:r>
      <w:r>
        <w:rPr>
          <w:rFonts w:hint="eastAsia" w:ascii="宋体" w:hAnsi="宋体" w:eastAsia="宋体" w:cs="宋体"/>
          <w:b w:val="0"/>
          <w:bCs w:val="0"/>
          <w:kern w:val="0"/>
          <w:szCs w:val="21"/>
          <w:highlight w:val="none"/>
        </w:rPr>
        <w:t>移动采购相关方及相关人员行贿或提供不正当利益，但未经法院判决的，</w:t>
      </w:r>
      <w:r>
        <w:rPr>
          <w:rFonts w:hint="eastAsia" w:ascii="宋体" w:hAnsi="宋体" w:eastAsia="宋体" w:cs="宋体"/>
          <w:b w:val="0"/>
          <w:bCs w:val="0"/>
          <w:kern w:val="0"/>
          <w:szCs w:val="21"/>
          <w:highlight w:val="none"/>
          <w:lang w:val="en-US" w:eastAsia="zh-CN"/>
        </w:rPr>
        <w:t>安徽</w:t>
      </w:r>
      <w:r>
        <w:rPr>
          <w:rFonts w:hint="eastAsia" w:ascii="宋体" w:hAnsi="宋体" w:eastAsia="宋体" w:cs="宋体"/>
          <w:b w:val="0"/>
          <w:bCs w:val="0"/>
          <w:kern w:val="0"/>
          <w:szCs w:val="21"/>
          <w:highlight w:val="none"/>
        </w:rPr>
        <w:t>移动各级纪检监察机构认为需进行处罚的，</w:t>
      </w:r>
      <w:r>
        <w:rPr>
          <w:rFonts w:hint="eastAsia" w:ascii="宋体" w:hAnsi="宋体" w:eastAsia="宋体" w:cs="宋体"/>
          <w:b w:val="0"/>
          <w:bCs w:val="0"/>
          <w:kern w:val="0"/>
          <w:szCs w:val="21"/>
          <w:highlight w:val="none"/>
          <w:lang w:val="en-US" w:eastAsia="zh-CN"/>
        </w:rPr>
        <w:t>安徽移动有权</w:t>
      </w:r>
      <w:r>
        <w:rPr>
          <w:rFonts w:hint="eastAsia" w:ascii="宋体" w:hAnsi="宋体" w:eastAsia="宋体" w:cs="宋体"/>
          <w:b w:val="0"/>
          <w:bCs w:val="0"/>
          <w:kern w:val="0"/>
          <w:szCs w:val="21"/>
          <w:highlight w:val="none"/>
        </w:rPr>
        <w:t>按照供应商负面行为责任追究措施表进行相应责任追究。</w:t>
      </w:r>
    </w:p>
    <w:p>
      <w:pPr>
        <w:pStyle w:val="2"/>
        <w:ind w:firstLine="420" w:firstLineChars="200"/>
        <w:rPr>
          <w:rFonts w:hint="eastAsia" w:ascii="宋体" w:hAnsi="宋体" w:eastAsia="宋体" w:cs="宋体"/>
          <w:b w:val="0"/>
          <w:bCs w:val="0"/>
          <w:kern w:val="0"/>
          <w:szCs w:val="21"/>
          <w:highlight w:val="none"/>
          <w:lang w:val="en-US" w:eastAsia="zh-CN"/>
        </w:rPr>
      </w:pPr>
      <w:r>
        <w:rPr>
          <w:rFonts w:hint="eastAsia" w:ascii="宋体" w:hAnsi="宋体" w:eastAsia="宋体" w:cs="宋体"/>
          <w:b w:val="0"/>
          <w:bCs w:val="0"/>
          <w:kern w:val="0"/>
          <w:szCs w:val="21"/>
          <w:highlight w:val="none"/>
          <w:lang w:val="en-US" w:eastAsia="zh-CN"/>
        </w:rPr>
        <w:t>十一、供应商人员或其他相关人员行贿或提供不正当利益的，安徽移动各级纪检监察机构认定的，三年内安徽移动有权拒绝任何供应商安排涉事人员代表其参与安徽移动采购活动；司法机关认定的或中国移动纪检监察组研判认定要求处理的，中国移动及其下属单位三年内有权拒绝任何供应商安排涉事人员代表其参与中国移动的采购活动。涉事人员禁入情况原则上应告知本人并在禁入涉及范围内进行公告。供应商代表是指作为供应商法定代表人或者委托代理人。</w:t>
      </w:r>
    </w:p>
    <w:p>
      <w:pPr>
        <w:pStyle w:val="2"/>
        <w:ind w:firstLine="420" w:firstLineChars="200"/>
        <w:rPr>
          <w:rFonts w:hint="eastAsia" w:eastAsia="宋体"/>
          <w:highlight w:val="none"/>
          <w:lang w:val="en-US" w:eastAsia="zh-CN"/>
        </w:rPr>
      </w:pPr>
      <w:r>
        <w:rPr>
          <w:rFonts w:hint="eastAsia" w:ascii="宋体" w:hAnsi="宋体" w:eastAsia="宋体" w:cs="宋体"/>
          <w:b w:val="0"/>
          <w:bCs w:val="0"/>
          <w:kern w:val="0"/>
          <w:szCs w:val="21"/>
          <w:highlight w:val="none"/>
          <w:lang w:val="en-US" w:eastAsia="zh-CN"/>
        </w:rPr>
        <w:t>涉事人员在实施行为时是供应商的法定代表人、实际控制人、采购或合同文件中申报的控股个人股东/投资人的，若供应商不能提交有权机关的认定结论或相关意见，以证明涉事人员的行为与为供应商谋取交易机会或者竞争优势无关的，则按照供应商行贿行为处理，同步对个人及供应商进行追责。</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十二、发生以下情形之一的，中国移动全集团实施供应商禁止合作联动，禁止合作期三年。</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（一）供应商发生司法机关认定单位行贿行为；</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（二）中国移动纪检监察组研判认定应联动处理的提供不正当利益行为；</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（三）因供应商产品、操作等原因造成重大级别及以上生产安全事故；</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（四）因供应商产品、操作等原因造成特别重大网络安全风险事件；</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（五）因供应商产品、操作等原因造成重大及以上突发环境事件；</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（六）发生涉及中国移动的严重违法违规行为受到重大刑事处罚、重大行政处罚的；</w:t>
      </w:r>
    </w:p>
    <w:p>
      <w:pPr>
        <w:ind w:firstLine="409" w:firstLineChars="195"/>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（七）其他经中国移动判定须联动处理负面行为的。</w:t>
      </w:r>
    </w:p>
    <w:p>
      <w:pPr>
        <w:rPr>
          <w:rFonts w:hint="eastAsia" w:ascii="宋体" w:hAnsi="宋体" w:eastAsia="宋体" w:cs="宋体"/>
          <w:kern w:val="0"/>
          <w:szCs w:val="21"/>
          <w:highlight w:val="none"/>
        </w:rPr>
      </w:pPr>
      <w:r>
        <w:rPr>
          <w:rFonts w:hint="eastAsia" w:ascii="宋体" w:hAnsi="宋体" w:eastAsia="宋体" w:cs="宋体"/>
          <w:b/>
          <w:kern w:val="0"/>
          <w:szCs w:val="21"/>
          <w:highlight w:val="none"/>
        </w:rPr>
        <w:t>附件：安徽移动供应商负面行为责任追究措施</w:t>
      </w:r>
      <w:r>
        <w:rPr>
          <w:rFonts w:hint="eastAsia" w:ascii="宋体" w:hAnsi="宋体" w:eastAsia="宋体" w:cs="宋体"/>
          <w:kern w:val="0"/>
          <w:szCs w:val="21"/>
          <w:highlight w:val="none"/>
        </w:rPr>
        <w:t>（适用</w:t>
      </w:r>
      <w:r>
        <w:rPr>
          <w:rFonts w:hint="eastAsia" w:ascii="宋体" w:hAnsi="宋体" w:eastAsia="宋体" w:cs="宋体"/>
          <w:kern w:val="0"/>
          <w:szCs w:val="21"/>
          <w:highlight w:val="none"/>
          <w:lang w:val="en-US" w:eastAsia="zh-CN"/>
        </w:rPr>
        <w:t>于</w:t>
      </w:r>
      <w:r>
        <w:rPr>
          <w:rFonts w:hint="eastAsia" w:ascii="宋体" w:hAnsi="宋体" w:eastAsia="宋体" w:cs="宋体"/>
          <w:kern w:val="0"/>
          <w:szCs w:val="21"/>
          <w:highlight w:val="none"/>
        </w:rPr>
        <w:t>中国移动安徽公司及其下属分公司）</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其中具备以下条件之一的为不充分竞争采购领域的产品：</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（一）现网已经大量应用且短期内无法停止合作的；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（二）对供应商依赖程度较高的；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（三）减少个别供应商会对该类别产品竞争环境造成较大影响的；</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kern w:val="0"/>
          <w:szCs w:val="21"/>
          <w:highlight w:val="none"/>
          <w:lang w:val="en-US" w:eastAsia="zh-CN"/>
        </w:rPr>
      </w:pPr>
      <w:r>
        <w:rPr>
          <w:rFonts w:hint="eastAsia" w:ascii="宋体" w:hAnsi="宋体" w:eastAsia="宋体" w:cs="宋体"/>
          <w:kern w:val="0"/>
          <w:szCs w:val="21"/>
          <w:highlight w:val="none"/>
          <w:lang w:val="en-US" w:eastAsia="zh-CN"/>
        </w:rPr>
        <w:t>（四）其他不具备充分竞争条件的。</w:t>
      </w:r>
    </w:p>
    <w:p>
      <w:pPr>
        <w:ind w:firstLine="200"/>
        <w:rPr>
          <w:rFonts w:hint="eastAsia" w:ascii="宋体" w:hAnsi="宋体" w:eastAsia="宋体" w:cs="宋体"/>
          <w:kern w:val="0"/>
          <w:szCs w:val="21"/>
          <w:highlight w:val="none"/>
        </w:rPr>
        <w:sectPr>
          <w:headerReference r:id="rId3" w:type="default"/>
          <w:footerReference r:id="rId4" w:type="default"/>
          <w:pgSz w:w="11906" w:h="16838"/>
          <w:pgMar w:top="1134" w:right="1134" w:bottom="1134" w:left="1134" w:header="851" w:footer="992" w:gutter="0"/>
          <w:cols w:space="425" w:num="1"/>
          <w:docGrid w:type="lines" w:linePitch="312" w:charSpace="0"/>
        </w:sectPr>
      </w:pPr>
    </w:p>
    <w:tbl>
      <w:tblPr>
        <w:tblStyle w:val="15"/>
        <w:tblW w:w="0" w:type="auto"/>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6"/>
        <w:gridCol w:w="978"/>
        <w:gridCol w:w="2998"/>
        <w:gridCol w:w="2971"/>
        <w:gridCol w:w="3289"/>
        <w:gridCol w:w="33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28" w:hRule="atLeast"/>
        </w:trPr>
        <w:tc>
          <w:tcPr>
            <w:tcW w:w="48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序号</w:t>
            </w:r>
          </w:p>
        </w:tc>
        <w:tc>
          <w:tcPr>
            <w:tcW w:w="3555"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负面行为分级情况</w:t>
            </w:r>
          </w:p>
        </w:tc>
        <w:tc>
          <w:tcPr>
            <w:tcW w:w="0" w:type="auto"/>
            <w:tcBorders>
              <w:top w:val="single" w:color="000000" w:sz="4" w:space="0"/>
              <w:left w:val="single" w:color="000000" w:sz="4" w:space="0"/>
              <w:bottom w:val="single" w:color="000000" w:sz="4" w:space="0"/>
              <w:right w:val="nil"/>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充分竞争采购领域的追究措施</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不充分竞争采购领域的追究措施</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36" w:hRule="atLeast"/>
        </w:trPr>
        <w:tc>
          <w:tcPr>
            <w:tcW w:w="488" w:type="dxa"/>
            <w:vMerge w:val="restart"/>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1</w:t>
            </w:r>
          </w:p>
        </w:tc>
        <w:tc>
          <w:tcPr>
            <w:tcW w:w="564" w:type="dxa"/>
            <w:vMerge w:val="restart"/>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一般负面行为</w:t>
            </w:r>
          </w:p>
        </w:tc>
        <w:tc>
          <w:tcPr>
            <w:tcW w:w="0" w:type="auto"/>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质量不合格、延期供货、服务的一般负面行为</w:t>
            </w:r>
          </w:p>
        </w:tc>
        <w:tc>
          <w:tcPr>
            <w:tcW w:w="0" w:type="auto"/>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该产品在同一项目采购或执行过程中每发生一次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2.可根据供应商整改情况并按照事发单位处理意见，选择是否终止该供应商在该项目该产品事发单位剩余份额的执行。</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3.在中国移动采购与招标网进行公示。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2.在中国移动采购与招标网进行公示。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88"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564"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5"/>
                <w:szCs w:val="15"/>
                <w:highlight w:val="none"/>
                <w:u w:val="none"/>
              </w:rPr>
            </w:pPr>
          </w:p>
        </w:tc>
        <w:tc>
          <w:tcPr>
            <w:tcW w:w="0" w:type="auto"/>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该产品在同一项目采购或执行过程中累计发生三次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1.取消该供应商在该项目中标/中选资格，终止剩余份额执行。</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2.在中国移动采购与招标网进行公示。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88"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564"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0" w:type="auto"/>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left"/>
              <w:rPr>
                <w:rFonts w:hint="eastAsia" w:ascii="宋体" w:hAnsi="宋体" w:eastAsia="宋体" w:cs="宋体"/>
                <w:i w:val="0"/>
                <w:iCs w:val="0"/>
                <w:color w:val="000000"/>
                <w:sz w:val="15"/>
                <w:szCs w:val="15"/>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自发布采购公告之日往前三年内发生N次（N≥1）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1.本产品：每发生一次的，扣减当期采购评审中综合得分（总分）扣0.6分（百分制），该供应商在本项目该产品若已启动履约预警，每发生一次的，扣减综合得分（总分）扩大为0.9分（百分制）。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2.本单位其他产品：每发生一次的，扣减当期采购评审中综合得分（总分）扣0.2分（百分制）。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1.本产品：发生两次及以上的，每发生一次扣减当期采购评审中综合得分（总分）扣0.6分（百分制），不足两次不扣分，</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该供应商在本项目该产品若已启动履约预警，发生两次及以上的，每发生一次的，扣减综合得分（总分）扩大为0.9分（百分制）。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2.本单位其他产品：不扣减。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860" w:hRule="atLeast"/>
        </w:trPr>
        <w:tc>
          <w:tcPr>
            <w:tcW w:w="488"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564"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0" w:type="auto"/>
            <w:vMerge w:val="restart"/>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其他一般负面行为的</w:t>
            </w:r>
          </w:p>
        </w:tc>
        <w:tc>
          <w:tcPr>
            <w:tcW w:w="0" w:type="auto"/>
            <w:tcBorders>
              <w:top w:val="single" w:color="000000" w:sz="4" w:space="0"/>
              <w:left w:val="single" w:color="000000" w:sz="4" w:space="0"/>
              <w:bottom w:val="nil"/>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该产品在同一项目采购或执行过程中发生一次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2.取消该供应商在该项目中标/中选资格，终止剩余份额执行。</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3.在中国移动采购与招标网进行公示。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2.在中国移动供应商门户进行公示。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488"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564" w:type="dxa"/>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0" w:type="auto"/>
            <w:vMerge w:val="continue"/>
            <w:tcBorders>
              <w:top w:val="single" w:color="000000" w:sz="4" w:space="0"/>
              <w:left w:val="single" w:color="000000" w:sz="4" w:space="0"/>
              <w:bottom w:val="nil"/>
              <w:right w:val="single" w:color="000000" w:sz="4" w:space="0"/>
            </w:tcBorders>
            <w:shd w:val="clear" w:color="auto" w:fill="auto"/>
            <w:vAlign w:val="center"/>
          </w:tcPr>
          <w:p>
            <w:pPr>
              <w:jc w:val="center"/>
              <w:rPr>
                <w:rFonts w:hint="eastAsia" w:ascii="宋体" w:hAnsi="宋体" w:eastAsia="宋体" w:cs="宋体"/>
                <w:i w:val="0"/>
                <w:iCs w:val="0"/>
                <w:color w:val="000000"/>
                <w:sz w:val="15"/>
                <w:szCs w:val="15"/>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自发布采购公告之日往前三年内发生N次（N≥1）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1.本产品：每发生一次的，扣减当期采购评审中综合得分（总分）扣1.5分（百分制），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该供应商在本项目该产品若已启动履约预警，每发生一次的，扣减综合得分（总分）扩大为2.25分（百分制）。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2.本单位其他产品：每发生一次的，扣减当期采购评审中综合得分（总分）扣0.5分（百分制）。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1.本产品：每发生一次的，扣减当期采购评审中综合得分（总分）扣0.9分（百分制），该供应商在本项目该产品若已启动履约预警，每发生一次的，扣减综合得分（总分）扩大为1.35分（百分制）。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2.本单位其他产品：不扣减。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2</w:t>
            </w:r>
          </w:p>
        </w:tc>
        <w:tc>
          <w:tcPr>
            <w:tcW w:w="2031"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严重负面行为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该产品在同一项目采购或执行过程中发生一次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2.取消该供应商在该项目中标/中选资格，终止剩余份额执行。</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3.在中国移动采购与招标网进行公示。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2.在中国移动采购与招标网进行公示。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1" w:hRule="atLeast"/>
        </w:trPr>
        <w:tc>
          <w:tcPr>
            <w:tcW w:w="4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2031"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自发布采购公告之日往前三年内发生N次（N≥1）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1.本产品：禁止与相关供应商合作。</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2.本单位其他产品：每发生一次的，扣减当期采购评审中综合得分（总分）扣2分（百分制）。</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1.本产品：每发生一次的，扣减当期采购评审中综合得分（总分）扣2分（百分制），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该供应商在本项目该产品若已启动履约预警，每发生一次的，扣减综合得分（总分）扩大为3分（百分制）。</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2.本单位其他产品：每发生一次的，扣减当期采购评审中综合得分（总分）扣1分（百分制）。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33" w:hRule="atLeast"/>
        </w:trPr>
        <w:tc>
          <w:tcPr>
            <w:tcW w:w="48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3</w:t>
            </w:r>
          </w:p>
        </w:tc>
        <w:tc>
          <w:tcPr>
            <w:tcW w:w="2031"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5"/>
                <w:szCs w:val="15"/>
                <w:highlight w:val="none"/>
                <w:u w:val="none"/>
              </w:rPr>
            </w:pPr>
            <w:r>
              <w:rPr>
                <w:rFonts w:hint="eastAsia" w:ascii="宋体" w:hAnsi="宋体" w:eastAsia="宋体" w:cs="宋体"/>
                <w:b/>
                <w:bCs/>
                <w:i w:val="0"/>
                <w:iCs w:val="0"/>
                <w:color w:val="000000"/>
                <w:kern w:val="0"/>
                <w:sz w:val="15"/>
                <w:szCs w:val="15"/>
                <w:highlight w:val="none"/>
                <w:u w:val="none"/>
                <w:lang w:val="en-US" w:eastAsia="zh-CN" w:bidi="ar"/>
              </w:rPr>
              <w:t>特别严重负面行为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该产品在采购或执行过程中发生一次</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2.对于本单位所有充分竞争采购领域的产品，取消该供应商中标/中选资格，终止剩余份额执行。</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3.在中国移动采购与招标网进行公示。</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1.约谈并记录存档。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2.对于该产品，取消该供应商中标/中选资格，终止剩余份额执行。</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3.在中国移动采购与招标网进行公示。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8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2031"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hint="eastAsia" w:ascii="宋体" w:hAnsi="宋体" w:eastAsia="宋体" w:cs="宋体"/>
                <w:b/>
                <w:bCs/>
                <w:i w:val="0"/>
                <w:iCs w:val="0"/>
                <w:color w:val="000000"/>
                <w:sz w:val="15"/>
                <w:szCs w:val="15"/>
                <w:highlight w:val="none"/>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自发布采购公告之日往前三年内发生N次（N≥1）</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对于本单位所有充分竞争采购领域的产品，禁止与相关供应商合作。</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1.该产品：禁止与相关供应商合作。</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2.本单位其他产品：每发生一次的，扣减当期采购评审中综合得分（总分）扣3分（百分制）。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94" w:hRule="atLeast"/>
        </w:trPr>
        <w:tc>
          <w:tcPr>
            <w:tcW w:w="0" w:type="auto"/>
            <w:gridSpan w:val="6"/>
            <w:tcBorders>
              <w:top w:val="nil"/>
              <w:left w:val="nil"/>
              <w:bottom w:val="nil"/>
              <w:right w:val="nil"/>
            </w:tcBorders>
            <w:shd w:val="clear" w:color="auto" w:fill="auto"/>
            <w:vAlign w:val="center"/>
          </w:tcPr>
          <w:p>
            <w:pPr>
              <w:keepNext w:val="0"/>
              <w:keepLines w:val="0"/>
              <w:widowControl/>
              <w:suppressLineNumbers w:val="0"/>
              <w:jc w:val="left"/>
              <w:textAlignment w:val="center"/>
              <w:rPr>
                <w:rFonts w:hint="eastAsia" w:ascii="宋体" w:hAnsi="宋体" w:eastAsia="宋体" w:cs="宋体"/>
                <w:i w:val="0"/>
                <w:iCs w:val="0"/>
                <w:color w:val="000000"/>
                <w:sz w:val="15"/>
                <w:szCs w:val="15"/>
                <w:highlight w:val="none"/>
                <w:u w:val="none"/>
              </w:rPr>
            </w:pPr>
            <w:r>
              <w:rPr>
                <w:rFonts w:hint="eastAsia" w:ascii="宋体" w:hAnsi="宋体" w:eastAsia="宋体" w:cs="宋体"/>
                <w:i w:val="0"/>
                <w:iCs w:val="0"/>
                <w:color w:val="000000"/>
                <w:kern w:val="0"/>
                <w:sz w:val="15"/>
                <w:szCs w:val="15"/>
                <w:highlight w:val="none"/>
                <w:u w:val="none"/>
                <w:lang w:val="en-US" w:eastAsia="zh-CN" w:bidi="ar"/>
              </w:rPr>
              <w:t>注：</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1.上表所述供应商包括原厂（制造商及服务提供方）、当前代理商以及原厂后续更换的新代理商，应根据负面行为类型、原厂与代理商分工确认被追责主体，对于无法区分责任的，均进行追责。对于以联合体形式参与采购的供应商，应根据负面行为类型、联合体分工确认被追责主体，对于无法区分责任的，均进行追责。</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2.上表所述集采项目颗粒度为标包/标段，对于划分多个标包/标段的项目，视为多个集采项目。</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3.上表所述产品为集中采购目录标注的“产品”，包括产品下的细化产品。同一采购标包/标段下涉及多个产品的，若供应商及其参与采购的部分或全部产品涉及禁止合作，则该标包/标段禁止合作。若部分或全部产品涉及扣分的，以该供应商在标包/标段的总得分为基础进行扣分，应用较重追责产品的扣分。对于采取代理形式参与采购的供应商，以原厂、代理商较重的追责结果应用于项目中。以联合体形式参与采购的供应商，以较重的追责结果应用于联合体中。上述履约预警包括因价格或负面行为引起的情形，对于同一项目同产品涉及多个标包造成预警级别不同的，以较重的预警级别处理。</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4.供应商同一生产批次（到货时间在三个月之内）的相同产品在同一单位发现多次质量问题的，合并计为一次质量问题负面行为。供应商同一供货时期（下单时间在三个月之内）的相同产品在同一单位发现多次延迟到货问题的，合并计为一次延迟供货负面行为。</w:t>
            </w:r>
            <w:r>
              <w:rPr>
                <w:rFonts w:hint="eastAsia" w:ascii="宋体" w:hAnsi="宋体" w:eastAsia="宋体" w:cs="宋体"/>
                <w:i w:val="0"/>
                <w:iCs w:val="0"/>
                <w:color w:val="000000"/>
                <w:kern w:val="0"/>
                <w:sz w:val="15"/>
                <w:szCs w:val="15"/>
                <w:highlight w:val="none"/>
                <w:u w:val="none"/>
                <w:lang w:val="en-US" w:eastAsia="zh-CN" w:bidi="ar"/>
              </w:rPr>
              <w:br w:type="textWrapping"/>
            </w:r>
            <w:r>
              <w:rPr>
                <w:rFonts w:hint="eastAsia" w:ascii="宋体" w:hAnsi="宋体" w:eastAsia="宋体" w:cs="宋体"/>
                <w:i w:val="0"/>
                <w:iCs w:val="0"/>
                <w:color w:val="000000"/>
                <w:kern w:val="0"/>
                <w:sz w:val="15"/>
                <w:szCs w:val="15"/>
                <w:highlight w:val="none"/>
                <w:u w:val="none"/>
                <w:lang w:val="en-US" w:eastAsia="zh-CN" w:bidi="ar"/>
              </w:rPr>
              <w:t>5.对于采用最低价法进行评审的，按照扣除的综合评审总分进行核增，核增额=（综合评审扣分）%。</w:t>
            </w:r>
          </w:p>
        </w:tc>
      </w:tr>
    </w:tbl>
    <w:p>
      <w:pPr>
        <w:ind w:firstLine="200"/>
        <w:rPr>
          <w:rFonts w:hint="eastAsia" w:ascii="宋体" w:hAnsi="宋体" w:eastAsia="宋体" w:cs="宋体"/>
          <w:kern w:val="0"/>
          <w:szCs w:val="21"/>
          <w:highlight w:val="none"/>
        </w:rPr>
      </w:pPr>
    </w:p>
    <w:p>
      <w:pPr>
        <w:ind w:firstLine="200"/>
        <w:rPr>
          <w:rFonts w:hint="eastAsia" w:ascii="宋体" w:hAnsi="宋体" w:eastAsia="宋体" w:cs="宋体"/>
          <w:kern w:val="0"/>
          <w:szCs w:val="21"/>
          <w:highlight w:val="none"/>
        </w:rPr>
        <w:sectPr>
          <w:pgSz w:w="16838" w:h="11906" w:orient="landscape"/>
          <w:pgMar w:top="1701" w:right="1134" w:bottom="1701" w:left="1440" w:header="851" w:footer="992" w:gutter="0"/>
          <w:cols w:space="0" w:num="1"/>
          <w:rtlGutter w:val="0"/>
          <w:docGrid w:type="lines" w:linePitch="314" w:charSpace="0"/>
        </w:sectPr>
      </w:pPr>
    </w:p>
    <w:p>
      <w:pPr>
        <w:pStyle w:val="6"/>
        <w:spacing w:before="0" w:after="0" w:line="240" w:lineRule="auto"/>
        <w:jc w:val="center"/>
        <w:outlineLvl w:val="0"/>
        <w:rPr>
          <w:rFonts w:hint="eastAsia" w:ascii="黑体" w:hAnsi="黑体" w:eastAsia="黑体"/>
          <w:b w:val="0"/>
          <w:sz w:val="28"/>
          <w:szCs w:val="28"/>
          <w:highlight w:val="none"/>
        </w:rPr>
      </w:pPr>
      <w:bookmarkStart w:id="7" w:name="_Toc7319"/>
      <w:r>
        <w:rPr>
          <w:rFonts w:hint="eastAsia" w:ascii="黑体" w:hAnsi="黑体" w:eastAsia="黑体"/>
          <w:b w:val="0"/>
          <w:sz w:val="28"/>
          <w:szCs w:val="28"/>
          <w:highlight w:val="none"/>
          <w:lang w:val="en-US" w:eastAsia="zh-CN"/>
        </w:rPr>
        <w:t xml:space="preserve">1.5 </w:t>
      </w:r>
      <w:r>
        <w:rPr>
          <w:rFonts w:hint="eastAsia" w:ascii="黑体" w:hAnsi="黑体" w:eastAsia="黑体"/>
          <w:b w:val="0"/>
          <w:sz w:val="28"/>
          <w:szCs w:val="28"/>
          <w:highlight w:val="none"/>
        </w:rPr>
        <w:t>中国移动网络安全风险警示名单处理规则</w:t>
      </w:r>
      <w:bookmarkEnd w:id="7"/>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为有效降低网络安全风险，提升供应链安全水平，推进构建尽责、诚信、自律的电信和互联网行业网络安全良性生态，中国通信企业协会通信网络安全专业委员会（以下简称通企协会）联合行业自律成员单位共同建立了电信和互联网行业网络安全风险警示企业名单自律管理制度，中国移动成为首批行业自律成员单位。通企协会组织开展风险警示名单管理。</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电信和互联网行业网络安全风险警示企业名单是指将违反网络安全相关法律、法规、规章、政策及可能对网络基础设施造成重大网络安全风险的供应商，列入风险警示名单，督促供应商落实网络安全主体责任，促进产品高质量供给，规范安全服务行为。</w:t>
      </w:r>
    </w:p>
    <w:p>
      <w:pPr>
        <w:pStyle w:val="7"/>
        <w:keepNext/>
        <w:keepLines/>
        <w:pageBreakBefore w:val="0"/>
        <w:widowControl w:val="0"/>
        <w:kinsoku/>
        <w:wordWrap/>
        <w:overflowPunct/>
        <w:topLinePunct w:val="0"/>
        <w:autoSpaceDE/>
        <w:autoSpaceDN/>
        <w:bidi w:val="0"/>
        <w:adjustRightInd/>
        <w:snapToGrid/>
        <w:spacing w:before="0" w:after="0" w:line="240" w:lineRule="auto"/>
        <w:ind w:firstLine="422" w:firstLineChars="200"/>
        <w:jc w:val="both"/>
        <w:textAlignment w:val="auto"/>
        <w:outlineLvl w:val="1"/>
        <w:rPr>
          <w:rFonts w:hint="eastAsia" w:ascii="宋体" w:hAnsi="宋体" w:eastAsia="宋体" w:cs="宋体"/>
          <w:sz w:val="21"/>
          <w:szCs w:val="21"/>
          <w:highlight w:val="none"/>
        </w:rPr>
      </w:pPr>
      <w:r>
        <w:rPr>
          <w:rFonts w:hint="eastAsia" w:ascii="宋体" w:hAnsi="宋体" w:eastAsia="宋体" w:cs="宋体"/>
          <w:sz w:val="21"/>
          <w:szCs w:val="21"/>
          <w:highlight w:val="none"/>
        </w:rPr>
        <w:t>一、网络安全风险警示名单的认定与分级标准</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风险警示名单采取分级管理方式，按照情节严重程度从高到低分为红色警示名单和黄色警示名单。</w:t>
      </w:r>
    </w:p>
    <w:p>
      <w:pPr>
        <w:pStyle w:val="8"/>
        <w:keepNext/>
        <w:keepLines/>
        <w:pageBreakBefore w:val="0"/>
        <w:widowControl w:val="0"/>
        <w:kinsoku/>
        <w:wordWrap/>
        <w:overflowPunct/>
        <w:topLinePunct w:val="0"/>
        <w:autoSpaceDE/>
        <w:autoSpaceDN/>
        <w:bidi w:val="0"/>
        <w:adjustRightInd/>
        <w:snapToGrid/>
        <w:spacing w:before="0" w:beforeLines="0" w:after="0" w:afterLines="0" w:line="240" w:lineRule="auto"/>
        <w:ind w:firstLine="422" w:firstLineChars="200"/>
        <w:jc w:val="both"/>
        <w:textAlignment w:val="auto"/>
        <w:outlineLvl w:val="2"/>
        <w:rPr>
          <w:rFonts w:hint="eastAsia" w:ascii="宋体" w:hAnsi="宋体" w:eastAsia="宋体" w:cs="宋体"/>
          <w:b/>
          <w:bCs w:val="0"/>
          <w:sz w:val="21"/>
          <w:szCs w:val="21"/>
          <w:highlight w:val="none"/>
        </w:rPr>
      </w:pPr>
      <w:r>
        <w:rPr>
          <w:rFonts w:hint="eastAsia" w:ascii="宋体" w:hAnsi="宋体" w:eastAsia="宋体" w:cs="宋体"/>
          <w:b/>
          <w:bCs w:val="0"/>
          <w:sz w:val="21"/>
          <w:szCs w:val="21"/>
          <w:highlight w:val="none"/>
        </w:rPr>
        <w:t>（一）红色警示名单</w:t>
      </w:r>
    </w:p>
    <w:p>
      <w:pPr>
        <w:pStyle w:val="21"/>
        <w:keepNext w:val="0"/>
        <w:keepLines w:val="0"/>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对符合下列情形之一的供应商，纳入红色警示名单：</w:t>
      </w:r>
    </w:p>
    <w:p>
      <w:pPr>
        <w:pStyle w:val="21"/>
        <w:keepNext w:val="0"/>
        <w:keepLines w:val="0"/>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1.违反网络安全有关法律法规、部门规章或者政策文件，受到电信主管部门等有关机关行政处罚、刑事制裁的：</w:t>
      </w:r>
    </w:p>
    <w:p>
      <w:pPr>
        <w:pStyle w:val="21"/>
        <w:keepNext w:val="0"/>
        <w:keepLines w:val="0"/>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2.网络安全责任落实不到位，导致电信行业关键信息基础设施发生重大网络安全事件或者为网络基础设施带来重大安全威胁，且拒不改正的：</w:t>
      </w:r>
    </w:p>
    <w:p>
      <w:pPr>
        <w:pStyle w:val="21"/>
        <w:keepNext w:val="0"/>
        <w:keepLines w:val="0"/>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3.其他严重危害电信和互联网行业网络安全的。</w:t>
      </w:r>
    </w:p>
    <w:p>
      <w:pPr>
        <w:pStyle w:val="8"/>
        <w:keepNext/>
        <w:keepLines/>
        <w:pageBreakBefore w:val="0"/>
        <w:widowControl w:val="0"/>
        <w:kinsoku/>
        <w:wordWrap/>
        <w:overflowPunct/>
        <w:topLinePunct w:val="0"/>
        <w:autoSpaceDE/>
        <w:autoSpaceDN/>
        <w:bidi w:val="0"/>
        <w:adjustRightInd/>
        <w:snapToGrid/>
        <w:spacing w:before="0" w:beforeLines="0" w:after="0" w:afterLines="0" w:line="240" w:lineRule="auto"/>
        <w:ind w:firstLine="422" w:firstLineChars="200"/>
        <w:jc w:val="both"/>
        <w:textAlignment w:val="auto"/>
        <w:outlineLvl w:val="2"/>
        <w:rPr>
          <w:rFonts w:hint="eastAsia" w:ascii="宋体" w:hAnsi="宋体" w:eastAsia="宋体" w:cs="宋体"/>
          <w:b/>
          <w:bCs w:val="0"/>
          <w:sz w:val="21"/>
          <w:szCs w:val="21"/>
          <w:highlight w:val="none"/>
        </w:rPr>
      </w:pPr>
      <w:r>
        <w:rPr>
          <w:rFonts w:hint="eastAsia" w:ascii="宋体" w:hAnsi="宋体" w:eastAsia="宋体" w:cs="宋体"/>
          <w:b/>
          <w:bCs w:val="0"/>
          <w:sz w:val="21"/>
          <w:szCs w:val="21"/>
          <w:highlight w:val="none"/>
        </w:rPr>
        <w:t>（二）黄色警示名单</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对符合下列情形之一的网络产品和服务提供者，纳入黄色警示名单。</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1.受到电信主管部门等行政机关约谈、通报，或者受信息通信网络安全响应中心、工业和信息化部网络安全威胁和漏洞信息共享平台等有关机构单位网络安全通报的；</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2.网络产品、服务存在严重安全缺陷、漏洞等风险时，未及时采取有效补救措施，未按规定告知用户并向主管部门报告的，或者违规公开发布网络安全漏洞的，并经主管部门认定情节较严重或者造成重大影响的；</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3.未经行业主管部门、运营者授权，对基础电信网络实施漏洞探测、渗透性测试等危害基础电信网络安全行为的；</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4.在提供产品和服务时，制作、设置、传播和利用恶意程序，尚未改正的；</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5.在提供产品和服务时，未按约定为其产品、服务持续提供安全维护的；</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6.落实网络安全责任不到位，导致网络产品和服务使用者的信息被泄露、造成重大网络安全事件、带来重大网络安全威胁的；</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7.其他危害电信和互联网行业网络安全的。</w:t>
      </w:r>
    </w:p>
    <w:p>
      <w:pPr>
        <w:pStyle w:val="7"/>
        <w:keepNext/>
        <w:keepLines/>
        <w:pageBreakBefore w:val="0"/>
        <w:widowControl w:val="0"/>
        <w:kinsoku/>
        <w:wordWrap/>
        <w:overflowPunct/>
        <w:topLinePunct w:val="0"/>
        <w:autoSpaceDE/>
        <w:autoSpaceDN/>
        <w:bidi w:val="0"/>
        <w:adjustRightInd/>
        <w:snapToGrid/>
        <w:spacing w:before="0" w:after="0" w:line="240" w:lineRule="auto"/>
        <w:ind w:firstLine="422" w:firstLineChars="200"/>
        <w:jc w:val="both"/>
        <w:textAlignment w:val="auto"/>
        <w:outlineLvl w:val="1"/>
        <w:rPr>
          <w:rFonts w:hint="eastAsia" w:ascii="宋体" w:hAnsi="宋体" w:eastAsia="宋体" w:cs="宋体"/>
          <w:sz w:val="21"/>
          <w:szCs w:val="21"/>
          <w:highlight w:val="none"/>
        </w:rPr>
      </w:pPr>
      <w:r>
        <w:rPr>
          <w:rFonts w:hint="eastAsia" w:ascii="宋体" w:hAnsi="宋体" w:eastAsia="宋体" w:cs="宋体"/>
          <w:sz w:val="21"/>
          <w:szCs w:val="21"/>
          <w:highlight w:val="none"/>
        </w:rPr>
        <w:t>二、网络安全风险警示名单的责任追究措施</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对于列入风险警示名单的供应商，通企协会可按照相关规则取消其通信网络安全服务能力评定证书，或者限制其申请网络安全服务能力评定等，同时可建议电信主管部门对相关供应商实施重点监督。</w:t>
      </w:r>
    </w:p>
    <w:p>
      <w:pPr>
        <w:pStyle w:val="21"/>
        <w:pageBreakBefore w:val="0"/>
        <w:widowControl w:val="0"/>
        <w:tabs>
          <w:tab w:val="left" w:pos="1580"/>
          <w:tab w:val="left" w:pos="1619"/>
        </w:tabs>
        <w:kinsoku/>
        <w:wordWrap/>
        <w:overflowPunct/>
        <w:topLinePunct w:val="0"/>
        <w:autoSpaceDE/>
        <w:autoSpaceDN/>
        <w:bidi w:val="0"/>
        <w:adjustRightInd w:val="0"/>
        <w:snapToGrid/>
        <w:spacing w:line="240" w:lineRule="auto"/>
        <w:ind w:firstLine="56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对于列入风险警示名单的供应商，按照通企协会给成员单位提出的处理措施建议，结合产品是否充分竞争属性，中国移动将采取相应限制措施，包括但不限于禁止合作、终止合同、停服排查、暂停部分或者全部采购、扣减后续采购综合评审得分或后评估得分、扣减分配份额、取消联合共建项目资格、预警、约谈等追究措施。</w:t>
      </w:r>
    </w:p>
    <w:p>
      <w:pPr>
        <w:pStyle w:val="7"/>
        <w:keepNext/>
        <w:keepLines/>
        <w:pageBreakBefore w:val="0"/>
        <w:widowControl w:val="0"/>
        <w:kinsoku/>
        <w:wordWrap/>
        <w:overflowPunct/>
        <w:topLinePunct w:val="0"/>
        <w:autoSpaceDE/>
        <w:autoSpaceDN/>
        <w:bidi w:val="0"/>
        <w:adjustRightInd/>
        <w:snapToGrid/>
        <w:spacing w:before="0" w:after="0" w:line="240" w:lineRule="auto"/>
        <w:ind w:firstLine="422" w:firstLineChars="200"/>
        <w:jc w:val="both"/>
        <w:textAlignment w:val="auto"/>
        <w:outlineLvl w:val="1"/>
        <w:rPr>
          <w:rFonts w:hint="eastAsia" w:ascii="宋体" w:hAnsi="宋体" w:eastAsia="宋体" w:cs="宋体"/>
          <w:sz w:val="21"/>
          <w:szCs w:val="21"/>
          <w:highlight w:val="none"/>
        </w:rPr>
      </w:pPr>
      <w:r>
        <w:rPr>
          <w:rFonts w:hint="eastAsia" w:ascii="宋体" w:hAnsi="宋体" w:eastAsia="宋体" w:cs="宋体"/>
          <w:sz w:val="21"/>
          <w:szCs w:val="21"/>
          <w:highlight w:val="none"/>
        </w:rPr>
        <w:t>三、其他</w:t>
      </w:r>
    </w:p>
    <w:p>
      <w:pPr>
        <w:pStyle w:val="21"/>
        <w:pageBreakBefore w:val="0"/>
        <w:widowControl w:val="0"/>
        <w:tabs>
          <w:tab w:val="left" w:pos="1620"/>
        </w:tabs>
        <w:kinsoku/>
        <w:wordWrap/>
        <w:overflowPunct/>
        <w:topLinePunct w:val="0"/>
        <w:autoSpaceDE/>
        <w:autoSpaceDN/>
        <w:bidi w:val="0"/>
        <w:adjustRightInd w:val="0"/>
        <w:snapToGrid/>
        <w:spacing w:line="240" w:lineRule="auto"/>
        <w:ind w:firstLine="600"/>
        <w:jc w:val="both"/>
        <w:textAlignment w:val="baseline"/>
        <w:rPr>
          <w:rFonts w:hint="eastAsia" w:ascii="宋体" w:hAnsi="宋体" w:eastAsia="宋体" w:cs="宋体"/>
          <w:sz w:val="21"/>
          <w:szCs w:val="21"/>
          <w:highlight w:val="none"/>
        </w:rPr>
      </w:pPr>
      <w:r>
        <w:rPr>
          <w:rFonts w:hint="eastAsia" w:ascii="宋体" w:hAnsi="宋体" w:eastAsia="宋体" w:cs="宋体"/>
          <w:sz w:val="21"/>
          <w:szCs w:val="21"/>
          <w:highlight w:val="none"/>
        </w:rPr>
        <w:t>在网络安全风险警示名单过程中，供应商可就其中存在的不实、不合规等情况按照既定方式进行申诉。</w:t>
      </w:r>
    </w:p>
    <w:p>
      <w:pPr>
        <w:rPr>
          <w:rFonts w:hint="eastAsia" w:ascii="宋体" w:hAnsi="宋体" w:eastAsia="宋体" w:cs="宋体"/>
          <w:sz w:val="21"/>
          <w:szCs w:val="21"/>
          <w:highlight w:val="none"/>
        </w:rPr>
      </w:pPr>
      <w:r>
        <w:rPr>
          <w:rFonts w:hint="eastAsia" w:ascii="宋体" w:hAnsi="宋体" w:eastAsia="宋体" w:cs="宋体"/>
          <w:sz w:val="21"/>
          <w:szCs w:val="21"/>
          <w:highlight w:val="none"/>
        </w:rPr>
        <w:br w:type="page"/>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黑体" w:hAnsi="黑体" w:eastAsia="黑体"/>
          <w:b w:val="0"/>
          <w:sz w:val="21"/>
          <w:szCs w:val="21"/>
          <w:highlight w:val="none"/>
          <w:lang w:val="en-US" w:eastAsia="zh-CN"/>
        </w:rPr>
      </w:pPr>
    </w:p>
    <w:p>
      <w:pPr>
        <w:pStyle w:val="6"/>
        <w:spacing w:before="0" w:after="120" w:line="360" w:lineRule="auto"/>
        <w:jc w:val="center"/>
        <w:outlineLvl w:val="0"/>
        <w:rPr>
          <w:rFonts w:hint="eastAsia" w:ascii="黑体" w:hAnsi="黑体" w:eastAsia="黑体"/>
          <w:b w:val="0"/>
          <w:sz w:val="28"/>
          <w:szCs w:val="28"/>
          <w:highlight w:val="none"/>
        </w:rPr>
      </w:pPr>
      <w:bookmarkStart w:id="8" w:name="_Toc21173"/>
      <w:r>
        <w:rPr>
          <w:rFonts w:hint="eastAsia" w:ascii="黑体" w:hAnsi="黑体" w:eastAsia="黑体"/>
          <w:b w:val="0"/>
          <w:sz w:val="28"/>
          <w:szCs w:val="28"/>
          <w:highlight w:val="none"/>
          <w:lang w:val="en-US" w:eastAsia="zh-CN"/>
        </w:rPr>
        <w:t>1.6</w:t>
      </w:r>
      <w:r>
        <w:rPr>
          <w:rFonts w:hint="eastAsia" w:ascii="黑体" w:hAnsi="黑体" w:eastAsia="黑体"/>
          <w:b w:val="0"/>
          <w:sz w:val="28"/>
          <w:szCs w:val="28"/>
          <w:highlight w:val="none"/>
        </w:rPr>
        <w:t>中国移动全网重大通信故障定义</w:t>
      </w:r>
      <w:bookmarkEnd w:id="8"/>
    </w:p>
    <w:p>
      <w:pPr>
        <w:pStyle w:val="6"/>
        <w:spacing w:before="0" w:after="0" w:line="240" w:lineRule="auto"/>
        <w:rPr>
          <w:rFonts w:hint="eastAsia" w:ascii="黑体" w:hAnsi="黑体" w:eastAsia="黑体" w:cs="黑体"/>
          <w:b/>
          <w:sz w:val="21"/>
          <w:szCs w:val="21"/>
          <w:highlight w:val="none"/>
        </w:rPr>
      </w:pPr>
      <w:bookmarkStart w:id="9" w:name="_Toc162380807"/>
      <w:bookmarkStart w:id="10" w:name="_Toc44510371"/>
      <w:r>
        <w:rPr>
          <w:rFonts w:hint="eastAsia" w:ascii="黑体" w:hAnsi="黑体" w:eastAsia="黑体" w:cs="黑体"/>
          <w:sz w:val="21"/>
          <w:szCs w:val="21"/>
          <w:highlight w:val="none"/>
          <w:lang w:val="en-US" w:eastAsia="zh-CN"/>
        </w:rPr>
        <w:t>一、</w:t>
      </w:r>
      <w:r>
        <w:rPr>
          <w:rFonts w:hint="eastAsia" w:ascii="黑体" w:hAnsi="黑体" w:eastAsia="黑体" w:cs="黑体"/>
          <w:b/>
          <w:sz w:val="21"/>
          <w:szCs w:val="21"/>
          <w:highlight w:val="none"/>
        </w:rPr>
        <w:t>适用范围</w:t>
      </w:r>
      <w:bookmarkEnd w:id="9"/>
      <w:bookmarkEnd w:id="10"/>
    </w:p>
    <w:p>
      <w:pPr>
        <w:pStyle w:val="25"/>
        <w:snapToGrid w:val="0"/>
        <w:spacing w:line="240" w:lineRule="auto"/>
        <w:ind w:firstLine="480"/>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本规范适用于中国移动总部及各省公司判定网络故障是否是重大故障。</w:t>
      </w:r>
    </w:p>
    <w:p>
      <w:pPr>
        <w:pStyle w:val="6"/>
        <w:spacing w:before="0" w:after="0" w:line="240" w:lineRule="auto"/>
        <w:rPr>
          <w:rFonts w:hint="eastAsia" w:ascii="黑体" w:hAnsi="黑体" w:eastAsia="黑体" w:cs="黑体"/>
          <w:b/>
          <w:sz w:val="21"/>
          <w:szCs w:val="21"/>
          <w:highlight w:val="none"/>
        </w:rPr>
      </w:pPr>
      <w:bookmarkStart w:id="11" w:name="_Toc167285679"/>
      <w:bookmarkEnd w:id="11"/>
      <w:bookmarkStart w:id="12" w:name="_Toc169153976"/>
      <w:bookmarkEnd w:id="12"/>
      <w:bookmarkStart w:id="13" w:name="_Toc167285680"/>
      <w:bookmarkEnd w:id="13"/>
      <w:bookmarkStart w:id="14" w:name="_Toc169153975"/>
      <w:bookmarkEnd w:id="14"/>
      <w:bookmarkStart w:id="15" w:name="_Toc243815299"/>
      <w:bookmarkStart w:id="16" w:name="_Toc44510372"/>
      <w:r>
        <w:rPr>
          <w:rFonts w:hint="eastAsia" w:ascii="黑体" w:hAnsi="黑体" w:eastAsia="黑体" w:cs="黑体"/>
          <w:b/>
          <w:sz w:val="21"/>
          <w:szCs w:val="21"/>
          <w:highlight w:val="none"/>
          <w:lang w:val="en-US" w:eastAsia="zh-CN"/>
        </w:rPr>
        <w:t>二、</w:t>
      </w:r>
      <w:r>
        <w:rPr>
          <w:rFonts w:hint="eastAsia" w:ascii="黑体" w:hAnsi="黑体" w:eastAsia="黑体" w:cs="黑体"/>
          <w:b/>
          <w:sz w:val="21"/>
          <w:szCs w:val="21"/>
          <w:highlight w:val="none"/>
        </w:rPr>
        <w:t>重大业务故障</w:t>
      </w:r>
      <w:bookmarkEnd w:id="15"/>
      <w:bookmarkEnd w:id="16"/>
    </w:p>
    <w:p>
      <w:pPr>
        <w:pStyle w:val="6"/>
        <w:numPr>
          <w:ilvl w:val="1"/>
          <w:numId w:val="2"/>
        </w:numPr>
        <w:snapToGrid w:val="0"/>
        <w:spacing w:before="0" w:after="0" w:line="240" w:lineRule="auto"/>
        <w:outlineLvl w:val="2"/>
        <w:rPr>
          <w:rFonts w:hint="eastAsia" w:ascii="宋体" w:hAnsi="宋体" w:eastAsia="宋体" w:cs="宋体"/>
          <w:color w:val="000000"/>
          <w:sz w:val="21"/>
          <w:szCs w:val="21"/>
          <w:highlight w:val="none"/>
        </w:rPr>
      </w:pPr>
      <w:bookmarkStart w:id="17" w:name="_Toc44510373"/>
      <w:r>
        <w:rPr>
          <w:rFonts w:hint="eastAsia" w:ascii="宋体" w:hAnsi="宋体" w:eastAsia="宋体" w:cs="宋体"/>
          <w:color w:val="000000"/>
          <w:sz w:val="21"/>
          <w:szCs w:val="21"/>
          <w:highlight w:val="none"/>
        </w:rPr>
        <w:t>个人业务</w:t>
      </w:r>
      <w:bookmarkEnd w:id="17"/>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ZDGZ-YW-C-001：</w:t>
      </w:r>
      <w:r>
        <w:rPr>
          <w:rFonts w:hint="eastAsia" w:ascii="宋体" w:hAnsi="宋体" w:eastAsia="宋体" w:cs="宋体"/>
          <w:color w:val="000000"/>
          <w:sz w:val="21"/>
          <w:szCs w:val="21"/>
          <w:highlight w:val="none"/>
        </w:rPr>
        <w:t>由于各种原因造成LTE数据业务（上网、VoLTE等）受阻，影响用户数超过5万，且历时超过15分钟。（来源：集中故障管理系统、性能管理系统、OMC网管）</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ZDGZ-YW-C-002：</w:t>
      </w:r>
      <w:r>
        <w:rPr>
          <w:rFonts w:hint="eastAsia" w:ascii="宋体" w:hAnsi="宋体" w:eastAsia="宋体" w:cs="宋体"/>
          <w:color w:val="000000"/>
          <w:sz w:val="21"/>
          <w:szCs w:val="21"/>
          <w:highlight w:val="none"/>
        </w:rPr>
        <w:t>由于各种原因造成VoLTE话音业务受阻，影响用户数超过5万，且历时超过15分钟。（来源：集中故障管理系统、性能管理系统、OMC网管）</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ZDGZ-YW-C-003: </w:t>
      </w:r>
      <w:r>
        <w:rPr>
          <w:rFonts w:hint="eastAsia" w:ascii="宋体" w:hAnsi="宋体" w:eastAsia="宋体" w:cs="宋体"/>
          <w:color w:val="000000"/>
          <w:sz w:val="21"/>
          <w:szCs w:val="21"/>
          <w:highlight w:val="none"/>
        </w:rPr>
        <w:t>本地网话音业务：本地网话音业务超过3万用户话音通信中断，且持续超过20分钟。（对应工信部较大事故定义。）（来源：集中故障管理系统）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ZDGZ-YW-C-004: </w:t>
      </w:r>
      <w:r>
        <w:rPr>
          <w:rFonts w:hint="eastAsia" w:ascii="宋体" w:hAnsi="宋体" w:eastAsia="宋体" w:cs="宋体"/>
          <w:color w:val="000000"/>
          <w:sz w:val="21"/>
          <w:szCs w:val="21"/>
          <w:highlight w:val="none"/>
        </w:rPr>
        <w:t>省际长途话音业务：与一个或一个以上省的单向或双向长途呼叫中断持续20分钟。（对应工信部较大事故定义。）（来源：集中故障管理系统）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ZDGZ-YW-C-005: </w:t>
      </w:r>
      <w:r>
        <w:rPr>
          <w:rFonts w:hint="eastAsia" w:ascii="宋体" w:hAnsi="宋体" w:eastAsia="宋体" w:cs="宋体"/>
          <w:color w:val="000000"/>
          <w:sz w:val="21"/>
          <w:szCs w:val="21"/>
          <w:highlight w:val="none"/>
        </w:rPr>
        <w:t>省际漫游话音业务：与三个以上省的省际漫游不畅，业务影响历时20分钟。（来源：集中故障管理系统）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ZDGZ-YW-C-006: </w:t>
      </w:r>
      <w:r>
        <w:rPr>
          <w:rFonts w:hint="eastAsia" w:ascii="宋体" w:hAnsi="宋体" w:eastAsia="宋体" w:cs="宋体"/>
          <w:color w:val="000000"/>
          <w:sz w:val="21"/>
          <w:szCs w:val="21"/>
          <w:highlight w:val="none"/>
        </w:rPr>
        <w:t>智能网业务：VC充值功能无法使用，影响超过30万户，持续超过1小时。（来源：省公司上报）</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ZDGZ-YW-C-007: </w:t>
      </w:r>
      <w:r>
        <w:rPr>
          <w:rFonts w:hint="eastAsia" w:ascii="宋体" w:hAnsi="宋体" w:eastAsia="宋体" w:cs="宋体"/>
          <w:color w:val="000000"/>
          <w:sz w:val="21"/>
          <w:szCs w:val="21"/>
          <w:highlight w:val="none"/>
        </w:rPr>
        <w:t>三个ISC至某一方向或多个方向的话务转接商间业务全阻超过24小时。（来源：集中故障管理系统）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ZDGZ-YW-C-008: </w:t>
      </w:r>
      <w:r>
        <w:rPr>
          <w:rFonts w:hint="eastAsia" w:ascii="宋体" w:hAnsi="宋体" w:eastAsia="宋体" w:cs="宋体"/>
          <w:color w:val="000000"/>
          <w:sz w:val="21"/>
          <w:szCs w:val="21"/>
          <w:highlight w:val="none"/>
        </w:rPr>
        <w:t>县一级行政区语音业务全阻。（来源：省公司上报）</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ZDGZ-YW-C-009:</w:t>
      </w:r>
      <w:r>
        <w:rPr>
          <w:rFonts w:hint="eastAsia" w:ascii="宋体" w:hAnsi="宋体" w:eastAsia="宋体" w:cs="宋体"/>
          <w:color w:val="000000"/>
          <w:sz w:val="21"/>
          <w:szCs w:val="21"/>
          <w:highlight w:val="none"/>
        </w:rPr>
        <w:t>国际长途话音业务：至所有国际方向IDD、IP电话业务质量下降（接通率指标较正常值下降20%以上）超过30分钟；至一个或一个以上国家或地区IDD、IP电话业务中断超过30分钟。（来源：集中故障管理系统）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ZDGZ-YW-C-010: </w:t>
      </w:r>
      <w:r>
        <w:rPr>
          <w:rFonts w:hint="eastAsia" w:ascii="宋体" w:hAnsi="宋体" w:eastAsia="宋体" w:cs="宋体"/>
          <w:color w:val="000000"/>
          <w:sz w:val="21"/>
          <w:szCs w:val="21"/>
          <w:highlight w:val="none"/>
        </w:rPr>
        <w:t>国际漫游话音业务：至所有国际方向漫游业务质量下降（登记成功率指标较正常值下降50%以上）超过30分钟；与一个或一个以上国际信令转接商转接的所有运营商间国际漫游业务全阻超过30分钟或业务质量下降（登记成功率指标较正常值下降50%以上）超过60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ZDGZ-YW-C-011:</w:t>
      </w:r>
      <w:r>
        <w:rPr>
          <w:rFonts w:hint="eastAsia" w:ascii="宋体" w:hAnsi="宋体" w:eastAsia="宋体" w:cs="宋体"/>
          <w:color w:val="000000"/>
          <w:sz w:val="21"/>
          <w:szCs w:val="21"/>
          <w:highlight w:val="none"/>
        </w:rPr>
        <w:t>某省短信类业务全部中断服务超过10分钟，或部分中断服务超过30分钟且累计影响业务量超100万条。（来源：集中故障管理系统）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ZDGZ-YW-C-012：</w:t>
      </w:r>
      <w:r>
        <w:rPr>
          <w:rFonts w:hint="eastAsia" w:ascii="宋体" w:hAnsi="宋体" w:eastAsia="宋体" w:cs="宋体"/>
          <w:color w:val="000000"/>
          <w:sz w:val="21"/>
          <w:szCs w:val="21"/>
          <w:highlight w:val="none"/>
        </w:rPr>
        <w:t>由于各种原因造成国际短信业务（出境和入境全阻，出境定义为O方向或T方向或双向，入境定义为O方向或T方向或双向）全阻，且业务没能割接到其它备份设备，故障历时超过60分钟。（来源：集中故障管理系统）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ZDGZ-YW-C-013：</w:t>
      </w:r>
      <w:r>
        <w:rPr>
          <w:rFonts w:hint="eastAsia" w:ascii="宋体" w:hAnsi="宋体" w:eastAsia="宋体" w:cs="宋体"/>
          <w:color w:val="000000"/>
          <w:sz w:val="21"/>
          <w:szCs w:val="21"/>
          <w:highlight w:val="none"/>
        </w:rPr>
        <w:t>由于各种原因造成彩信中心覆盖范围内相关业务（O方向或T方向或双向）全阻，且业务没能割接到其它备份设备，故障历时超过60分钟。（对应工信部重大事故定义。）（来源：集中故障管理系统）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ZDGZ-YW-C-014：</w:t>
      </w:r>
      <w:r>
        <w:rPr>
          <w:rFonts w:hint="eastAsia" w:ascii="宋体" w:hAnsi="宋体" w:eastAsia="宋体" w:cs="宋体"/>
          <w:color w:val="000000"/>
          <w:sz w:val="21"/>
          <w:szCs w:val="21"/>
          <w:highlight w:val="none"/>
        </w:rPr>
        <w:t>由于彩信网关故障造成其承载的相关业务（O方向或T方向）全阻，且业务没能割接到其它备份设备，影响业务历时超过60分钟。（来源：集中故障管理系统）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ZDGZ-YW-C-015:</w:t>
      </w:r>
      <w:r>
        <w:rPr>
          <w:rFonts w:hint="eastAsia" w:ascii="宋体" w:hAnsi="宋体" w:eastAsia="宋体" w:cs="宋体"/>
          <w:color w:val="000000"/>
          <w:sz w:val="21"/>
          <w:szCs w:val="21"/>
          <w:highlight w:val="none"/>
        </w:rPr>
        <w:t xml:space="preserve"> WLAN一级认证系统平台或二级认证系统平台系统故障造成其所带认证业务全阻超过60分钟。（来源：集中故障管理系统）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ZDGZ-YW-C-016: </w:t>
      </w:r>
      <w:r>
        <w:rPr>
          <w:rFonts w:hint="eastAsia" w:ascii="宋体" w:hAnsi="宋体" w:eastAsia="宋体" w:cs="宋体"/>
          <w:color w:val="000000"/>
          <w:sz w:val="21"/>
          <w:szCs w:val="21"/>
          <w:highlight w:val="none"/>
        </w:rPr>
        <w:t>不同基础电信业务经营者的网间电话通信双向全阻持续超过20分钟，或者直接影响范围1万用户小时以上。（对应工信部较大事故定义。）</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ZDGZ-YW-C-017:</w:t>
      </w:r>
      <w:r>
        <w:rPr>
          <w:rFonts w:hint="eastAsia" w:ascii="宋体" w:hAnsi="宋体" w:eastAsia="宋体" w:cs="宋体"/>
          <w:color w:val="000000"/>
          <w:sz w:val="21"/>
          <w:szCs w:val="21"/>
          <w:highlight w:val="none"/>
        </w:rPr>
        <w:t xml:space="preserve"> 固网IMS业务：本省超过10万用户话音通信中断，且持续超过20分钟。（来源：集中故障管理系统）</w:t>
      </w:r>
    </w:p>
    <w:p>
      <w:pPr>
        <w:pStyle w:val="6"/>
        <w:numPr>
          <w:ilvl w:val="1"/>
          <w:numId w:val="2"/>
        </w:numPr>
        <w:snapToGrid w:val="0"/>
        <w:spacing w:before="0" w:after="0" w:line="240" w:lineRule="auto"/>
        <w:outlineLvl w:val="2"/>
        <w:rPr>
          <w:rFonts w:hint="eastAsia" w:ascii="宋体" w:hAnsi="宋体" w:eastAsia="宋体" w:cs="宋体"/>
          <w:color w:val="000000"/>
          <w:sz w:val="21"/>
          <w:szCs w:val="21"/>
          <w:highlight w:val="none"/>
        </w:rPr>
      </w:pPr>
      <w:bookmarkStart w:id="18" w:name="_Toc44510374"/>
      <w:r>
        <w:rPr>
          <w:rFonts w:hint="eastAsia" w:ascii="宋体" w:hAnsi="宋体" w:eastAsia="宋体" w:cs="宋体"/>
          <w:color w:val="000000"/>
          <w:sz w:val="21"/>
          <w:szCs w:val="21"/>
          <w:highlight w:val="none"/>
        </w:rPr>
        <w:t>家庭业务</w:t>
      </w:r>
      <w:bookmarkEnd w:id="18"/>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ZDGZ-YW-H-001：</w:t>
      </w:r>
      <w:r>
        <w:rPr>
          <w:rFonts w:hint="eastAsia" w:ascii="宋体" w:hAnsi="宋体" w:eastAsia="宋体" w:cs="宋体"/>
          <w:color w:val="000000"/>
          <w:sz w:val="21"/>
          <w:szCs w:val="21"/>
          <w:highlight w:val="none"/>
        </w:rPr>
        <w:t>同一地市10000个用户（含）以上的家客业务同时阻断超过1小时。（来源：集中故障管理系统）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ZDGZ-YW-H-002：</w:t>
      </w:r>
      <w:r>
        <w:rPr>
          <w:rFonts w:hint="eastAsia" w:ascii="宋体" w:hAnsi="宋体" w:eastAsia="宋体" w:cs="宋体"/>
          <w:color w:val="000000"/>
          <w:sz w:val="21"/>
          <w:szCs w:val="21"/>
          <w:highlight w:val="none"/>
        </w:rPr>
        <w:t>同一地市超过5个(含)家客OLT设备同时退服，且退服时长超过2小时（备注：统计时段不包括1-6点）。（来源：集中故障管理系统）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ZDGZ-YW-H-003：</w:t>
      </w:r>
      <w:r>
        <w:rPr>
          <w:rFonts w:hint="eastAsia" w:ascii="宋体" w:hAnsi="宋体" w:eastAsia="宋体" w:cs="宋体"/>
          <w:color w:val="000000"/>
          <w:sz w:val="21"/>
          <w:szCs w:val="21"/>
          <w:highlight w:val="none"/>
        </w:rPr>
        <w:t>同一地市10000个以上（含）ONU同时阻断，且持续时长超过2小时（备注：统计时段不包括1-6点）。（来源：集中故障管理系统）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ZDGZ-YW-H-004：</w:t>
      </w:r>
      <w:r>
        <w:rPr>
          <w:rFonts w:hint="eastAsia" w:ascii="宋体" w:hAnsi="宋体" w:eastAsia="宋体" w:cs="宋体"/>
          <w:color w:val="000000"/>
          <w:sz w:val="21"/>
          <w:szCs w:val="21"/>
          <w:highlight w:val="none"/>
        </w:rPr>
        <w:t>因各种原因导致家宽Radius无法正常提供认证服务，影响家宽业务超过15分钟。（来源：集中故障管理系统）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ZDGZ-YW-H-005：</w:t>
      </w:r>
      <w:r>
        <w:rPr>
          <w:rFonts w:hint="eastAsia" w:ascii="宋体" w:hAnsi="宋体" w:eastAsia="宋体" w:cs="宋体"/>
          <w:color w:val="000000"/>
          <w:sz w:val="21"/>
          <w:szCs w:val="21"/>
          <w:highlight w:val="none"/>
        </w:rPr>
        <w:t>由于各种原因造成一个（含）以上省已分发所有CDN业务中断，故障历时超过30分钟。（来源：集中故障管理系统）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ZDGZ-YW-H-006：</w:t>
      </w:r>
      <w:r>
        <w:rPr>
          <w:rFonts w:hint="eastAsia" w:ascii="宋体" w:hAnsi="宋体" w:eastAsia="宋体" w:cs="宋体"/>
          <w:color w:val="000000"/>
          <w:sz w:val="21"/>
          <w:szCs w:val="21"/>
          <w:highlight w:val="none"/>
        </w:rPr>
        <w:t>一省某个牌照方魔百和业务阻断（包括登录失败、EPG首页无法显示、视频播放失败）或安全事件（内容被篡改，播放反动、色情等内容），且影响用户持续时间超过30分钟。（来源：牌照方业务阻断：由软探针拨测并接入集中故障管理系统。）</w:t>
      </w:r>
    </w:p>
    <w:p>
      <w:pPr>
        <w:pStyle w:val="6"/>
        <w:numPr>
          <w:ilvl w:val="1"/>
          <w:numId w:val="2"/>
        </w:numPr>
        <w:snapToGrid w:val="0"/>
        <w:spacing w:before="0" w:after="0" w:line="240" w:lineRule="auto"/>
        <w:outlineLvl w:val="2"/>
        <w:rPr>
          <w:rFonts w:hint="eastAsia" w:ascii="宋体" w:hAnsi="宋体" w:eastAsia="宋体" w:cs="宋体"/>
          <w:color w:val="000000"/>
          <w:sz w:val="21"/>
          <w:szCs w:val="21"/>
          <w:highlight w:val="none"/>
        </w:rPr>
      </w:pPr>
      <w:bookmarkStart w:id="19" w:name="_Toc44510375"/>
      <w:r>
        <w:rPr>
          <w:rFonts w:hint="eastAsia" w:ascii="宋体" w:hAnsi="宋体" w:eastAsia="宋体" w:cs="宋体"/>
          <w:color w:val="000000"/>
          <w:sz w:val="21"/>
          <w:szCs w:val="21"/>
          <w:highlight w:val="none"/>
        </w:rPr>
        <w:t>政企业务</w:t>
      </w:r>
      <w:bookmarkEnd w:id="19"/>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ZDGZ-YW-B-001：</w:t>
      </w:r>
      <w:r>
        <w:rPr>
          <w:rFonts w:hint="eastAsia" w:ascii="宋体" w:hAnsi="宋体" w:eastAsia="宋体" w:cs="宋体"/>
          <w:color w:val="000000"/>
          <w:sz w:val="21"/>
          <w:szCs w:val="21"/>
          <w:highlight w:val="none"/>
        </w:rPr>
        <w:t>同一故障造成3条（含）以上跨省集团客户AAA级专线业务全阻超过4小时（含），或3条（不含）以下跨省集团客户AAA级专线业务全阻超过6小时（含）。（来源：投诉及集中故障管理系统）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ZDGZ-YW-B-002：</w:t>
      </w:r>
      <w:r>
        <w:rPr>
          <w:rFonts w:hint="eastAsia" w:ascii="宋体" w:hAnsi="宋体" w:eastAsia="宋体" w:cs="宋体"/>
          <w:color w:val="000000"/>
          <w:sz w:val="21"/>
          <w:szCs w:val="21"/>
          <w:highlight w:val="none"/>
        </w:rPr>
        <w:t>同一故障造成10条（含）以上总部直管省内集团客户AAA级专线业务全阻超过2小时（含），或10条（不含）以下省内集团客户AAA级专线业务阻断超过5小时（含）。（来源：投诉及集中故障管理系统）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ZDGZ-YW-B-003：</w:t>
      </w:r>
      <w:r>
        <w:rPr>
          <w:rFonts w:hint="eastAsia" w:ascii="宋体" w:hAnsi="宋体" w:eastAsia="宋体" w:cs="宋体"/>
          <w:color w:val="000000"/>
          <w:sz w:val="21"/>
          <w:szCs w:val="21"/>
          <w:highlight w:val="none"/>
        </w:rPr>
        <w:t>党政军或金融重要客户，单条及以上跨省AAA级业务阻断超过4小时（含），并造成重要客户投诉。（来源：投诉及集中故障管理系统）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ZDGZ-YW-B-004：</w:t>
      </w:r>
      <w:r>
        <w:rPr>
          <w:rFonts w:hint="eastAsia" w:ascii="宋体" w:hAnsi="宋体" w:eastAsia="宋体" w:cs="宋体"/>
          <w:color w:val="000000"/>
          <w:sz w:val="21"/>
          <w:szCs w:val="21"/>
          <w:highlight w:val="none"/>
        </w:rPr>
        <w:t>重大政治/外事活动重保期间，党政军或金融重要客户单条及以上AAA级业务阻断超过2小时（含），并造成重要客户投诉。（来源：投诉及集中故障管理系统）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ZDGZ-YW-B-005：</w:t>
      </w:r>
      <w:r>
        <w:rPr>
          <w:rFonts w:hint="eastAsia" w:ascii="宋体" w:hAnsi="宋体" w:eastAsia="宋体" w:cs="宋体"/>
          <w:color w:val="000000"/>
          <w:sz w:val="21"/>
          <w:szCs w:val="21"/>
          <w:highlight w:val="none"/>
        </w:rPr>
        <w:t>重大节假日重保期间，党政军或金融重要客户两条及以上AAA级业务阻断超过2小时（含），并造成重要客户投诉。（来源：投诉及集中故障管理系统）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ZDGZ-YW-B-006：</w:t>
      </w:r>
      <w:r>
        <w:rPr>
          <w:rFonts w:hint="eastAsia" w:ascii="宋体" w:hAnsi="宋体" w:eastAsia="宋体" w:cs="宋体"/>
          <w:color w:val="000000"/>
          <w:sz w:val="21"/>
          <w:szCs w:val="21"/>
          <w:highlight w:val="none"/>
        </w:rPr>
        <w:t>重要客户要求重保期间，党政军或金融重要客户三条及以上AAA级业务阻断超过2小时（含），并造成重要客户投诉。（来源：投诉及集中故障管理系统）</w:t>
      </w:r>
    </w:p>
    <w:p>
      <w:pPr>
        <w:pStyle w:val="26"/>
        <w:snapToGrid w:val="0"/>
        <w:spacing w:before="0" w:after="0" w:line="240" w:lineRule="auto"/>
        <w:ind w:firstLine="420"/>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备注：以上涉及的重要客户列表以总部网络事业部重保保障下发要求为准，跨省集客业务重大故障的上报流程比照一干传输故障上报形式，故障一旦发生，涉及的A、B省都必须在EOMS按要求提交故障工单报障、消障，最终的重大故障考核对象仅为：依据故障分析的结果，确定的故障责任省份。</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ZDGZ-YW-B-007：</w:t>
      </w:r>
      <w:r>
        <w:rPr>
          <w:rFonts w:hint="eastAsia" w:ascii="宋体" w:hAnsi="宋体" w:eastAsia="宋体" w:cs="宋体"/>
          <w:color w:val="000000"/>
          <w:sz w:val="21"/>
          <w:szCs w:val="21"/>
          <w:highlight w:val="none"/>
        </w:rPr>
        <w:t>因网络侧原因导致一个或一个以上APN下物联网业务全阻，影响超过10万用户，历时超过60分钟；因网络侧原因导致一个或一个以上独享VPN物联网业务全阻，影响超过1万用户，历时超过60分钟。（来源：性能管理系统、OMC网管）</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ZDGZ-YW-B-008：</w:t>
      </w:r>
      <w:r>
        <w:rPr>
          <w:rFonts w:hint="eastAsia" w:ascii="宋体" w:hAnsi="宋体" w:eastAsia="宋体" w:cs="宋体"/>
          <w:color w:val="000000"/>
          <w:sz w:val="21"/>
          <w:szCs w:val="21"/>
          <w:highlight w:val="none"/>
        </w:rPr>
        <w:t>因网络侧原因导致本省三个或三个以上APN下物联网业务全阻，影响超过5万用户，历时超过120分钟；因网络侧原因导致本省超过20万用户物联网业务全阻，且历时超过30分钟。（来源：性能管理系统、OMC网管）</w:t>
      </w:r>
    </w:p>
    <w:p>
      <w:pPr>
        <w:pStyle w:val="6"/>
        <w:spacing w:before="0" w:after="0" w:line="240" w:lineRule="auto"/>
        <w:rPr>
          <w:rFonts w:hint="eastAsia" w:ascii="黑体" w:hAnsi="黑体" w:eastAsia="黑体" w:cs="黑体"/>
          <w:b/>
          <w:sz w:val="21"/>
          <w:szCs w:val="21"/>
          <w:highlight w:val="none"/>
          <w:lang w:val="en-US" w:eastAsia="zh-CN"/>
        </w:rPr>
      </w:pPr>
      <w:bookmarkStart w:id="20" w:name="_Toc44510376"/>
      <w:bookmarkStart w:id="21" w:name="_Toc243815303"/>
      <w:r>
        <w:rPr>
          <w:rFonts w:hint="eastAsia" w:ascii="黑体" w:hAnsi="黑体" w:eastAsia="黑体" w:cs="黑体"/>
          <w:b/>
          <w:sz w:val="21"/>
          <w:szCs w:val="21"/>
          <w:highlight w:val="none"/>
          <w:lang w:val="en-US" w:eastAsia="zh-CN"/>
        </w:rPr>
        <w:t>三、重大网络故障</w:t>
      </w:r>
      <w:bookmarkEnd w:id="20"/>
      <w:bookmarkEnd w:id="21"/>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22" w:name="_Toc44510377"/>
      <w:bookmarkStart w:id="23" w:name="_Toc243815304"/>
      <w:r>
        <w:rPr>
          <w:rFonts w:hint="eastAsia" w:ascii="宋体" w:hAnsi="宋体" w:eastAsia="宋体" w:cs="宋体"/>
          <w:color w:val="000000"/>
          <w:sz w:val="21"/>
          <w:szCs w:val="21"/>
          <w:highlight w:val="none"/>
        </w:rPr>
        <w:t>传输网</w:t>
      </w:r>
      <w:bookmarkEnd w:id="22"/>
      <w:bookmarkEnd w:id="23"/>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ZDGZ-WL-CS-001：</w:t>
      </w:r>
      <w:r>
        <w:rPr>
          <w:rFonts w:hint="eastAsia" w:ascii="宋体" w:hAnsi="宋体" w:eastAsia="宋体" w:cs="宋体"/>
          <w:color w:val="000000"/>
          <w:sz w:val="21"/>
          <w:szCs w:val="21"/>
          <w:highlight w:val="none"/>
        </w:rPr>
        <w:t>一干、国际政企专网波分平台中断引起SDH/PTN系统双向阻断（正常割接除外）。（来源：集中故障管理系统）</w:t>
      </w:r>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ZDGZ-WL-CS-002：</w:t>
      </w:r>
      <w:r>
        <w:rPr>
          <w:rFonts w:hint="eastAsia" w:ascii="宋体" w:hAnsi="宋体" w:eastAsia="宋体" w:cs="宋体"/>
          <w:color w:val="000000"/>
          <w:sz w:val="21"/>
          <w:szCs w:val="21"/>
          <w:highlight w:val="none"/>
        </w:rPr>
        <w:t>一干、国际政企专网波分平台中断导致业务系统发生倒换超过6小时（含6小时）（正常割接除外）。（来源：集中故障管理系统）</w:t>
      </w:r>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ZDGZ-WL-CS-003：</w:t>
      </w:r>
      <w:r>
        <w:rPr>
          <w:rFonts w:hint="eastAsia" w:ascii="宋体" w:hAnsi="宋体" w:eastAsia="宋体" w:cs="宋体"/>
          <w:color w:val="000000"/>
          <w:sz w:val="21"/>
          <w:szCs w:val="21"/>
          <w:highlight w:val="none"/>
        </w:rPr>
        <w:t>任意一个（或以上）地市的出入长途传输电路全阻。（来源：省公司上报）</w:t>
      </w:r>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ZDGZ-WL-CS-004：</w:t>
      </w:r>
      <w:r>
        <w:rPr>
          <w:rFonts w:hint="eastAsia" w:ascii="宋体" w:hAnsi="宋体" w:eastAsia="宋体" w:cs="宋体"/>
          <w:color w:val="000000"/>
          <w:sz w:val="21"/>
          <w:szCs w:val="21"/>
          <w:highlight w:val="none"/>
        </w:rPr>
        <w:t>一个及以上二干波分平台中断引起SDH/PTN系统阻断（正常割接除外）。（来源：省公司上报）</w:t>
      </w:r>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ZDGZ-WL-CS-005：</w:t>
      </w:r>
      <w:r>
        <w:rPr>
          <w:rFonts w:hint="eastAsia" w:ascii="宋体" w:hAnsi="宋体" w:eastAsia="宋体" w:cs="宋体"/>
          <w:color w:val="000000"/>
          <w:sz w:val="21"/>
          <w:szCs w:val="21"/>
          <w:highlight w:val="none"/>
        </w:rPr>
        <w:t>数字同步网一旦出现下述各种情况之一即为重大故障</w:t>
      </w:r>
    </w:p>
    <w:p>
      <w:pPr>
        <w:snapToGrid w:val="0"/>
        <w:spacing w:line="240" w:lineRule="auto"/>
        <w:ind w:firstLine="420" w:firstLineChars="200"/>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（1）对于PRC单个网元瘫痪，所有输出中断；对于LPR整个网元瘫痪，所有输出中断；（来源：一干同步网网管）</w:t>
      </w:r>
    </w:p>
    <w:p>
      <w:pPr>
        <w:snapToGrid w:val="0"/>
        <w:spacing w:line="240" w:lineRule="auto"/>
        <w:ind w:firstLine="420" w:firstLineChars="200"/>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（2）省内时钟同步网、NTP时间同步网、1588v2高精度时间同步网网元瘫痪，所有输出中断超过90分钟。（来源：省公司上报）</w:t>
      </w:r>
    </w:p>
    <w:p>
      <w:pPr>
        <w:snapToGrid w:val="0"/>
        <w:spacing w:line="240" w:lineRule="auto"/>
        <w:ind w:firstLine="420" w:firstLineChars="200"/>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（3）同一地市因光缆、传输设备故障造成10%以上基站1588v2时间源不可用超3小时，或30%以上基站1588v2时间源不可用超1小时。（来源：省公司上报）</w:t>
      </w:r>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ZDGZ-WL-CS-006：</w:t>
      </w:r>
      <w:r>
        <w:rPr>
          <w:rFonts w:hint="eastAsia" w:ascii="宋体" w:hAnsi="宋体" w:eastAsia="宋体" w:cs="宋体"/>
          <w:color w:val="000000"/>
          <w:sz w:val="21"/>
          <w:szCs w:val="21"/>
          <w:highlight w:val="none"/>
        </w:rPr>
        <w:t>卫星转发器通信中断超过20分钟，或中心站与远端站联系全部中断超过20分钟。（对应工信部较大事故定义）</w:t>
      </w:r>
    </w:p>
    <w:p>
      <w:pPr>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ZDGZ-WL-CS-007：</w:t>
      </w:r>
      <w:r>
        <w:rPr>
          <w:rFonts w:hint="eastAsia" w:ascii="宋体" w:hAnsi="宋体" w:eastAsia="宋体" w:cs="宋体"/>
          <w:color w:val="000000"/>
          <w:sz w:val="21"/>
          <w:szCs w:val="21"/>
          <w:highlight w:val="none"/>
        </w:rPr>
        <w:t>数字同步网一旦出现下述各种情况之一即为重大故障</w:t>
      </w:r>
    </w:p>
    <w:p>
      <w:pPr>
        <w:snapToGrid w:val="0"/>
        <w:spacing w:line="240" w:lineRule="auto"/>
        <w:ind w:firstLine="420" w:firstLineChars="200"/>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对于PRC整个网元的定时性能严重降质，导致所有输出定时信号由原来的时钟级别降低到下一级别的时钟标准超过60分钟；对于LPR整个网元的定时性能严重降质，导致所有输出定时信号由原来的时钟级别降低到下一级别的时钟标准超过90分钟；（来源：一干同步网网管）</w:t>
      </w:r>
    </w:p>
    <w:p>
      <w:pPr>
        <w:snapToGrid w:val="0"/>
        <w:spacing w:line="240" w:lineRule="auto"/>
        <w:ind w:firstLine="420" w:firstLineChars="200"/>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（2）省内同步网网元的定时性能严重降质，导致所有输出定时信号由原来的时钟级别降低到下一级别的时钟标准超过120分钟。（来源：省公司上报）</w:t>
      </w:r>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24" w:name="_Toc44510378"/>
      <w:r>
        <w:rPr>
          <w:rFonts w:hint="eastAsia" w:ascii="宋体" w:hAnsi="宋体" w:eastAsia="宋体" w:cs="宋体"/>
          <w:color w:val="000000"/>
          <w:sz w:val="21"/>
          <w:szCs w:val="21"/>
          <w:highlight w:val="none"/>
        </w:rPr>
        <w:t>承载网</w:t>
      </w:r>
      <w:bookmarkEnd w:id="24"/>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ZDGZ-WL-IP-001：</w:t>
      </w:r>
      <w:r>
        <w:rPr>
          <w:rFonts w:hint="eastAsia" w:ascii="宋体" w:hAnsi="宋体" w:eastAsia="宋体" w:cs="宋体"/>
          <w:color w:val="000000"/>
          <w:sz w:val="21"/>
          <w:szCs w:val="21"/>
          <w:highlight w:val="none"/>
        </w:rPr>
        <w:t>由于各种原因，造成CMNET骨干单节点发生故障退出服务，且设备故障历时超过2小时；或造成CMNET骨干节点全部发生故障退出服务。（来源：集中故障管理系统）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ZDGZ-WL-IP-002：</w:t>
      </w:r>
      <w:r>
        <w:rPr>
          <w:rFonts w:hint="eastAsia" w:ascii="宋体" w:hAnsi="宋体" w:eastAsia="宋体" w:cs="宋体"/>
          <w:color w:val="000000"/>
          <w:sz w:val="21"/>
          <w:szCs w:val="21"/>
          <w:highlight w:val="none"/>
        </w:rPr>
        <w:t>由于各种原因，造成CMNET RR单节点发生故障退出服务，且设备故障历时超过2小时；或造成CMNET RR双节点发生故障退出服务。（来源：集中故障管理系统）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ZDGZ-WL-IP-003：</w:t>
      </w:r>
      <w:r>
        <w:rPr>
          <w:rFonts w:hint="eastAsia" w:ascii="宋体" w:hAnsi="宋体" w:eastAsia="宋体" w:cs="宋体"/>
          <w:color w:val="000000"/>
          <w:sz w:val="21"/>
          <w:szCs w:val="21"/>
          <w:highlight w:val="none"/>
        </w:rPr>
        <w:t>由于各种原因，造成CMNET省网核心单节点发生故障退出服务，且设备故障历时超过2小时；造成CMNET省网核心节点全部发生故障退出服务且业务全阻。（来源：集中故障管理系统）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ZDGZ-WL-IP-004：</w:t>
      </w:r>
      <w:r>
        <w:rPr>
          <w:rFonts w:hint="eastAsia" w:ascii="宋体" w:hAnsi="宋体" w:eastAsia="宋体" w:cs="宋体"/>
          <w:color w:val="000000"/>
          <w:sz w:val="21"/>
          <w:szCs w:val="21"/>
          <w:highlight w:val="none"/>
        </w:rPr>
        <w:t>由于各种原因，造成CMNET城域网核心单节点发生故障退出服务，且设备故障历时超过2小时；造成CMNET城域网核心双节点全部发生故障退出服务且业务全阻。（来源：集中故障管理系统）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ZDGZ-WL-IP-005：</w:t>
      </w:r>
      <w:r>
        <w:rPr>
          <w:rFonts w:hint="eastAsia" w:ascii="宋体" w:hAnsi="宋体" w:eastAsia="宋体" w:cs="宋体"/>
          <w:color w:val="000000"/>
          <w:sz w:val="21"/>
          <w:szCs w:val="21"/>
          <w:highlight w:val="none"/>
        </w:rPr>
        <w:t>由于各种原因，造成全国CMNET去往电信/联通/国际任一方向业务中断，且中断时间超过30分钟。（来源：集中故障管理系统）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ZDGZ-WL-IP-006：</w:t>
      </w:r>
      <w:r>
        <w:rPr>
          <w:rFonts w:hint="eastAsia" w:ascii="宋体" w:hAnsi="宋体" w:eastAsia="宋体" w:cs="宋体"/>
          <w:color w:val="000000"/>
          <w:sz w:val="21"/>
          <w:szCs w:val="21"/>
          <w:highlight w:val="none"/>
        </w:rPr>
        <w:t>由于各种原因，造成IP承载网CR、BR单节点发生故障退出服务，且设备故障历时超过60分钟。造成IP承载网CR、BR双节点发生故障退出服务，且设备故障历时超过15分钟。（来源：集中故障管理系统）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ZDGZ-WL-IP-007：</w:t>
      </w:r>
      <w:r>
        <w:rPr>
          <w:rFonts w:hint="eastAsia" w:ascii="宋体" w:hAnsi="宋体" w:eastAsia="宋体" w:cs="宋体"/>
          <w:color w:val="000000"/>
          <w:sz w:val="21"/>
          <w:szCs w:val="21"/>
          <w:highlight w:val="none"/>
        </w:rPr>
        <w:t>由于各种原因，造成IP承载网AR单节点发生故障退出服务，且设备故障历时超过60分钟。造成IP承载网AR双节点发生故障退出服务，且设备故障历时超过30分钟。（来源：集中故障管理系统）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ZDGZ-WL-IP-008：</w:t>
      </w:r>
      <w:r>
        <w:rPr>
          <w:rFonts w:hint="eastAsia" w:ascii="宋体" w:hAnsi="宋体" w:eastAsia="宋体" w:cs="宋体"/>
          <w:color w:val="000000"/>
          <w:sz w:val="21"/>
          <w:szCs w:val="21"/>
          <w:highlight w:val="none"/>
        </w:rPr>
        <w:t>由于各种原因，造成IP承载网RR单节点发生故障退出服务，且设备故障历时超过2小时；或造成IP承载网RR双节点发生故障退出服务。（来源：集中故障管理系统）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ZDGZ-WL-IP-009：</w:t>
      </w:r>
      <w:r>
        <w:rPr>
          <w:rFonts w:hint="eastAsia" w:ascii="宋体" w:hAnsi="宋体" w:eastAsia="宋体" w:cs="宋体"/>
          <w:color w:val="000000"/>
          <w:sz w:val="21"/>
          <w:szCs w:val="21"/>
          <w:highlight w:val="none"/>
        </w:rPr>
        <w:t>由于各种原因，造成IP承载网CE单节点发生故障退出服务，且设备故障历时超过2小时；或造成IP承载网CE双节点发生故障退出服务，且设备故障历时超过60分钟。（来源：集中故障管理系统）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ZDGZ-WL-IP-010：</w:t>
      </w:r>
      <w:r>
        <w:rPr>
          <w:rFonts w:hint="eastAsia" w:ascii="宋体" w:hAnsi="宋体" w:eastAsia="宋体" w:cs="宋体"/>
          <w:color w:val="000000"/>
          <w:sz w:val="21"/>
          <w:szCs w:val="21"/>
          <w:highlight w:val="none"/>
        </w:rPr>
        <w:t>CMNET出省业务全阻：由于各种原因，造成某省出省全部互联网业务中断30分钟以上。（来源：集中故障管理系统）</w:t>
      </w:r>
    </w:p>
    <w:p>
      <w:pPr>
        <w:adjustRightInd w:val="0"/>
        <w:snapToGrid w:val="0"/>
        <w:spacing w:line="240" w:lineRule="auto"/>
        <w:ind w:firstLine="480"/>
        <w:textAlignment w:val="baseline"/>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ZDGZ-WL-IP-011：</w:t>
      </w:r>
      <w:r>
        <w:rPr>
          <w:rFonts w:hint="eastAsia" w:ascii="宋体" w:hAnsi="宋体" w:eastAsia="宋体" w:cs="宋体"/>
          <w:color w:val="000000"/>
          <w:sz w:val="21"/>
          <w:szCs w:val="21"/>
          <w:highlight w:val="none"/>
        </w:rPr>
        <w:t>由于各种原因，造成成对设置的CMNET城域网BRAS节点双节点发生故障退出服务，或单点设置的CMNET城域网BRAS节点单节点发生故障退出服务，且设备故障历时超过60分钟；或造成成对设置的CMNET城域网BRAS节点单节点发生故障退出服务，且设备故障历时超过2小时。（来源：集中故障管理系统）</w:t>
      </w:r>
    </w:p>
    <w:p>
      <w:pPr>
        <w:pStyle w:val="6"/>
        <w:numPr>
          <w:ilvl w:val="1"/>
          <w:numId w:val="3"/>
        </w:numPr>
        <w:snapToGrid w:val="0"/>
        <w:spacing w:before="0" w:after="0" w:line="240" w:lineRule="auto"/>
        <w:outlineLvl w:val="2"/>
        <w:rPr>
          <w:rFonts w:hint="eastAsia" w:ascii="宋体" w:hAnsi="宋体" w:eastAsia="宋体" w:cs="宋体"/>
          <w:color w:val="FF0000"/>
          <w:sz w:val="21"/>
          <w:szCs w:val="21"/>
          <w:highlight w:val="none"/>
        </w:rPr>
      </w:pPr>
      <w:bookmarkStart w:id="25" w:name="_Toc243815305"/>
      <w:bookmarkStart w:id="26" w:name="_Toc44510379"/>
      <w:r>
        <w:rPr>
          <w:rFonts w:hint="eastAsia" w:ascii="宋体" w:hAnsi="宋体" w:eastAsia="宋体" w:cs="宋体"/>
          <w:color w:val="000000"/>
          <w:sz w:val="21"/>
          <w:szCs w:val="21"/>
          <w:highlight w:val="none"/>
        </w:rPr>
        <w:t>无线接入网</w:t>
      </w:r>
      <w:bookmarkEnd w:id="25"/>
      <w:r>
        <w:rPr>
          <w:rFonts w:hint="eastAsia" w:ascii="宋体" w:hAnsi="宋体" w:eastAsia="宋体" w:cs="宋体"/>
          <w:color w:val="FF0000"/>
          <w:sz w:val="21"/>
          <w:szCs w:val="21"/>
          <w:highlight w:val="none"/>
        </w:rPr>
        <w:t>（含高铁）</w:t>
      </w:r>
      <w:bookmarkEnd w:id="26"/>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ZDGZ-WL-WX-001：</w:t>
      </w:r>
      <w:r>
        <w:rPr>
          <w:rFonts w:hint="eastAsia" w:ascii="宋体" w:hAnsi="宋体" w:eastAsia="宋体" w:cs="宋体"/>
          <w:color w:val="000000"/>
          <w:sz w:val="21"/>
          <w:szCs w:val="21"/>
          <w:highlight w:val="none"/>
        </w:rPr>
        <w:t>任一BSC发生阻断超过60分钟。（来源：集中故障管理系统）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ZDGZ-WL-WX-002:</w:t>
      </w:r>
      <w:r>
        <w:rPr>
          <w:rFonts w:hint="eastAsia" w:ascii="宋体" w:hAnsi="宋体" w:eastAsia="宋体" w:cs="宋体"/>
          <w:color w:val="000000"/>
          <w:sz w:val="21"/>
          <w:szCs w:val="21"/>
          <w:highlight w:val="none"/>
        </w:rPr>
        <w:t>一个本地网（地市）内40个（含）以上2G基站（且载频总数超过500个（含））同时阻断3小时，或120个（含）以上2G基站同时阻断超过1小时。（来源：集中故障管理系统）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ZDGZ-WL-WX-003：</w:t>
      </w:r>
      <w:r>
        <w:rPr>
          <w:rFonts w:hint="eastAsia" w:ascii="宋体" w:hAnsi="宋体" w:eastAsia="宋体" w:cs="宋体"/>
          <w:color w:val="000000"/>
          <w:sz w:val="21"/>
          <w:szCs w:val="21"/>
          <w:highlight w:val="none"/>
        </w:rPr>
        <w:t>一个本地网（地市）内60个（含）以上LTE基站同时阻断（含脱管类基站）3小时，或150个（含）以上LTE基站同时阻断（含脱管类基站）超过1小时。（来源：集中故障管理系统）</w:t>
      </w:r>
    </w:p>
    <w:p>
      <w:pPr>
        <w:pStyle w:val="26"/>
        <w:snapToGrid w:val="0"/>
        <w:spacing w:line="240" w:lineRule="auto"/>
        <w:ind w:firstLine="420"/>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备注：</w:t>
      </w:r>
    </w:p>
    <w:p>
      <w:pPr>
        <w:pStyle w:val="26"/>
        <w:snapToGrid w:val="0"/>
        <w:spacing w:line="240" w:lineRule="auto"/>
        <w:ind w:firstLine="420"/>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1、一体化皮飞站（nanocell/femto）不纳入重大故障，剔除长期断站。</w:t>
      </w:r>
    </w:p>
    <w:p>
      <w:pPr>
        <w:pStyle w:val="26"/>
        <w:snapToGrid w:val="0"/>
        <w:spacing w:line="240" w:lineRule="auto"/>
        <w:ind w:firstLine="420"/>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2、LTE基站退服会涉及两类：一类是因小区退服、GPS故障、S1故障等原因导致基站未脱管情况下基站退服，一类是因停电、传输中断等原因导致基站托管情况下基站退服。两类退服基站去重相加衍生地市LTE基站退服告警。</w:t>
      </w:r>
    </w:p>
    <w:p>
      <w:pPr>
        <w:pStyle w:val="26"/>
        <w:snapToGrid w:val="0"/>
        <w:spacing w:line="240" w:lineRule="auto"/>
        <w:ind w:firstLine="420"/>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3、在极少数情况下由于DCN故障、OMC故障、PTN故障等原因导致实际未退服的基站至网管不通，会误判基站退服数，在LTE基站退服重大故障判断、上报等环节不予以考虑，在事后重大故障考核时需提供明确依据才予以考虑上述情况申请减免。</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ZDGZ-WL-WX-004：</w:t>
      </w:r>
      <w:r>
        <w:rPr>
          <w:rFonts w:hint="eastAsia" w:ascii="宋体" w:hAnsi="宋体" w:eastAsia="宋体" w:cs="宋体"/>
          <w:color w:val="000000"/>
          <w:sz w:val="21"/>
          <w:szCs w:val="21"/>
          <w:highlight w:val="none"/>
        </w:rPr>
        <w:t>一个本地网（地市）内40个（含）以上5G基站同时阻断（含脱管类基站）3小时，或120个（含）以上5G基站同时阻断（含脱管类基站）超过1小时。（来源：集中故障管理系统）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ZDGZ-WL-WX-005：</w:t>
      </w:r>
      <w:r>
        <w:rPr>
          <w:rFonts w:hint="eastAsia" w:ascii="宋体" w:hAnsi="宋体" w:eastAsia="宋体" w:cs="宋体"/>
          <w:color w:val="000000"/>
          <w:sz w:val="21"/>
          <w:szCs w:val="21"/>
          <w:highlight w:val="none"/>
        </w:rPr>
        <w:t>一个本地网（地市）高铁网络内30个（含）以上GSM RRU同时阻断3小时，或90个（含）以上GSM RRU同时阻断超过1小时（统计时段为8点-23点）。（来源：集中故障管理系统）</w:t>
      </w:r>
    </w:p>
    <w:p>
      <w:pPr>
        <w:pStyle w:val="22"/>
        <w:snapToGrid w:val="0"/>
        <w:spacing w:line="240" w:lineRule="auto"/>
        <w:ind w:firstLine="482"/>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ZDGZ-WL-WX-006：</w:t>
      </w:r>
      <w:r>
        <w:rPr>
          <w:rFonts w:hint="eastAsia" w:ascii="宋体" w:hAnsi="宋体" w:eastAsia="宋体" w:cs="宋体"/>
          <w:color w:val="000000"/>
          <w:sz w:val="21"/>
          <w:szCs w:val="21"/>
          <w:highlight w:val="none"/>
        </w:rPr>
        <w:t>一个本地网（地市）高铁网络内30个（含）以上LTE RRU同时阻断3小时，或90个（含）以上LTE RRU同时阻断超过1小时（统计时段为8点-23点）。</w:t>
      </w:r>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27" w:name="_Toc44510380"/>
      <w:r>
        <w:rPr>
          <w:rFonts w:hint="eastAsia" w:ascii="宋体" w:hAnsi="宋体" w:eastAsia="宋体" w:cs="宋体"/>
          <w:color w:val="000000"/>
          <w:sz w:val="21"/>
          <w:szCs w:val="21"/>
          <w:highlight w:val="none"/>
        </w:rPr>
        <w:t>核心网</w:t>
      </w:r>
      <w:bookmarkEnd w:id="27"/>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ZDGZ-WL-HX-001: </w:t>
      </w:r>
      <w:r>
        <w:rPr>
          <w:rFonts w:hint="eastAsia" w:ascii="宋体" w:hAnsi="宋体" w:eastAsia="宋体" w:cs="宋体"/>
          <w:color w:val="000000"/>
          <w:sz w:val="21"/>
          <w:szCs w:val="21"/>
          <w:highlight w:val="none"/>
        </w:rPr>
        <w:t>任意移动关口局、MSC Server、MGW设备发生阻断且业务没能切换到备份设备（造成业务受阻），或业务已切换到备份设备（未造成业务影响）且设备阻断故障历时（含业务倒回主用设备时间）超过24小时。（来源：集中故障管理系统）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ZDGZ-WL-HX-002: </w:t>
      </w:r>
      <w:r>
        <w:rPr>
          <w:rFonts w:hint="eastAsia" w:ascii="宋体" w:hAnsi="宋体" w:eastAsia="宋体" w:cs="宋体"/>
          <w:color w:val="000000"/>
          <w:sz w:val="21"/>
          <w:szCs w:val="21"/>
          <w:highlight w:val="none"/>
        </w:rPr>
        <w:t>软交换汇接网一个或多个媒体网关（MGW）、MSC Server（SS）设备发生阻断且业务没能切换到备份设备（造成业务受阻），或业务已切换到备份设备（未造成业务影响）且设备阻断故障历时（含业务倒回主用设备时间）超过24小时。（来源：集中故障管理系统）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ZDGZ-WL-HX-003: </w:t>
      </w:r>
      <w:r>
        <w:rPr>
          <w:rFonts w:hint="eastAsia" w:ascii="宋体" w:hAnsi="宋体" w:eastAsia="宋体" w:cs="宋体"/>
          <w:color w:val="000000"/>
          <w:sz w:val="21"/>
          <w:szCs w:val="21"/>
          <w:highlight w:val="none"/>
        </w:rPr>
        <w:t>任意SGSN/MME、GGSN/SAE-GW、PCRF设备发生阻断且业务没能切换到备份设备（造成业务受阻），或业务已切换到备份设备（未造成业务影响）且设备阻断故障历时（含业务倒回主用设备时间）超过24小时。（含虚拟化网元）（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ZDGZ-WL-HX-004: </w:t>
      </w:r>
      <w:r>
        <w:rPr>
          <w:rFonts w:hint="eastAsia" w:ascii="宋体" w:hAnsi="宋体" w:eastAsia="宋体" w:cs="宋体"/>
          <w:color w:val="000000"/>
          <w:sz w:val="21"/>
          <w:szCs w:val="21"/>
          <w:highlight w:val="none"/>
        </w:rPr>
        <w:t>分布式HSS的任一FE或者任一BE或者集中式HSS设备发生阻断且业务没能切换到备份设备（造成业务受阻），或业务已切换到备份设备（未造成业务影响）且设备阻断故障历时（含业务倒回主用设备时间）超过24小时。（来源：集中故障管理系统）</w:t>
      </w:r>
    </w:p>
    <w:p>
      <w:pPr>
        <w:pStyle w:val="26"/>
        <w:snapToGrid w:val="0"/>
        <w:spacing w:line="240" w:lineRule="auto"/>
        <w:ind w:firstLine="420"/>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 xml:space="preserve">ZDGZ-WL-HX-005: </w:t>
      </w:r>
      <w:r>
        <w:rPr>
          <w:rFonts w:hint="eastAsia" w:ascii="宋体" w:hAnsi="宋体" w:eastAsia="宋体" w:cs="宋体"/>
          <w:color w:val="000000"/>
          <w:sz w:val="21"/>
          <w:szCs w:val="21"/>
          <w:highlight w:val="none"/>
        </w:rPr>
        <w:t>1. STP设备发生阻断且业务没能切换到备份设备（造成业务受阻），或业务已切换到备份设备（未造成业务影响）且设备阻断故障历时（含业务倒回主用设备时间）超过24小时。</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2.HSTP间省际方向双平面直连链路全阻，或一个HSTP设备同时到5个及以上省际方向直连链路全阻；</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3.一个HSTP设备同时到5个及以上省际方向或省内50%以上的信令链路持续频繁翻转超过30分钟。（来源：集中故障管理系统）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ZDGZ-WL-HX-006:</w:t>
      </w:r>
      <w:r>
        <w:rPr>
          <w:rFonts w:hint="eastAsia" w:ascii="宋体" w:hAnsi="宋体" w:eastAsia="宋体" w:cs="宋体"/>
          <w:color w:val="000000"/>
          <w:sz w:val="21"/>
          <w:szCs w:val="21"/>
          <w:highlight w:val="none"/>
        </w:rPr>
        <w:t>任一IMS核心网设备或基础业务平台设备阻断，设备类型包括SBC（含SBC、I-SBC和PSBC）、P-CSCF、I/S/E-CSCF/BGCF、IMS HSS、IMS SLF、MGCF、IM-MGW、ENUM/DNS、AGCF(TDM中继接入网关)、TG、VoLTE AS、Centrex AS等，且业务没能切换到备份设备（造成业务受阻），或业务已切换到备份设备（未造成业务影响）且设备阻断故障历时（含业务倒回主用设备时间）超过24小时。（含虚拟化网元）（来源：集中故障管理系统）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ZDGZ-WL-HX-007： </w:t>
      </w:r>
      <w:r>
        <w:rPr>
          <w:rFonts w:hint="eastAsia" w:ascii="宋体" w:hAnsi="宋体" w:eastAsia="宋体" w:cs="宋体"/>
          <w:color w:val="000000"/>
          <w:sz w:val="21"/>
          <w:szCs w:val="21"/>
          <w:highlight w:val="none"/>
        </w:rPr>
        <w:t>1. 任一DRA设备发生阻断，且业务没能切换到备份设备（造成业务受阻），或业务已切换到备份设备（未造成业务影响）且设备阻断故障历时（含业务倒回主用设备时间）超过24小时；</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2.DRA间省际方向双平面直连链路全阻，或一个DRA设备同时到2个及以上省际方向直连链路全阻；</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3.一个DRA设备同时到2个及以上省际方向或省内50%以上的信令链路持续频繁翻转超过30分钟。（来源：集中故障管理系统）</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ZDGZ-WL-HX-008：</w:t>
      </w:r>
      <w:r>
        <w:rPr>
          <w:rFonts w:hint="eastAsia" w:ascii="宋体" w:hAnsi="宋体" w:eastAsia="宋体" w:cs="宋体"/>
          <w:color w:val="000000"/>
          <w:sz w:val="21"/>
          <w:szCs w:val="21"/>
          <w:highlight w:val="none"/>
        </w:rPr>
        <w:t>由于各种原因造成WAP网关覆盖范围内相关业务（PULL业务、socket业务和PUSH业务）全阻，且业务没能割接到其它备份设备，或业务已切换到备份设备（未造成业务影响）且设备阻断故障历时（含业务倒回主用设备时间）超过24小时。（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bookmarkStart w:id="28" w:name="_Toc243815307"/>
      <w:r>
        <w:rPr>
          <w:rFonts w:hint="eastAsia" w:ascii="宋体" w:hAnsi="宋体" w:eastAsia="宋体" w:cs="宋体"/>
          <w:b/>
          <w:color w:val="000000"/>
          <w:sz w:val="21"/>
          <w:szCs w:val="21"/>
          <w:highlight w:val="none"/>
        </w:rPr>
        <w:t>ZDGZ-WL-HX-009：</w:t>
      </w:r>
      <w:r>
        <w:rPr>
          <w:rFonts w:hint="eastAsia" w:ascii="宋体" w:hAnsi="宋体" w:eastAsia="宋体" w:cs="宋体"/>
          <w:color w:val="000000"/>
          <w:sz w:val="21"/>
          <w:szCs w:val="21"/>
          <w:highlight w:val="none"/>
        </w:rPr>
        <w:t>由于各种原因造成国漫BG设备覆盖范围内相关业务（出访和入访）全阻，且业务没能割接到其它备份设备，或业务已切换到备份设备（未造成业务影响）且设备阻断故障历时（含业务倒回主用设备时间）超过24小时。（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ZDGZ-WL-HX-010：</w:t>
      </w:r>
      <w:r>
        <w:rPr>
          <w:rFonts w:hint="eastAsia" w:ascii="宋体" w:hAnsi="宋体" w:eastAsia="宋体" w:cs="宋体"/>
          <w:color w:val="000000"/>
          <w:sz w:val="21"/>
          <w:szCs w:val="21"/>
          <w:highlight w:val="none"/>
        </w:rPr>
        <w:t>任意一套一级通信能力开放平台、能力网元接入模块、SCEF/AAC设备发生阻断且业务没能切换到备份设备，造成业务受阻，或业务已切换到备份设备（未造成业务影响）但设备阻断故障历时（含业务倒回主用设备时间）超过24小时。（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ZDGZ-WL-HX-011：</w:t>
      </w:r>
      <w:r>
        <w:rPr>
          <w:rFonts w:hint="eastAsia" w:ascii="宋体" w:hAnsi="宋体" w:eastAsia="宋体" w:cs="宋体"/>
          <w:color w:val="000000"/>
          <w:sz w:val="21"/>
          <w:szCs w:val="21"/>
          <w:highlight w:val="none"/>
        </w:rPr>
        <w:t>DRA业务消息转发成功率下降50%；一个或多个DRA设备信令转接功能不正常，使得某一类业务的性能指标较正常值下降50%以上。（来源：集中故障管理系统、性能管理系统、OMC网管）</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ZDGZ-WL-HX-012：</w:t>
      </w:r>
      <w:r>
        <w:rPr>
          <w:rFonts w:hint="eastAsia" w:ascii="宋体" w:hAnsi="宋体" w:eastAsia="宋体" w:cs="宋体"/>
          <w:color w:val="000000"/>
          <w:sz w:val="21"/>
          <w:szCs w:val="21"/>
          <w:highlight w:val="none"/>
        </w:rPr>
        <w:t>由于各种原因（非工程原因）造成任意MME排除用户原因附着成功率指标低于60%，且历时超过15分钟。（来源：集中故障管理系统、性能管理系统、OMC网管）</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ZDGZ-WL-HX-013：</w:t>
      </w:r>
      <w:r>
        <w:rPr>
          <w:rFonts w:hint="eastAsia" w:ascii="宋体" w:hAnsi="宋体" w:eastAsia="宋体" w:cs="宋体"/>
          <w:color w:val="000000"/>
          <w:sz w:val="21"/>
          <w:szCs w:val="21"/>
          <w:highlight w:val="none"/>
        </w:rPr>
        <w:t>由于各种原因（非工程原因）造成任意SAE-GW缺省承载建立成功率指标低于60%，且历时超过15分钟。（来源：集中故障管理系统、性能管理系统、OMC网管）</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ZDGZ-WL-HX-014：</w:t>
      </w:r>
      <w:r>
        <w:rPr>
          <w:rFonts w:hint="eastAsia" w:ascii="宋体" w:hAnsi="宋体" w:eastAsia="宋体" w:cs="宋体"/>
          <w:color w:val="000000"/>
          <w:sz w:val="21"/>
          <w:szCs w:val="21"/>
          <w:highlight w:val="none"/>
        </w:rPr>
        <w:t>由于各种原因（非工程原因）造成任意S-CSCF初始注册成功率指标低于70%或接通率（不排除用户原因）指标低于60%，且历时超过15分钟。（来源：集中故障管理系统、性能管理系统、OMC网管）</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ZDGZ-WL-HX-015：</w:t>
      </w:r>
      <w:r>
        <w:rPr>
          <w:rFonts w:hint="eastAsia" w:ascii="宋体" w:hAnsi="宋体" w:eastAsia="宋体" w:cs="宋体"/>
          <w:color w:val="000000"/>
          <w:sz w:val="21"/>
          <w:szCs w:val="21"/>
          <w:highlight w:val="none"/>
        </w:rPr>
        <w:t>由于各种原因（非工程原因）造成任意VoLTE SBC接通率（不排除用户原因）指标低于60%，且历时超过15分钟。（来源：集中故障管理系统、性能管理系统、OMC网管）</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ZDGZ-WL-HX-016：</w:t>
      </w:r>
      <w:r>
        <w:rPr>
          <w:rFonts w:hint="eastAsia" w:ascii="宋体" w:hAnsi="宋体" w:eastAsia="宋体" w:cs="宋体"/>
          <w:color w:val="000000"/>
          <w:sz w:val="21"/>
          <w:szCs w:val="21"/>
          <w:highlight w:val="none"/>
        </w:rPr>
        <w:t>由于各种原因（非工程原因）造成任意HSS更新位置成功率（不排除用户原因）指标低于60%或鉴权信息查询成功率（不排除用户原因）指标低于60%，且历时超过15分钟。（来源：集中故障管理系统、性能管理系统、OMC网管）</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ZDGZ-WL-HX-017：</w:t>
      </w:r>
      <w:r>
        <w:rPr>
          <w:rFonts w:hint="eastAsia" w:ascii="宋体" w:hAnsi="宋体" w:eastAsia="宋体" w:cs="宋体"/>
          <w:color w:val="000000"/>
          <w:sz w:val="21"/>
          <w:szCs w:val="21"/>
          <w:highlight w:val="none"/>
        </w:rPr>
        <w:t>一个或多个STP设备（HSTP或LSTP）信令转接功能不正常，包括SCCP翻译功能及消息转发功能，使得某一类业务（省际省内短信成功率，省际省内登记成功率，省际省内GPRS附着成功率）的性能指标较正常值下降50%以上。（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ZDGZ-WL-HX-018：</w:t>
      </w:r>
      <w:r>
        <w:rPr>
          <w:rFonts w:hint="eastAsia" w:ascii="宋体" w:hAnsi="宋体" w:eastAsia="宋体" w:cs="宋体"/>
          <w:color w:val="000000"/>
          <w:sz w:val="21"/>
          <w:szCs w:val="21"/>
          <w:highlight w:val="none"/>
        </w:rPr>
        <w:t>SCP、SCP AS、SCIM/SCOM、SMP、VC、AIP系统发生阻断，且业务没能割接到其它备份设备，或业务已切换到备份设备（未造成业务影响）且设备阻断故障历时（含业务倒回主用设备时间）超过24小时。（含虚拟化网元）（来源：集中故障管理系统）</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bCs/>
          <w:color w:val="000000"/>
          <w:sz w:val="21"/>
          <w:szCs w:val="21"/>
          <w:highlight w:val="none"/>
        </w:rPr>
        <w:t>ZDGZ-WL-HX-019:</w:t>
      </w:r>
      <w:r>
        <w:rPr>
          <w:rFonts w:hint="eastAsia" w:ascii="宋体" w:hAnsi="宋体" w:eastAsia="宋体" w:cs="宋体"/>
          <w:color w:val="000000"/>
          <w:sz w:val="21"/>
          <w:szCs w:val="21"/>
          <w:highlight w:val="none"/>
        </w:rPr>
        <w:t xml:space="preserve"> 任意ToC及ToB AMF、SMF、UPF、CHF、PCF、UDM、IWF、NRF、计费NRF、NSSF、SMSF设备发生阻断且业务没能切换到备份设备（造成业务受阻），或业务已切换到备份设备（未造成业务影响）且设备阻断故障历时（含业务倒回主用设备时间）超过24小时。（含虚拟化网元）（来源：集中故障管理系统）</w:t>
      </w:r>
    </w:p>
    <w:bookmarkEnd w:id="28"/>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29" w:name="_Toc243815308"/>
      <w:bookmarkStart w:id="30" w:name="_Toc44510381"/>
      <w:r>
        <w:rPr>
          <w:rFonts w:hint="eastAsia" w:ascii="宋体" w:hAnsi="宋体" w:eastAsia="宋体" w:cs="宋体"/>
          <w:color w:val="000000"/>
          <w:sz w:val="21"/>
          <w:szCs w:val="21"/>
          <w:highlight w:val="none"/>
        </w:rPr>
        <w:t>数据网</w:t>
      </w:r>
      <w:bookmarkEnd w:id="29"/>
      <w:bookmarkEnd w:id="30"/>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ZDGZ-WL-SJ-001：</w:t>
      </w:r>
      <w:r>
        <w:rPr>
          <w:rFonts w:hint="eastAsia" w:ascii="宋体" w:hAnsi="宋体" w:eastAsia="宋体" w:cs="宋体"/>
          <w:color w:val="000000"/>
          <w:sz w:val="21"/>
          <w:szCs w:val="21"/>
          <w:highlight w:val="none"/>
        </w:rPr>
        <w:t>一个本地网内超过4000个WLAN AP无法提供服务，历时超过30分钟；一个本地网内超过2000个AP无法提供服务，历时超过60分钟。（来源：省公司上报）</w:t>
      </w:r>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ZDGZ-WL-SJ-002：</w:t>
      </w:r>
      <w:r>
        <w:rPr>
          <w:rFonts w:hint="eastAsia" w:ascii="宋体" w:hAnsi="宋体" w:eastAsia="宋体" w:cs="宋体"/>
          <w:color w:val="000000"/>
          <w:sz w:val="21"/>
          <w:szCs w:val="21"/>
          <w:highlight w:val="none"/>
        </w:rPr>
        <w:t>任意一套5G消息中心（短信中心）、行业网关、融合短信网关（梦网网关、互通网关）、IP短信网关设备发生阻断且业务没能切换到备份设备（造成业务受阻），或业务已切换到备份设备（未造成业务影响）且设备阻断故障历时（含业务倒回主用设备时间）超过24小时。（含虚拟化网元）（来源：集中故障管理系统）</w:t>
      </w:r>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31" w:name="_Toc44510382"/>
      <w:bookmarkStart w:id="32" w:name="_Toc243815309"/>
      <w:r>
        <w:rPr>
          <w:rFonts w:hint="eastAsia" w:ascii="宋体" w:hAnsi="宋体" w:eastAsia="宋体" w:cs="宋体"/>
          <w:color w:val="000000"/>
          <w:sz w:val="21"/>
          <w:szCs w:val="21"/>
          <w:highlight w:val="none"/>
        </w:rPr>
        <w:t>网管网</w:t>
      </w:r>
      <w:bookmarkEnd w:id="31"/>
      <w:bookmarkEnd w:id="32"/>
    </w:p>
    <w:p>
      <w:pPr>
        <w:pStyle w:val="26"/>
        <w:snapToGrid w:val="0"/>
        <w:spacing w:before="0" w:after="0"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ZDGZ-WL-WG-001:</w:t>
      </w:r>
      <w:r>
        <w:rPr>
          <w:rFonts w:hint="eastAsia" w:ascii="宋体" w:hAnsi="宋体" w:eastAsia="宋体" w:cs="宋体"/>
          <w:color w:val="000000"/>
          <w:sz w:val="21"/>
          <w:szCs w:val="21"/>
          <w:highlight w:val="none"/>
        </w:rPr>
        <w:t>省或省级及以上单个网管系统告警功能不可用超过1小时。（来源：日常使用及各网管内部监控）</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ZDGZ-WL-WG-002:</w:t>
      </w:r>
      <w:r>
        <w:rPr>
          <w:rFonts w:hint="eastAsia" w:ascii="宋体" w:hAnsi="宋体" w:eastAsia="宋体" w:cs="宋体"/>
          <w:color w:val="000000"/>
          <w:sz w:val="21"/>
          <w:szCs w:val="21"/>
          <w:highlight w:val="none"/>
        </w:rPr>
        <w:t>网管系统部省接口故障，导致系统不能进行接口信息传递，超过4小时。（来源：日常使用及各网管内部监控）</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ZDGZ-WL-WG-003： </w:t>
      </w:r>
      <w:r>
        <w:rPr>
          <w:rFonts w:hint="eastAsia" w:ascii="宋体" w:hAnsi="宋体" w:eastAsia="宋体" w:cs="宋体"/>
          <w:color w:val="000000"/>
          <w:sz w:val="21"/>
          <w:szCs w:val="21"/>
          <w:highlight w:val="none"/>
        </w:rPr>
        <w:t>省或省级以上网管网核心交换机故障导致网管网不可用超过1小时。（来源：日常使用及各网管内部监控）</w:t>
      </w:r>
    </w:p>
    <w:p>
      <w:pPr>
        <w:pStyle w:val="9"/>
        <w:snapToGrid w:val="0"/>
        <w:spacing w:line="240" w:lineRule="auto"/>
        <w:ind w:firstLine="422"/>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备注：</w:t>
      </w:r>
    </w:p>
    <w:p>
      <w:pPr>
        <w:pStyle w:val="9"/>
        <w:numPr>
          <w:ilvl w:val="0"/>
          <w:numId w:val="4"/>
        </w:numPr>
        <w:snapToGrid w:val="0"/>
        <w:spacing w:line="240" w:lineRule="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以上定义中所称网管系统是指各专业的网管支撑系统，包括话务网管、数据网管、传输网管、EOMS、信令监测、动力环境监控、网络优化、自动拨测等。</w:t>
      </w:r>
    </w:p>
    <w:p>
      <w:pPr>
        <w:pStyle w:val="9"/>
        <w:numPr>
          <w:ilvl w:val="0"/>
          <w:numId w:val="4"/>
        </w:numPr>
        <w:snapToGrid w:val="0"/>
        <w:spacing w:line="240" w:lineRule="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以上定义中所称网管系统包括省级网管和集团网管。</w:t>
      </w:r>
    </w:p>
    <w:p>
      <w:pPr>
        <w:pStyle w:val="9"/>
        <w:numPr>
          <w:ilvl w:val="0"/>
          <w:numId w:val="4"/>
        </w:numPr>
        <w:snapToGrid w:val="0"/>
        <w:spacing w:line="240" w:lineRule="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来源：日常使用及各网管内部监控</w:t>
      </w:r>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33" w:name="_Toc44510383"/>
      <w:r>
        <w:rPr>
          <w:rFonts w:hint="eastAsia" w:ascii="宋体" w:hAnsi="宋体" w:eastAsia="宋体" w:cs="宋体"/>
          <w:color w:val="000000"/>
          <w:sz w:val="21"/>
          <w:szCs w:val="21"/>
          <w:highlight w:val="none"/>
        </w:rPr>
        <w:t>动环系统</w:t>
      </w:r>
      <w:bookmarkEnd w:id="33"/>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ZDGZ-WL-DH-001：</w:t>
      </w:r>
      <w:r>
        <w:rPr>
          <w:rFonts w:hint="eastAsia" w:ascii="宋体" w:hAnsi="宋体" w:eastAsia="宋体" w:cs="宋体"/>
          <w:color w:val="000000"/>
          <w:sz w:val="21"/>
          <w:szCs w:val="21"/>
          <w:highlight w:val="none"/>
        </w:rPr>
        <w:t>由于各种动环原因导致其他专业产生重大故障或者通信机楼（核心机楼、数据中心）内UPS系统、开关电源系统、高压直流系统整体输出中断30分钟。（来源：集中故障管理系统）</w:t>
      </w:r>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ZDGZ-WL-DH-002：</w:t>
      </w:r>
      <w:r>
        <w:rPr>
          <w:rFonts w:hint="eastAsia" w:ascii="宋体" w:hAnsi="宋体" w:eastAsia="宋体" w:cs="宋体"/>
          <w:color w:val="000000"/>
          <w:sz w:val="21"/>
          <w:szCs w:val="21"/>
          <w:highlight w:val="none"/>
        </w:rPr>
        <w:t>由于电源、空调、动环监控系统等动环专业设备原因，导致产生重大人身伤亡等安全事故。（来源：集中故障管理系统）</w:t>
      </w:r>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ZDGZ-WL-DH-003：</w:t>
      </w:r>
      <w:r>
        <w:rPr>
          <w:rFonts w:hint="eastAsia" w:ascii="宋体" w:hAnsi="宋体" w:eastAsia="宋体" w:cs="宋体"/>
          <w:color w:val="000000"/>
          <w:sz w:val="21"/>
          <w:szCs w:val="21"/>
          <w:highlight w:val="none"/>
        </w:rPr>
        <w:t>由于电源、空调、动环监控系统等动环专业设备发生爆裂、起火等故障，导致产生10万元及以上经济损失。（来源：集中故障管理系统）</w:t>
      </w:r>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ZDGZ-WL-DH-004：</w:t>
      </w:r>
      <w:r>
        <w:rPr>
          <w:rFonts w:hint="eastAsia" w:ascii="宋体" w:hAnsi="宋体" w:eastAsia="宋体" w:cs="宋体"/>
          <w:color w:val="000000"/>
          <w:sz w:val="21"/>
          <w:szCs w:val="21"/>
          <w:highlight w:val="none"/>
        </w:rPr>
        <w:t>核心机楼、数据中心的外市电引入发生多路市电全部停电达到2小时。（来源：集中故障管理系统）</w:t>
      </w:r>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34" w:name="_Toc44510384"/>
      <w:r>
        <w:rPr>
          <w:rFonts w:hint="eastAsia" w:ascii="宋体" w:hAnsi="宋体" w:eastAsia="宋体" w:cs="宋体"/>
          <w:color w:val="000000"/>
          <w:sz w:val="21"/>
          <w:szCs w:val="21"/>
          <w:highlight w:val="none"/>
        </w:rPr>
        <w:t>内容网设备</w:t>
      </w:r>
      <w:bookmarkEnd w:id="34"/>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ZDGZ-WL-NRW-001:</w:t>
      </w:r>
      <w:r>
        <w:rPr>
          <w:rFonts w:hint="eastAsia" w:ascii="宋体" w:hAnsi="宋体" w:eastAsia="宋体" w:cs="宋体"/>
          <w:color w:val="000000"/>
          <w:sz w:val="21"/>
          <w:szCs w:val="21"/>
          <w:highlight w:val="none"/>
        </w:rPr>
        <w:t xml:space="preserve"> 调度中心、内容中心瘫痪，且业务无法切换到备用节点，故障历时超过30分钟。（备注：总部或省公司维护）（来源：集中故障管理系统）</w:t>
      </w:r>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ZDGZ-WL-NRW-002：</w:t>
      </w:r>
      <w:r>
        <w:rPr>
          <w:rFonts w:hint="eastAsia" w:ascii="宋体" w:hAnsi="宋体" w:eastAsia="宋体" w:cs="宋体"/>
          <w:color w:val="000000"/>
          <w:sz w:val="21"/>
          <w:szCs w:val="21"/>
          <w:highlight w:val="none"/>
        </w:rPr>
        <w:t>由于各种原因，造成本省Cache系统已缓存所有业务中断2小时。（备注：省公司维护）（来源：各省缓存OMC、缓存端口流量监控）</w:t>
      </w:r>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ZDGZ-WL-NRW-003：</w:t>
      </w:r>
      <w:r>
        <w:rPr>
          <w:rFonts w:hint="eastAsia" w:ascii="宋体" w:hAnsi="宋体" w:eastAsia="宋体" w:cs="宋体"/>
          <w:color w:val="000000"/>
          <w:sz w:val="21"/>
          <w:szCs w:val="21"/>
          <w:highlight w:val="none"/>
        </w:rPr>
        <w:t>互联网DNS系统因服务软件、业务主机或业务接入交换机等发生故障，造成单节点不能承载业务，故障历时超过60分钟（来源：集中故障管理系统）</w:t>
      </w:r>
    </w:p>
    <w:p>
      <w:pPr>
        <w:pStyle w:val="6"/>
        <w:numPr>
          <w:ilvl w:val="1"/>
          <w:numId w:val="3"/>
        </w:numPr>
        <w:snapToGrid w:val="0"/>
        <w:spacing w:before="0" w:after="0" w:line="240" w:lineRule="auto"/>
        <w:outlineLvl w:val="2"/>
        <w:rPr>
          <w:rFonts w:hint="eastAsia" w:ascii="宋体" w:hAnsi="宋体" w:eastAsia="宋体" w:cs="宋体"/>
          <w:color w:val="000000"/>
          <w:sz w:val="21"/>
          <w:szCs w:val="21"/>
          <w:highlight w:val="none"/>
        </w:rPr>
      </w:pPr>
      <w:bookmarkStart w:id="35" w:name="_Toc44510385"/>
      <w:r>
        <w:rPr>
          <w:rFonts w:hint="eastAsia" w:ascii="宋体" w:hAnsi="宋体" w:eastAsia="宋体" w:cs="宋体"/>
          <w:color w:val="000000"/>
          <w:sz w:val="21"/>
          <w:szCs w:val="21"/>
          <w:highlight w:val="none"/>
        </w:rPr>
        <w:t>网络云</w:t>
      </w:r>
      <w:bookmarkEnd w:id="35"/>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ZDGZ-WL-WLY-001:</w:t>
      </w:r>
      <w:r>
        <w:rPr>
          <w:rFonts w:hint="eastAsia" w:ascii="宋体" w:hAnsi="宋体" w:eastAsia="宋体" w:cs="宋体"/>
          <w:color w:val="000000"/>
          <w:sz w:val="21"/>
          <w:szCs w:val="21"/>
          <w:highlight w:val="none"/>
        </w:rPr>
        <w:t xml:space="preserve"> 由于各种原因导致网络云单个物理资源池阻断。（物理资源池：网关配对路由器开始，其自身及向下的计算/存储/管理EOR、TOR，服务器等共同组成的硬件资源池及其承载的上层软件）（来源：集中故障管理系统）</w:t>
      </w:r>
    </w:p>
    <w:p>
      <w:pPr>
        <w:pStyle w:val="26"/>
        <w:snapToGrid w:val="0"/>
        <w:spacing w:line="240" w:lineRule="auto"/>
        <w:ind w:firstLine="422" w:firstLineChars="200"/>
        <w:jc w:val="left"/>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 xml:space="preserve">ZDGZ-WL-WLY-002: </w:t>
      </w:r>
      <w:r>
        <w:rPr>
          <w:rFonts w:hint="eastAsia" w:ascii="宋体" w:hAnsi="宋体" w:eastAsia="宋体" w:cs="宋体"/>
          <w:color w:val="000000"/>
          <w:sz w:val="21"/>
          <w:szCs w:val="21"/>
          <w:highlight w:val="none"/>
        </w:rPr>
        <w:t>由于各种原因导致网络云资源池内50%以上计算节点（含物理服务器和虚拟服务器）服务中断，中断历时超过2小时。（来源：集中故障管理系统）</w:t>
      </w:r>
    </w:p>
    <w:p>
      <w:pPr>
        <w:pStyle w:val="6"/>
        <w:spacing w:before="0" w:after="0" w:line="240" w:lineRule="auto"/>
        <w:rPr>
          <w:rFonts w:hint="eastAsia" w:ascii="黑体" w:hAnsi="黑体" w:eastAsia="黑体" w:cs="黑体"/>
          <w:b/>
          <w:sz w:val="21"/>
          <w:szCs w:val="21"/>
          <w:highlight w:val="none"/>
          <w:lang w:val="en-US" w:eastAsia="zh-CN"/>
        </w:rPr>
      </w:pPr>
      <w:bookmarkStart w:id="36" w:name="_Toc44510386"/>
      <w:r>
        <w:rPr>
          <w:rFonts w:hint="eastAsia" w:ascii="黑体" w:hAnsi="黑体" w:eastAsia="黑体" w:cs="黑体"/>
          <w:b/>
          <w:sz w:val="21"/>
          <w:szCs w:val="21"/>
          <w:highlight w:val="none"/>
          <w:lang w:val="en-US" w:eastAsia="zh-CN"/>
        </w:rPr>
        <w:t>四、其他类型重大故障</w:t>
      </w:r>
      <w:bookmarkEnd w:id="36"/>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ZDGZ-QT-A-001：</w:t>
      </w:r>
      <w:r>
        <w:rPr>
          <w:rFonts w:hint="eastAsia" w:ascii="宋体" w:hAnsi="宋体" w:eastAsia="宋体" w:cs="宋体"/>
          <w:color w:val="000000"/>
          <w:sz w:val="21"/>
          <w:szCs w:val="21"/>
          <w:highlight w:val="none"/>
        </w:rPr>
        <w:t>中央办公厅、国务院办公厅、工信部、国资委等上级主管部门要求提交故障报告的重要网络故障；重要会议（国家领导人参会）期间引起党政军投诉的重要网络故障。（来源：舆情、投诉）</w:t>
      </w:r>
    </w:p>
    <w:p>
      <w:pPr>
        <w:pStyle w:val="26"/>
        <w:snapToGrid w:val="0"/>
        <w:spacing w:line="240" w:lineRule="auto"/>
        <w:ind w:firstLine="420"/>
        <w:rPr>
          <w:rFonts w:hint="eastAsia" w:ascii="宋体" w:hAnsi="宋体" w:eastAsia="宋体" w:cs="宋体"/>
          <w:color w:val="000000"/>
          <w:sz w:val="21"/>
          <w:szCs w:val="21"/>
          <w:highlight w:val="none"/>
        </w:rPr>
      </w:pPr>
      <w:r>
        <w:rPr>
          <w:rFonts w:hint="eastAsia" w:ascii="宋体" w:hAnsi="宋体" w:eastAsia="宋体" w:cs="宋体"/>
          <w:b/>
          <w:color w:val="000000"/>
          <w:sz w:val="21"/>
          <w:szCs w:val="21"/>
          <w:highlight w:val="none"/>
        </w:rPr>
        <w:t>ZDGZ-QT-A-002：</w:t>
      </w:r>
      <w:r>
        <w:rPr>
          <w:rFonts w:hint="eastAsia" w:ascii="宋体" w:hAnsi="宋体" w:eastAsia="宋体" w:cs="宋体"/>
          <w:color w:val="000000"/>
          <w:sz w:val="21"/>
          <w:szCs w:val="21"/>
          <w:highlight w:val="none"/>
        </w:rPr>
        <w:t>引发CCTV、腾讯新闻等主流媒体舆情的安全生产事故、网络安全事件、网络故障事件。（来源：舆情、投诉）</w:t>
      </w:r>
    </w:p>
    <w:p>
      <w:pPr>
        <w:pStyle w:val="26"/>
        <w:snapToGrid w:val="0"/>
        <w:spacing w:line="240" w:lineRule="auto"/>
        <w:ind w:firstLine="420"/>
        <w:rPr>
          <w:rFonts w:hint="eastAsia" w:ascii="宋体" w:hAnsi="宋体" w:eastAsia="宋体" w:cs="宋体"/>
          <w:b/>
          <w:color w:val="000000"/>
          <w:sz w:val="21"/>
          <w:szCs w:val="21"/>
          <w:highlight w:val="none"/>
        </w:rPr>
      </w:pPr>
      <w:r>
        <w:rPr>
          <w:rFonts w:hint="eastAsia" w:ascii="宋体" w:hAnsi="宋体" w:eastAsia="宋体" w:cs="宋体"/>
          <w:b/>
          <w:color w:val="000000"/>
          <w:sz w:val="21"/>
          <w:szCs w:val="21"/>
          <w:highlight w:val="none"/>
        </w:rPr>
        <w:t>ZDGZ-QT-A-003：</w:t>
      </w:r>
      <w:r>
        <w:rPr>
          <w:rFonts w:hint="eastAsia" w:ascii="宋体" w:hAnsi="宋体" w:eastAsia="宋体" w:cs="宋体"/>
          <w:color w:val="000000"/>
          <w:sz w:val="21"/>
          <w:szCs w:val="21"/>
          <w:highlight w:val="none"/>
        </w:rPr>
        <w:t>某事件引发累计收到客户投诉超500件的安全生产事故、网络安全事件、网络故障事件。（来源：投诉舆情预警系统）</w:t>
      </w:r>
    </w:p>
    <w:p>
      <w:pPr>
        <w:pStyle w:val="26"/>
        <w:snapToGrid w:val="0"/>
        <w:spacing w:line="240" w:lineRule="auto"/>
        <w:ind w:firstLine="420"/>
        <w:rPr>
          <w:rFonts w:hint="eastAsia" w:ascii="宋体" w:hAnsi="宋体" w:eastAsia="宋体" w:cs="宋体"/>
          <w:b w:val="0"/>
          <w:sz w:val="21"/>
          <w:szCs w:val="21"/>
          <w:highlight w:val="none"/>
          <w:lang w:val="en-US" w:eastAsia="zh-CN"/>
        </w:rPr>
      </w:pPr>
      <w:r>
        <w:rPr>
          <w:rFonts w:hint="eastAsia" w:ascii="宋体" w:hAnsi="宋体" w:eastAsia="宋体" w:cs="宋体"/>
          <w:b/>
          <w:color w:val="000000"/>
          <w:sz w:val="21"/>
          <w:szCs w:val="21"/>
          <w:highlight w:val="none"/>
        </w:rPr>
        <w:t>ZDGZ-QT-A-004：</w:t>
      </w:r>
      <w:r>
        <w:rPr>
          <w:rFonts w:hint="eastAsia" w:ascii="宋体" w:hAnsi="宋体" w:eastAsia="宋体" w:cs="宋体"/>
          <w:color w:val="000000"/>
          <w:sz w:val="21"/>
          <w:szCs w:val="21"/>
          <w:highlight w:val="none"/>
        </w:rPr>
        <w:t>网络安全故障，参照《公共互联网网络安全突发事件应急预案》（工信部网安〔2017〕281号文）相关定义。</w:t>
      </w:r>
    </w:p>
    <w:p>
      <w:pPr>
        <w:pStyle w:val="6"/>
        <w:spacing w:before="0" w:after="120" w:line="360" w:lineRule="auto"/>
        <w:jc w:val="center"/>
        <w:outlineLvl w:val="0"/>
        <w:rPr>
          <w:rFonts w:hint="eastAsia" w:ascii="黑体" w:hAnsi="黑体" w:eastAsia="黑体"/>
          <w:b w:val="0"/>
          <w:sz w:val="28"/>
          <w:szCs w:val="28"/>
          <w:highlight w:val="none"/>
        </w:rPr>
      </w:pPr>
      <w:r>
        <w:rPr>
          <w:rFonts w:hint="eastAsia" w:ascii="黑体" w:hAnsi="黑体" w:eastAsia="黑体"/>
          <w:b w:val="0"/>
          <w:sz w:val="28"/>
          <w:szCs w:val="28"/>
          <w:highlight w:val="none"/>
          <w:lang w:val="en-US" w:eastAsia="zh-CN"/>
        </w:rPr>
        <w:br w:type="page"/>
      </w:r>
      <w:bookmarkStart w:id="37" w:name="_Toc22134"/>
      <w:r>
        <w:rPr>
          <w:rFonts w:hint="eastAsia" w:ascii="黑体" w:hAnsi="黑体" w:eastAsia="黑体"/>
          <w:b w:val="0"/>
          <w:sz w:val="28"/>
          <w:szCs w:val="28"/>
          <w:highlight w:val="none"/>
          <w:lang w:val="en-US" w:eastAsia="zh-CN"/>
        </w:rPr>
        <w:t>1.7</w:t>
      </w:r>
      <w:r>
        <w:rPr>
          <w:rFonts w:hint="eastAsia" w:ascii="黑体" w:hAnsi="黑体" w:eastAsia="黑体"/>
          <w:b w:val="0"/>
          <w:sz w:val="28"/>
          <w:szCs w:val="28"/>
          <w:highlight w:val="none"/>
        </w:rPr>
        <w:t>中国移动供应商</w:t>
      </w:r>
      <w:r>
        <w:rPr>
          <w:rFonts w:hint="eastAsia" w:ascii="黑体" w:hAnsi="黑体" w:eastAsia="黑体"/>
          <w:b w:val="0"/>
          <w:sz w:val="28"/>
          <w:szCs w:val="28"/>
          <w:highlight w:val="none"/>
          <w:lang w:val="en-US" w:eastAsia="zh-CN"/>
        </w:rPr>
        <w:t>通用</w:t>
      </w:r>
      <w:r>
        <w:rPr>
          <w:rFonts w:hint="eastAsia" w:ascii="黑体" w:hAnsi="黑体" w:eastAsia="黑体"/>
          <w:b w:val="0"/>
          <w:sz w:val="28"/>
          <w:szCs w:val="28"/>
          <w:highlight w:val="none"/>
        </w:rPr>
        <w:t>承诺书</w:t>
      </w:r>
      <w:bookmarkEnd w:id="37"/>
    </w:p>
    <w:p>
      <w:pPr>
        <w:widowControl/>
        <w:numPr>
          <w:ilvl w:val="1"/>
          <w:numId w:val="5"/>
        </w:numPr>
        <w:tabs>
          <w:tab w:val="left" w:pos="360"/>
        </w:tabs>
        <w:spacing w:line="240" w:lineRule="auto"/>
        <w:ind w:left="36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应答人承诺：本次应答的产品型号在收到</w:t>
      </w:r>
      <w:r>
        <w:rPr>
          <w:rFonts w:hint="eastAsia" w:ascii="宋体" w:hAnsi="宋体" w:eastAsia="宋体" w:cs="宋体"/>
          <w:kern w:val="0"/>
          <w:sz w:val="21"/>
          <w:szCs w:val="21"/>
          <w:highlight w:val="none"/>
          <w:lang w:val="en-US" w:eastAsia="zh-CN"/>
        </w:rPr>
        <w:t>成交/</w:t>
      </w:r>
      <w:r>
        <w:rPr>
          <w:rFonts w:hint="eastAsia" w:ascii="宋体" w:hAnsi="宋体" w:eastAsia="宋体" w:cs="宋体"/>
          <w:kern w:val="0"/>
          <w:sz w:val="21"/>
          <w:szCs w:val="21"/>
          <w:highlight w:val="none"/>
        </w:rPr>
        <w:t>中选通知书之日起1年之内不停产。如遇特殊原因停产时，须提前向中国移动提出停产申请，并承诺在保持原有价格水平的前提下，以中国移动认可的性能更优产品型号替代。</w:t>
      </w:r>
    </w:p>
    <w:p>
      <w:pPr>
        <w:widowControl/>
        <w:numPr>
          <w:ilvl w:val="1"/>
          <w:numId w:val="5"/>
        </w:numPr>
        <w:tabs>
          <w:tab w:val="left" w:pos="360"/>
        </w:tabs>
        <w:spacing w:line="240" w:lineRule="auto"/>
        <w:ind w:left="360"/>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应答人承诺：在框架协议有效期内，如一旦发现卖方（应答人）诚信问题（如板卡更换、软件盗版等情况）或存在知识产权侵权等问题，中国移动有权终止协议，卖方无条件按协议约定的产品进行换货，所有责任（如知识产权侵权、盗版等）由卖方承担。中国移动有权按照实际货物价格的2倍对卖方进行罚款，同时将卖方纳入中国移动负面行为管理。</w:t>
      </w:r>
    </w:p>
    <w:p>
      <w:pPr>
        <w:widowControl/>
        <w:numPr>
          <w:ilvl w:val="1"/>
          <w:numId w:val="5"/>
        </w:numPr>
        <w:tabs>
          <w:tab w:val="left" w:pos="360"/>
        </w:tabs>
        <w:spacing w:line="240" w:lineRule="auto"/>
        <w:ind w:left="360"/>
        <w:rPr>
          <w:rFonts w:hint="eastAsia" w:ascii="宋体" w:hAnsi="宋体" w:eastAsia="宋体" w:cs="宋体"/>
          <w:sz w:val="21"/>
          <w:szCs w:val="21"/>
          <w:highlight w:val="none"/>
        </w:rPr>
      </w:pPr>
      <w:r>
        <w:rPr>
          <w:rFonts w:hint="eastAsia" w:ascii="宋体" w:hAnsi="宋体" w:eastAsia="宋体" w:cs="宋体"/>
          <w:kern w:val="0"/>
          <w:sz w:val="21"/>
          <w:szCs w:val="21"/>
          <w:highlight w:val="none"/>
        </w:rPr>
        <w:t>应答人承诺：</w:t>
      </w:r>
      <w:r>
        <w:rPr>
          <w:rFonts w:hint="eastAsia" w:ascii="宋体" w:hAnsi="宋体" w:eastAsia="宋体" w:cs="宋体"/>
          <w:sz w:val="21"/>
          <w:szCs w:val="21"/>
          <w:highlight w:val="none"/>
        </w:rPr>
        <w:t>在系统安装调测过程中，如遇到厂商间系统互操作性问题，凡涉及厂商均应按采购人时间要求、组织要求，派资深工程师到现场配合完成调试工作，并协调好公司研发等资源，在中国移动规定的时间内解决问题。</w:t>
      </w:r>
    </w:p>
    <w:p>
      <w:pPr>
        <w:widowControl/>
        <w:numPr>
          <w:ilvl w:val="1"/>
          <w:numId w:val="5"/>
        </w:numPr>
        <w:tabs>
          <w:tab w:val="left" w:pos="360"/>
        </w:tabs>
        <w:spacing w:line="240" w:lineRule="auto"/>
        <w:ind w:left="360"/>
        <w:rPr>
          <w:rFonts w:hint="eastAsia" w:ascii="宋体" w:hAnsi="宋体" w:eastAsia="宋体" w:cs="宋体"/>
          <w:sz w:val="21"/>
          <w:szCs w:val="21"/>
          <w:highlight w:val="none"/>
        </w:rPr>
      </w:pPr>
      <w:r>
        <w:rPr>
          <w:rFonts w:hint="eastAsia" w:ascii="宋体" w:hAnsi="宋体" w:eastAsia="宋体" w:cs="宋体"/>
          <w:kern w:val="0"/>
          <w:sz w:val="21"/>
          <w:szCs w:val="21"/>
          <w:highlight w:val="none"/>
        </w:rPr>
        <w:t>为保证产品质量，建立和完善产品质量管理机制，构建一流的供应链管理体系，应答人对如下事项做</w:t>
      </w:r>
      <w:r>
        <w:rPr>
          <w:rFonts w:hint="eastAsia" w:ascii="宋体" w:hAnsi="宋体" w:eastAsia="宋体" w:cs="宋体"/>
          <w:sz w:val="21"/>
          <w:szCs w:val="21"/>
          <w:highlight w:val="none"/>
        </w:rPr>
        <w:t>郑重承诺：</w:t>
      </w:r>
    </w:p>
    <w:p>
      <w:pPr>
        <w:keepNext w:val="0"/>
        <w:keepLines w:val="0"/>
        <w:pageBreakBefore w:val="0"/>
        <w:widowControl w:val="0"/>
        <w:shd w:val="clear" w:color="auto" w:fill="FFFFFF"/>
        <w:kinsoku/>
        <w:wordWrap/>
        <w:overflowPunct/>
        <w:topLinePunct w:val="0"/>
        <w:autoSpaceDE/>
        <w:autoSpaceDN/>
        <w:bidi w:val="0"/>
        <w:adjustRightInd/>
        <w:snapToGrid w:val="0"/>
        <w:spacing w:before="150" w:after="150" w:line="240" w:lineRule="atLeast"/>
        <w:ind w:left="415" w:leftChars="171" w:right="420" w:hanging="56" w:hangingChars="27"/>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1）持续稳定提供符合质量要求的产品的承诺：</w:t>
      </w:r>
    </w:p>
    <w:p>
      <w:pPr>
        <w:keepNext w:val="0"/>
        <w:keepLines w:val="0"/>
        <w:pageBreakBefore w:val="0"/>
        <w:widowControl w:val="0"/>
        <w:shd w:val="clear" w:color="auto" w:fill="FFFFFF"/>
        <w:kinsoku/>
        <w:wordWrap/>
        <w:overflowPunct/>
        <w:topLinePunct w:val="0"/>
        <w:autoSpaceDE/>
        <w:autoSpaceDN/>
        <w:bidi w:val="0"/>
        <w:adjustRightInd/>
        <w:snapToGrid w:val="0"/>
        <w:spacing w:before="150" w:after="150" w:line="240" w:lineRule="atLeast"/>
        <w:ind w:left="415" w:leftChars="171" w:right="420" w:hanging="56" w:hangingChars="27"/>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提供产品的质量符合采购规范约定的质量标准。</w:t>
      </w:r>
    </w:p>
    <w:p>
      <w:pPr>
        <w:keepNext w:val="0"/>
        <w:keepLines w:val="0"/>
        <w:pageBreakBefore w:val="0"/>
        <w:widowControl w:val="0"/>
        <w:shd w:val="clear" w:color="auto" w:fill="FFFFFF"/>
        <w:kinsoku/>
        <w:wordWrap/>
        <w:overflowPunct/>
        <w:topLinePunct w:val="0"/>
        <w:autoSpaceDE/>
        <w:autoSpaceDN/>
        <w:bidi w:val="0"/>
        <w:adjustRightInd/>
        <w:snapToGrid w:val="0"/>
        <w:spacing w:before="150" w:after="150" w:line="240" w:lineRule="atLeast"/>
        <w:ind w:left="415" w:leftChars="171" w:right="420" w:hanging="56" w:hangingChars="27"/>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保持产品的关键材料和生产工艺的一致性。</w:t>
      </w:r>
    </w:p>
    <w:p>
      <w:pPr>
        <w:keepNext w:val="0"/>
        <w:keepLines w:val="0"/>
        <w:pageBreakBefore w:val="0"/>
        <w:widowControl w:val="0"/>
        <w:shd w:val="clear" w:color="auto" w:fill="FFFFFF"/>
        <w:kinsoku/>
        <w:wordWrap/>
        <w:overflowPunct/>
        <w:topLinePunct w:val="0"/>
        <w:autoSpaceDE/>
        <w:autoSpaceDN/>
        <w:bidi w:val="0"/>
        <w:adjustRightInd/>
        <w:snapToGrid w:val="0"/>
        <w:spacing w:before="150" w:after="150" w:line="240" w:lineRule="atLeast"/>
        <w:ind w:left="415" w:leftChars="171" w:right="420" w:hanging="56" w:hangingChars="27"/>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履行产品的更改通知。</w:t>
      </w:r>
    </w:p>
    <w:p>
      <w:pPr>
        <w:keepNext w:val="0"/>
        <w:keepLines w:val="0"/>
        <w:pageBreakBefore w:val="0"/>
        <w:widowControl w:val="0"/>
        <w:shd w:val="clear" w:color="auto" w:fill="FFFFFF"/>
        <w:kinsoku/>
        <w:wordWrap/>
        <w:overflowPunct/>
        <w:topLinePunct w:val="0"/>
        <w:autoSpaceDE/>
        <w:autoSpaceDN/>
        <w:bidi w:val="0"/>
        <w:adjustRightInd/>
        <w:snapToGrid w:val="0"/>
        <w:spacing w:before="150" w:after="150" w:line="240" w:lineRule="atLeast"/>
        <w:ind w:left="415" w:leftChars="171" w:right="420" w:hanging="56" w:hangingChars="27"/>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2）完善的售后服务的承诺：</w:t>
      </w:r>
    </w:p>
    <w:p>
      <w:pPr>
        <w:keepNext w:val="0"/>
        <w:keepLines w:val="0"/>
        <w:pageBreakBefore w:val="0"/>
        <w:widowControl w:val="0"/>
        <w:shd w:val="clear" w:color="auto" w:fill="FFFFFF"/>
        <w:kinsoku/>
        <w:wordWrap/>
        <w:overflowPunct/>
        <w:topLinePunct w:val="0"/>
        <w:autoSpaceDE/>
        <w:autoSpaceDN/>
        <w:bidi w:val="0"/>
        <w:adjustRightInd/>
        <w:snapToGrid w:val="0"/>
        <w:spacing w:before="150" w:after="150" w:line="240" w:lineRule="atLeast"/>
        <w:ind w:left="415" w:leftChars="171" w:right="420" w:hanging="56" w:hangingChars="27"/>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当发生采购中或在网运行中产品质量问题时，能够主动、及时进行处置，并能对存在同类问题产品进行通报或召回措施。</w:t>
      </w:r>
    </w:p>
    <w:p>
      <w:pPr>
        <w:widowControl/>
        <w:numPr>
          <w:ilvl w:val="1"/>
          <w:numId w:val="5"/>
        </w:numPr>
        <w:tabs>
          <w:tab w:val="left" w:pos="360"/>
        </w:tabs>
        <w:spacing w:line="240" w:lineRule="auto"/>
        <w:ind w:left="360"/>
        <w:rPr>
          <w:rFonts w:hint="eastAsia" w:ascii="宋体" w:hAnsi="宋体" w:eastAsia="宋体" w:cs="宋体"/>
          <w:sz w:val="21"/>
          <w:szCs w:val="21"/>
          <w:highlight w:val="none"/>
        </w:rPr>
      </w:pPr>
      <w:r>
        <w:rPr>
          <w:rFonts w:hint="eastAsia" w:ascii="宋体" w:hAnsi="宋体" w:eastAsia="宋体" w:cs="宋体"/>
          <w:sz w:val="21"/>
          <w:szCs w:val="21"/>
          <w:highlight w:val="none"/>
        </w:rPr>
        <w:t>1）应答人承诺，在包括但不限于产品生产、制造、销售、维护、维修的过程中，遵守国家相关法律等规范性文件的规定，遵守采购人和/或采购人关联公司在采购文件中明确了的要求，保证不利用上述设备和/或产品进行包括但不限于收集、窃取、传输、发送信息数据等危害国家安全、泄露国家秘密、侵犯采购人和/或采购人关联公司以及本项目相关第三人合法权益等违法犯罪活动。应答人承诺，不会在知情情况下，向危害国家安全、泄露国家秘密、侵犯采购人和/或采购人关联公司以及本项目相关第三人合法权益等的行为提供便利。应答人承诺，不会利用采购人和/或采购人关联公司对产品的依赖性谋取不正当的利益。</w:t>
      </w:r>
    </w:p>
    <w:p>
      <w:pPr>
        <w:widowControl/>
        <w:spacing w:line="240" w:lineRule="auto"/>
        <w:ind w:left="360"/>
        <w:rPr>
          <w:rFonts w:hint="eastAsia" w:ascii="宋体" w:hAnsi="宋体" w:eastAsia="宋体" w:cs="宋体"/>
          <w:sz w:val="21"/>
          <w:szCs w:val="21"/>
          <w:highlight w:val="none"/>
        </w:rPr>
      </w:pPr>
      <w:r>
        <w:rPr>
          <w:rFonts w:hint="eastAsia" w:ascii="宋体" w:hAnsi="宋体" w:eastAsia="宋体" w:cs="宋体"/>
          <w:kern w:val="0"/>
          <w:sz w:val="21"/>
          <w:szCs w:val="21"/>
          <w:highlight w:val="none"/>
        </w:rPr>
        <w:t>2)</w:t>
      </w:r>
      <w:r>
        <w:rPr>
          <w:rFonts w:hint="eastAsia" w:ascii="宋体" w:hAnsi="宋体" w:eastAsia="宋体" w:cs="宋体"/>
          <w:sz w:val="21"/>
          <w:szCs w:val="21"/>
          <w:highlight w:val="none"/>
        </w:rPr>
        <w:t xml:space="preserve"> 对于应答人计划向采购人和/或采购人关联公司出售的设备和/或产品，应答人首先应当在提交应答文件时就上述设备和/或产品中是否存在用于包括但不限于跟踪监听监看、远程控制目的的后门程序做出清晰、准确和明确的声明；如果声明存在上述后门程序，应答人应当在提交应答文件时根据采购人和/或采购人关联公司的要求向采购人和/或采购人关联公司提供有关上述后门程序的详细信息，包括但不限于详细的列表、描述及相关参数。</w:t>
      </w:r>
    </w:p>
    <w:p>
      <w:pPr>
        <w:widowControl/>
        <w:spacing w:line="240" w:lineRule="auto"/>
        <w:ind w:left="360"/>
        <w:rPr>
          <w:rFonts w:hint="eastAsia" w:ascii="宋体" w:hAnsi="宋体" w:eastAsia="宋体" w:cs="宋体"/>
          <w:sz w:val="21"/>
          <w:szCs w:val="21"/>
          <w:highlight w:val="none"/>
        </w:rPr>
      </w:pPr>
      <w:r>
        <w:rPr>
          <w:rFonts w:hint="eastAsia" w:ascii="宋体" w:hAnsi="宋体" w:eastAsia="宋体" w:cs="宋体"/>
          <w:kern w:val="0"/>
          <w:sz w:val="21"/>
          <w:szCs w:val="21"/>
          <w:highlight w:val="none"/>
        </w:rPr>
        <w:t>3)</w:t>
      </w:r>
      <w:r>
        <w:rPr>
          <w:rFonts w:hint="eastAsia" w:ascii="宋体" w:hAnsi="宋体" w:eastAsia="宋体" w:cs="宋体"/>
          <w:szCs w:val="21"/>
          <w:highlight w:val="none"/>
        </w:rPr>
        <w:t xml:space="preserve"> </w:t>
      </w:r>
      <w:r>
        <w:rPr>
          <w:rFonts w:hint="eastAsia" w:ascii="宋体" w:hAnsi="宋体" w:eastAsia="宋体" w:cs="宋体"/>
          <w:kern w:val="0"/>
          <w:sz w:val="21"/>
          <w:szCs w:val="21"/>
          <w:highlight w:val="none"/>
        </w:rPr>
        <w:t>如果应答人违反以上两点，或</w:t>
      </w:r>
      <w:r>
        <w:rPr>
          <w:rFonts w:hint="eastAsia" w:ascii="宋体" w:hAnsi="宋体" w:eastAsia="宋体" w:cs="宋体"/>
          <w:sz w:val="21"/>
          <w:szCs w:val="21"/>
          <w:highlight w:val="none"/>
        </w:rPr>
        <w:t>如果应答人虽然声明不存在上述后门程序，但是采购人和/或采购人关联公司在包括但不限于入网测试、后评估阶段发现该设备和/或产品存在后门程序，或国家相关部门发布认定该设备和/或产品存在后门程序，采购人和/或采购人关联公司有权视情况同时行使以下一项或几项权利：</w:t>
      </w:r>
    </w:p>
    <w:p>
      <w:pPr>
        <w:keepNext w:val="0"/>
        <w:keepLines w:val="0"/>
        <w:pageBreakBefore w:val="0"/>
        <w:widowControl w:val="0"/>
        <w:shd w:val="clear" w:color="auto" w:fill="FFFFFF"/>
        <w:kinsoku/>
        <w:wordWrap/>
        <w:overflowPunct/>
        <w:topLinePunct w:val="0"/>
        <w:autoSpaceDE/>
        <w:autoSpaceDN/>
        <w:bidi w:val="0"/>
        <w:adjustRightInd/>
        <w:snapToGrid/>
        <w:spacing w:before="150" w:after="150" w:line="240" w:lineRule="auto"/>
        <w:ind w:left="420" w:leftChars="0" w:right="0"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fldChar w:fldCharType="begin"/>
      </w:r>
      <w:r>
        <w:rPr>
          <w:rFonts w:hint="eastAsia" w:ascii="宋体" w:hAnsi="宋体" w:eastAsia="宋体" w:cs="宋体"/>
          <w:sz w:val="21"/>
          <w:szCs w:val="21"/>
          <w:highlight w:val="none"/>
        </w:rPr>
        <w:instrText xml:space="preserve"> = 1 \* GB3 </w:instrText>
      </w:r>
      <w:r>
        <w:rPr>
          <w:rFonts w:hint="eastAsia" w:ascii="宋体" w:hAnsi="宋体" w:eastAsia="宋体" w:cs="宋体"/>
          <w:sz w:val="21"/>
          <w:szCs w:val="21"/>
          <w:highlight w:val="none"/>
        </w:rPr>
        <w:fldChar w:fldCharType="separate"/>
      </w:r>
      <w:r>
        <w:rPr>
          <w:rFonts w:hint="eastAsia" w:ascii="宋体" w:hAnsi="宋体" w:eastAsia="宋体" w:cs="宋体"/>
          <w:sz w:val="21"/>
          <w:szCs w:val="21"/>
          <w:highlight w:val="none"/>
        </w:rPr>
        <w:t>①</w:t>
      </w:r>
      <w:r>
        <w:rPr>
          <w:rFonts w:hint="eastAsia" w:ascii="宋体" w:hAnsi="宋体" w:eastAsia="宋体" w:cs="宋体"/>
          <w:sz w:val="21"/>
          <w:szCs w:val="21"/>
          <w:highlight w:val="none"/>
        </w:rPr>
        <w:fldChar w:fldCharType="end"/>
      </w:r>
      <w:r>
        <w:rPr>
          <w:rFonts w:hint="eastAsia" w:ascii="宋体" w:hAnsi="宋体" w:eastAsia="宋体" w:cs="宋体"/>
          <w:sz w:val="21"/>
          <w:szCs w:val="21"/>
          <w:highlight w:val="none"/>
        </w:rPr>
        <w:t>采购人和/或采购人关联公司有权单方解除与应答人订立的相关协议并且不需承担向应答人支付违约金、罚金或赔偿应答人损失的义务；</w:t>
      </w:r>
    </w:p>
    <w:p>
      <w:pPr>
        <w:keepNext w:val="0"/>
        <w:keepLines w:val="0"/>
        <w:pageBreakBefore w:val="0"/>
        <w:widowControl w:val="0"/>
        <w:shd w:val="clear" w:color="auto" w:fill="FFFFFF"/>
        <w:kinsoku/>
        <w:wordWrap/>
        <w:overflowPunct/>
        <w:topLinePunct w:val="0"/>
        <w:autoSpaceDE/>
        <w:autoSpaceDN/>
        <w:bidi w:val="0"/>
        <w:adjustRightInd/>
        <w:snapToGrid/>
        <w:spacing w:before="150" w:after="150" w:line="240" w:lineRule="auto"/>
        <w:ind w:left="420" w:leftChars="0" w:right="0"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fldChar w:fldCharType="begin"/>
      </w:r>
      <w:r>
        <w:rPr>
          <w:rFonts w:hint="eastAsia" w:ascii="宋体" w:hAnsi="宋体" w:eastAsia="宋体" w:cs="宋体"/>
          <w:sz w:val="21"/>
          <w:szCs w:val="21"/>
          <w:highlight w:val="none"/>
        </w:rPr>
        <w:instrText xml:space="preserve"> = 2 \* GB3 </w:instrText>
      </w:r>
      <w:r>
        <w:rPr>
          <w:rFonts w:hint="eastAsia" w:ascii="宋体" w:hAnsi="宋体" w:eastAsia="宋体" w:cs="宋体"/>
          <w:sz w:val="21"/>
          <w:szCs w:val="21"/>
          <w:highlight w:val="none"/>
        </w:rPr>
        <w:fldChar w:fldCharType="separate"/>
      </w:r>
      <w:r>
        <w:rPr>
          <w:rFonts w:hint="eastAsia" w:ascii="宋体" w:hAnsi="宋体" w:eastAsia="宋体" w:cs="宋体"/>
          <w:sz w:val="21"/>
          <w:szCs w:val="21"/>
          <w:highlight w:val="none"/>
        </w:rPr>
        <w:t>②</w:t>
      </w:r>
      <w:r>
        <w:rPr>
          <w:rFonts w:hint="eastAsia" w:ascii="宋体" w:hAnsi="宋体" w:eastAsia="宋体" w:cs="宋体"/>
          <w:sz w:val="21"/>
          <w:szCs w:val="21"/>
          <w:highlight w:val="none"/>
        </w:rPr>
        <w:fldChar w:fldCharType="end"/>
      </w:r>
      <w:r>
        <w:rPr>
          <w:rFonts w:hint="eastAsia" w:ascii="宋体" w:hAnsi="宋体" w:eastAsia="宋体" w:cs="宋体"/>
          <w:sz w:val="21"/>
          <w:szCs w:val="21"/>
          <w:highlight w:val="none"/>
        </w:rPr>
        <w:t>采购人和/或采购人关联公司有权对购自应答人的全部或部分设备和/或产品采取包括但不限于调查、评估措施，由此产生的相关费用全部由买方承担；</w:t>
      </w:r>
    </w:p>
    <w:p>
      <w:pPr>
        <w:keepNext w:val="0"/>
        <w:keepLines w:val="0"/>
        <w:pageBreakBefore w:val="0"/>
        <w:widowControl w:val="0"/>
        <w:shd w:val="clear" w:color="auto" w:fill="FFFFFF"/>
        <w:kinsoku/>
        <w:wordWrap/>
        <w:overflowPunct/>
        <w:topLinePunct w:val="0"/>
        <w:autoSpaceDE/>
        <w:autoSpaceDN/>
        <w:bidi w:val="0"/>
        <w:adjustRightInd/>
        <w:snapToGrid/>
        <w:spacing w:before="150" w:after="150" w:line="240" w:lineRule="auto"/>
        <w:ind w:left="420" w:leftChars="0" w:right="0"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fldChar w:fldCharType="begin"/>
      </w:r>
      <w:r>
        <w:rPr>
          <w:rFonts w:hint="eastAsia" w:ascii="宋体" w:hAnsi="宋体" w:eastAsia="宋体" w:cs="宋体"/>
          <w:sz w:val="21"/>
          <w:szCs w:val="21"/>
          <w:highlight w:val="none"/>
        </w:rPr>
        <w:instrText xml:space="preserve"> = 3 \* GB3 </w:instrText>
      </w:r>
      <w:r>
        <w:rPr>
          <w:rFonts w:hint="eastAsia" w:ascii="宋体" w:hAnsi="宋体" w:eastAsia="宋体" w:cs="宋体"/>
          <w:sz w:val="21"/>
          <w:szCs w:val="21"/>
          <w:highlight w:val="none"/>
        </w:rPr>
        <w:fldChar w:fldCharType="separate"/>
      </w:r>
      <w:r>
        <w:rPr>
          <w:rFonts w:hint="eastAsia" w:ascii="宋体" w:hAnsi="宋体" w:eastAsia="宋体" w:cs="宋体"/>
          <w:sz w:val="21"/>
          <w:szCs w:val="21"/>
          <w:highlight w:val="none"/>
        </w:rPr>
        <w:t>③</w:t>
      </w:r>
      <w:r>
        <w:rPr>
          <w:rFonts w:hint="eastAsia" w:ascii="宋体" w:hAnsi="宋体" w:eastAsia="宋体" w:cs="宋体"/>
          <w:sz w:val="21"/>
          <w:szCs w:val="21"/>
          <w:highlight w:val="none"/>
        </w:rPr>
        <w:fldChar w:fldCharType="end"/>
      </w:r>
      <w:r>
        <w:rPr>
          <w:rFonts w:hint="eastAsia" w:ascii="宋体" w:hAnsi="宋体" w:eastAsia="宋体" w:cs="宋体"/>
          <w:sz w:val="21"/>
          <w:szCs w:val="21"/>
          <w:highlight w:val="none"/>
        </w:rPr>
        <w:t>采购人和/或采购人关联公司有权对购自应答人的设备和/或产品进行部分或全部替换（无论该设备和/或产品是否被声明、发现和/或认定存在后门程序），应答人应当承担买方因此遭受的损失和支付的费用，包括但不限于由于设备和/或产品替换所产生的拆除、搬迁、安装等全部服务费用，采购人和/或采购人关联公司为重新购买符合要求的设备和/或产品所支付的全部费用；</w:t>
      </w:r>
    </w:p>
    <w:p>
      <w:pPr>
        <w:keepNext w:val="0"/>
        <w:keepLines w:val="0"/>
        <w:pageBreakBefore w:val="0"/>
        <w:widowControl w:val="0"/>
        <w:shd w:val="clear" w:color="auto" w:fill="FFFFFF"/>
        <w:kinsoku/>
        <w:wordWrap/>
        <w:overflowPunct/>
        <w:topLinePunct w:val="0"/>
        <w:autoSpaceDE/>
        <w:autoSpaceDN/>
        <w:bidi w:val="0"/>
        <w:adjustRightInd/>
        <w:snapToGrid/>
        <w:spacing w:before="150" w:after="150" w:line="240" w:lineRule="auto"/>
        <w:ind w:left="420" w:leftChars="0" w:right="0"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fldChar w:fldCharType="begin"/>
      </w:r>
      <w:r>
        <w:rPr>
          <w:rFonts w:hint="eastAsia" w:ascii="宋体" w:hAnsi="宋体" w:eastAsia="宋体" w:cs="宋体"/>
          <w:sz w:val="21"/>
          <w:szCs w:val="21"/>
          <w:highlight w:val="none"/>
        </w:rPr>
        <w:instrText xml:space="preserve"> = 4 \* GB3 </w:instrText>
      </w:r>
      <w:r>
        <w:rPr>
          <w:rFonts w:hint="eastAsia" w:ascii="宋体" w:hAnsi="宋体" w:eastAsia="宋体" w:cs="宋体"/>
          <w:sz w:val="21"/>
          <w:szCs w:val="21"/>
          <w:highlight w:val="none"/>
        </w:rPr>
        <w:fldChar w:fldCharType="separate"/>
      </w:r>
      <w:r>
        <w:rPr>
          <w:rFonts w:hint="eastAsia" w:ascii="宋体" w:hAnsi="宋体" w:eastAsia="宋体" w:cs="宋体"/>
          <w:sz w:val="21"/>
          <w:szCs w:val="21"/>
          <w:highlight w:val="none"/>
        </w:rPr>
        <w:t>④</w:t>
      </w:r>
      <w:r>
        <w:rPr>
          <w:rFonts w:hint="eastAsia" w:ascii="宋体" w:hAnsi="宋体" w:eastAsia="宋体" w:cs="宋体"/>
          <w:sz w:val="21"/>
          <w:szCs w:val="21"/>
          <w:highlight w:val="none"/>
        </w:rPr>
        <w:fldChar w:fldCharType="end"/>
      </w:r>
      <w:r>
        <w:rPr>
          <w:rFonts w:hint="eastAsia" w:ascii="宋体" w:hAnsi="宋体" w:eastAsia="宋体" w:cs="宋体"/>
          <w:sz w:val="21"/>
          <w:szCs w:val="21"/>
          <w:highlight w:val="none"/>
        </w:rPr>
        <w:t>由于应答人的过错或过失，导致采购人和/或采购人关联公司发生包括但不限于设备和/或产品损毁、网络和/或通信故障、信息系统信息丢失或损毁等情形，应答人应当按照采购人和/或采购人关联公司的要求，对采购人和/或采购人关联公司由此遭受的损失和损害（包括但不限于直接损失、通信话费和利润的损失、商誉和公司形象的损害）承担相应的法律责任。</w:t>
      </w:r>
    </w:p>
    <w:p>
      <w:pPr>
        <w:shd w:val="clear" w:color="auto" w:fill="FFFFFF"/>
        <w:spacing w:before="150" w:after="150" w:line="240" w:lineRule="auto"/>
        <w:ind w:left="415" w:leftChars="171" w:right="420" w:hanging="56" w:hangingChars="27"/>
        <w:rPr>
          <w:rFonts w:hint="eastAsia" w:ascii="宋体" w:hAnsi="宋体" w:eastAsia="宋体" w:cs="宋体"/>
          <w:sz w:val="21"/>
          <w:szCs w:val="21"/>
          <w:highlight w:val="none"/>
        </w:rPr>
      </w:pPr>
      <w:r>
        <w:rPr>
          <w:rFonts w:hint="eastAsia" w:ascii="宋体" w:hAnsi="宋体" w:eastAsia="宋体" w:cs="宋体"/>
          <w:sz w:val="21"/>
          <w:szCs w:val="21"/>
          <w:highlight w:val="none"/>
        </w:rPr>
        <w:t>4)应答人承诺应答产品的生产制造相关供应链环节安全可控，产品关键的部件原则上可以从多个渠道获得，确保在供货期内供货稳定，不会因非不可抗力原因中断产品供应或中断相关服务。原则上应答人承诺如应答产品研发制造涉及中国以外国家专利的，应确保采购人可以正常使用应答产品，若出现专利纠纷由应答人负责解决。如有从国外获取的相关产品或技术进行二次开发的，应持有中文技术资料。若采购人或相关监管单位认为有核查应答产品的生产与供应情况的必要时，应答人应积极配合提供供应链及其他相关信息。</w:t>
      </w:r>
    </w:p>
    <w:p>
      <w:pPr>
        <w:widowControl/>
        <w:numPr>
          <w:ilvl w:val="1"/>
          <w:numId w:val="5"/>
        </w:numPr>
        <w:tabs>
          <w:tab w:val="left" w:pos="360"/>
        </w:tabs>
        <w:spacing w:line="240" w:lineRule="auto"/>
        <w:ind w:left="360"/>
        <w:rPr>
          <w:rFonts w:hint="eastAsia" w:ascii="宋体" w:hAnsi="宋体" w:eastAsia="宋体" w:cs="宋体"/>
          <w:sz w:val="21"/>
          <w:szCs w:val="21"/>
          <w:highlight w:val="none"/>
        </w:rPr>
      </w:pPr>
      <w:r>
        <w:rPr>
          <w:rFonts w:hint="eastAsia" w:ascii="宋体" w:hAnsi="宋体" w:eastAsia="宋体" w:cs="宋体"/>
          <w:sz w:val="21"/>
          <w:szCs w:val="21"/>
          <w:highlight w:val="none"/>
        </w:rPr>
        <w:t>本次应答价格将适用于本类产品的后续扩容。</w:t>
      </w:r>
    </w:p>
    <w:p>
      <w:pPr>
        <w:widowControl/>
        <w:numPr>
          <w:ilvl w:val="1"/>
          <w:numId w:val="5"/>
        </w:numPr>
        <w:tabs>
          <w:tab w:val="left" w:pos="360"/>
        </w:tabs>
        <w:spacing w:line="240" w:lineRule="auto"/>
        <w:ind w:left="360"/>
        <w:rPr>
          <w:rFonts w:hint="eastAsia" w:ascii="宋体" w:hAnsi="宋体" w:eastAsia="宋体" w:cs="宋体"/>
          <w:sz w:val="21"/>
          <w:szCs w:val="21"/>
          <w:highlight w:val="none"/>
        </w:rPr>
      </w:pPr>
      <w:r>
        <w:rPr>
          <w:rFonts w:hint="eastAsia" w:ascii="宋体" w:hAnsi="宋体" w:eastAsia="宋体" w:cs="宋体"/>
          <w:sz w:val="21"/>
          <w:szCs w:val="21"/>
          <w:highlight w:val="none"/>
        </w:rPr>
        <w:t>我方承诺落实《中华人民共和国行政许可法》《中华人民共和国网络安全法》《中华人民共和国电信条例》等法律法规要求，按照《电信设备进网管理办法》，对于需要办理进网许可证的设备：</w:t>
      </w:r>
    </w:p>
    <w:p>
      <w:pPr>
        <w:widowControl/>
        <w:numPr>
          <w:ilvl w:val="0"/>
          <w:numId w:val="6"/>
        </w:numPr>
        <w:tabs>
          <w:tab w:val="left" w:pos="360"/>
        </w:tabs>
        <w:spacing w:line="240" w:lineRule="auto"/>
        <w:ind w:left="420" w:leftChars="0" w:hanging="42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电信终端设备：我方承诺严格遵守《电信设备进网管理办法》要求，投标/应答产品设备均已获得进网许可证。</w:t>
      </w:r>
    </w:p>
    <w:p>
      <w:pPr>
        <w:widowControl/>
        <w:numPr>
          <w:ilvl w:val="0"/>
          <w:numId w:val="6"/>
        </w:numPr>
        <w:tabs>
          <w:tab w:val="left" w:pos="360"/>
        </w:tabs>
        <w:spacing w:line="240" w:lineRule="auto"/>
        <w:ind w:left="420" w:leftChars="0" w:hanging="420" w:firstLineChars="0"/>
        <w:rPr>
          <w:rFonts w:hint="eastAsia" w:ascii="宋体" w:hAnsi="宋体" w:eastAsia="宋体" w:cs="宋体"/>
          <w:sz w:val="21"/>
          <w:szCs w:val="21"/>
          <w:highlight w:val="none"/>
        </w:rPr>
      </w:pPr>
      <w:r>
        <w:rPr>
          <w:rFonts w:hint="eastAsia" w:ascii="宋体" w:hAnsi="宋体" w:eastAsia="宋体" w:cs="宋体"/>
          <w:sz w:val="21"/>
          <w:szCs w:val="21"/>
          <w:highlight w:val="none"/>
        </w:rPr>
        <w:t>非电信终端设备：我方承诺严格遵守《电信设备进网管理办法》要求，投标/应答产品设备在集成入网和加电(试)运行操作之前完成进网许可证的办理。</w:t>
      </w:r>
    </w:p>
    <w:p>
      <w:pPr>
        <w:jc w:val="left"/>
        <w:outlineLvl w:val="9"/>
        <w:rPr>
          <w:rFonts w:hint="eastAsia" w:ascii="黑体" w:hAnsi="黑体" w:eastAsia="黑体"/>
          <w:b w:val="0"/>
          <w:sz w:val="28"/>
          <w:szCs w:val="28"/>
          <w:highlight w:val="none"/>
          <w:lang w:val="en-US" w:eastAsia="zh-CN"/>
        </w:rPr>
      </w:pPr>
      <w:r>
        <w:rPr>
          <w:rFonts w:hint="eastAsia" w:ascii="黑体" w:hAnsi="黑体" w:eastAsia="黑体"/>
          <w:b w:val="0"/>
          <w:sz w:val="28"/>
          <w:szCs w:val="28"/>
          <w:highlight w:val="none"/>
          <w:lang w:val="en-US" w:eastAsia="zh-CN"/>
        </w:rPr>
        <w:br w:type="page"/>
      </w:r>
    </w:p>
    <w:p>
      <w:pPr>
        <w:jc w:val="left"/>
        <w:outlineLvl w:val="9"/>
        <w:rPr>
          <w:rFonts w:hint="eastAsia" w:ascii="黑体" w:hAnsi="黑体" w:eastAsia="黑体"/>
          <w:b w:val="0"/>
          <w:sz w:val="28"/>
          <w:szCs w:val="28"/>
          <w:highlight w:val="none"/>
          <w:lang w:val="en-US" w:eastAsia="zh-CN"/>
        </w:rPr>
      </w:pPr>
    </w:p>
    <w:p>
      <w:pPr>
        <w:pStyle w:val="6"/>
        <w:spacing w:before="0" w:after="120" w:line="360" w:lineRule="auto"/>
        <w:jc w:val="center"/>
        <w:outlineLvl w:val="0"/>
        <w:rPr>
          <w:rFonts w:hint="eastAsia" w:ascii="黑体" w:hAnsi="黑体" w:eastAsia="黑体"/>
          <w:b w:val="0"/>
          <w:sz w:val="28"/>
          <w:szCs w:val="28"/>
          <w:highlight w:val="none"/>
        </w:rPr>
      </w:pPr>
      <w:bookmarkStart w:id="38" w:name="_Toc7953"/>
      <w:r>
        <w:rPr>
          <w:rFonts w:hint="eastAsia" w:ascii="黑体" w:hAnsi="黑体" w:eastAsia="黑体"/>
          <w:b w:val="0"/>
          <w:sz w:val="28"/>
          <w:szCs w:val="28"/>
          <w:highlight w:val="none"/>
          <w:lang w:val="en-US" w:eastAsia="zh-CN"/>
        </w:rPr>
        <w:t>1.8</w:t>
      </w:r>
      <w:r>
        <w:rPr>
          <w:rFonts w:hint="eastAsia" w:ascii="黑体" w:hAnsi="黑体" w:eastAsia="黑体"/>
          <w:b w:val="0"/>
          <w:sz w:val="28"/>
          <w:szCs w:val="28"/>
          <w:highlight w:val="none"/>
        </w:rPr>
        <w:t>廉洁诚信协议</w:t>
      </w:r>
      <w:bookmarkEnd w:id="38"/>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为保障甲方与乙方在业务来往的合法权益，推进甲、乙双方及其工作人员的廉洁诚信建设，使甲、乙双方的业务往来充分体现廉洁、诚信的原则，预防商业贿赂和不正当竞争，甲、乙双方在自愿的基础上签署本协议。</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第一条  本协议作为主合同的附件，经甲、乙双方签署后生效。</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本协议所指利害关系人是指中国移动有关工作人员、有关工作人员亲属及其他共同利益关系人。</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第二条  甲、乙双方应共同遵守下列条款：</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（一）严格遵守国家法律法规，坚持廉洁、诚信的原则，恪守公认的商业道德和职业道德规范，不从事并抵制不廉洁、不诚信行为；</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（二）对各自工作人员开展廉政教育，增强相关人员廉洁自律的意识。</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第三条  甲方应遵守下列条款：</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（一）利害关系人不得接受或以借用等名义占用乙方或乙方工作人员的财物；</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 xml:space="preserve">（二）利害关系人不得接受乙方提供的礼品、宴请以及旅游、健身、娱乐等活动安排； </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（三）利害关系人不得接受乙方提供的礼金和各种有价证券、支付凭证；</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（四）利害关系人不得要求乙方支付应由本人负担的费用或报销票据；</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（五）利害关系人不得接受由乙方提供的其他任何可能影响本人公正执行公务的财物或服务；</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六）当乙方提供本条第（一）至（五）款所指的内容，或实施其他不廉洁、不诚信行为时，利害关系人应予以拒绝；对于无法拒绝的，应及时向甲方工作团队的上级主管部门或监督管理部门举报并上缴相关财物。</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第四条  乙方应遵守下列条款：</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（一）不得给予或以借用等名义向利害关系人提供财物；</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（二）不得向利害关系人提供礼品、宴请以及旅游、健身、娱乐等活动安排；</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（三）不得向利害关系人提供礼金和各种有价证券、支付凭证；</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（四）不得为利害关系人支付应由其本人承担的费用或报销票据；</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（五）不得向利害关系人提供其他任何可能影响其公正执行公务的财物或服务；</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六）利害关系人主动索取和要求本条（一）至（五）款所指的内容，或实施其他不廉洁、不诚信行为时，乙方应拒绝，并有义务向甲方工作团队的上级主管部门、监督管理部门举报或异议，也可向国家有关部门举报。甲方相关部门应保护乙方当事人的合法权益。</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第五条 违约责任</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甲、乙双方工作人员如违反本协议规定，由甲、乙双方依据有关规定严肃处理。如乙方违反本协议规定，甲方有权依据甲方相关采购文件及公司内部相关规定，对乙方进行严肃处理。</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乙方不廉洁、不诚信行为造成甲方经济损失或有损甲方企业社会形象和声誉的，由乙方予以赔偿。</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第六条　甲、乙双方的监督管理部门对本廉洁诚信协议的执行情况进行监督检查，接受有关异议和举报。</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 xml:space="preserve">甲、乙双方监督管理部门应当认真履行职责，在监督检查、处理异议和举报过程中发现存在本协议所禁止的行为时，可以向对方单位相关人员询问情况，必要时可以请求对方监督管理部门予以协助，对方应予积极配合。 </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t>第七条  本协议为采购合同附件，与采购合同一并签署。</w:t>
      </w:r>
    </w:p>
    <w:p>
      <w:pPr>
        <w:ind w:firstLine="420" w:firstLineChars="200"/>
        <w:rPr>
          <w:rFonts w:hint="eastAsia" w:ascii="宋体" w:hAnsi="宋体" w:eastAsia="宋体" w:cs="宋体"/>
          <w:b w:val="0"/>
          <w:sz w:val="21"/>
          <w:szCs w:val="21"/>
          <w:highlight w:val="none"/>
          <w:lang w:val="en-US" w:eastAsia="zh-CN"/>
        </w:rPr>
      </w:pPr>
      <w:r>
        <w:rPr>
          <w:rFonts w:hint="eastAsia" w:ascii="宋体" w:hAnsi="宋体" w:eastAsia="宋体" w:cs="宋体"/>
          <w:b w:val="0"/>
          <w:sz w:val="21"/>
          <w:szCs w:val="21"/>
          <w:highlight w:val="none"/>
          <w:lang w:val="en-US" w:eastAsia="zh-CN"/>
        </w:rPr>
        <w:br w:type="page"/>
      </w:r>
    </w:p>
    <w:p>
      <w:pPr>
        <w:pStyle w:val="6"/>
        <w:spacing w:before="0" w:after="120" w:line="360" w:lineRule="auto"/>
        <w:jc w:val="center"/>
        <w:outlineLvl w:val="0"/>
        <w:rPr>
          <w:rFonts w:hint="eastAsia" w:ascii="黑体" w:hAnsi="黑体" w:eastAsia="黑体"/>
          <w:b w:val="0"/>
          <w:sz w:val="28"/>
          <w:szCs w:val="28"/>
          <w:highlight w:val="none"/>
        </w:rPr>
      </w:pPr>
      <w:bookmarkStart w:id="39" w:name="_Toc14107"/>
      <w:r>
        <w:rPr>
          <w:rFonts w:hint="eastAsia" w:ascii="黑体" w:hAnsi="黑体" w:eastAsia="黑体"/>
          <w:b w:val="0"/>
          <w:sz w:val="28"/>
          <w:szCs w:val="28"/>
          <w:highlight w:val="none"/>
          <w:lang w:val="en-US" w:eastAsia="zh-CN"/>
        </w:rPr>
        <w:t>1</w:t>
      </w:r>
      <w:r>
        <w:rPr>
          <w:rFonts w:hint="eastAsia" w:ascii="黑体" w:hAnsi="黑体" w:eastAsia="黑体"/>
          <w:b w:val="0"/>
          <w:sz w:val="28"/>
          <w:szCs w:val="28"/>
          <w:highlight w:val="none"/>
        </w:rPr>
        <w:t>.</w:t>
      </w:r>
      <w:r>
        <w:rPr>
          <w:rFonts w:hint="eastAsia" w:ascii="黑体" w:hAnsi="黑体" w:eastAsia="黑体"/>
          <w:b w:val="0"/>
          <w:sz w:val="28"/>
          <w:szCs w:val="28"/>
          <w:highlight w:val="none"/>
          <w:lang w:val="en-US" w:eastAsia="zh-CN"/>
        </w:rPr>
        <w:t>9</w:t>
      </w:r>
      <w:r>
        <w:rPr>
          <w:rFonts w:hint="eastAsia" w:ascii="黑体" w:hAnsi="黑体" w:eastAsia="黑体"/>
          <w:b w:val="0"/>
          <w:sz w:val="28"/>
          <w:szCs w:val="28"/>
          <w:highlight w:val="none"/>
        </w:rPr>
        <w:t>安全生产协议</w:t>
      </w:r>
      <w:bookmarkEnd w:id="39"/>
    </w:p>
    <w:p>
      <w:pPr>
        <w:rPr>
          <w:rFonts w:hint="eastAsia"/>
          <w:highlight w:val="none"/>
        </w:rPr>
      </w:pP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为认真贯彻执行“安全第一、预防为主、综合治理”的方针，加强中国移动</w:t>
      </w:r>
      <w:r>
        <w:rPr>
          <w:rFonts w:hint="eastAsia" w:ascii="宋体" w:hAnsi="宋体" w:eastAsia="宋体" w:cs="宋体"/>
          <w:color w:val="000000"/>
          <w:sz w:val="21"/>
          <w:szCs w:val="21"/>
          <w:highlight w:val="none"/>
          <w:lang w:val="en-US" w:eastAsia="zh-CN"/>
        </w:rPr>
        <w:t>通信集团</w:t>
      </w:r>
      <w:r>
        <w:rPr>
          <w:rFonts w:hint="eastAsia" w:ascii="宋体" w:hAnsi="宋体" w:eastAsia="宋体" w:cs="宋体"/>
          <w:color w:val="000000"/>
          <w:sz w:val="21"/>
          <w:szCs w:val="21"/>
          <w:highlight w:val="none"/>
        </w:rPr>
        <w:t>安徽</w:t>
      </w:r>
      <w:r>
        <w:rPr>
          <w:rFonts w:hint="eastAsia" w:ascii="宋体" w:hAnsi="宋体" w:eastAsia="宋体" w:cs="宋体"/>
          <w:color w:val="000000"/>
          <w:sz w:val="21"/>
          <w:szCs w:val="21"/>
          <w:highlight w:val="none"/>
          <w:lang w:val="en-US" w:eastAsia="zh-CN"/>
        </w:rPr>
        <w:t>有限</w:t>
      </w:r>
      <w:r>
        <w:rPr>
          <w:rFonts w:hint="eastAsia" w:ascii="宋体" w:hAnsi="宋体" w:eastAsia="宋体" w:cs="宋体"/>
          <w:color w:val="000000"/>
          <w:sz w:val="21"/>
          <w:szCs w:val="21"/>
          <w:highlight w:val="none"/>
        </w:rPr>
        <w:t>公司（以下简称：安徽移动）生产办公场所的安全生产管理和内部安全保卫工作，防止和减少安全生产事故，维护安徽移动正常的工作秩序，根据安徽移动安全管理的具体要求，经双方协商签订本安全生产协议。</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一、乙方必须遵守《机关、团体、企业、事业单位消防安全管理规定》（公安部令第61号公布）及《安徽省消防条例》关于消防安全各项规定，在租赁、使用、管理的房屋范围内履行消防安全职责，保障消防安全。</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二、乙方负责人是乙方安全生产第一责任人，负责乙方职能范围的安全工作，须按照甲方的要求，积极配合甲方认真做好日常安全管理工作，完成甲方临时交办的与安全生产工作有关的事宜。</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三、乙方须定期对人员进行安全生产法律、法规和规章制度方面的教育以及自我防范教育培训，乙方在开展各项安全生产活动时，应当认真记录在案，强化安全生产“痕迹化”管理。</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四、乙方须加强日常安全生产宣传教育，积极组织员工参加安全生产培训和应急演练活动。乙方员工须会使用灭火器、会报警、熟悉现场紧急逃生办法和自救、互救常识。</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五、乙方须熟知办公场所安全生产危险源并熟练掌握应急处置预案。</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六、乙方员工须做到安全用电、安全作业、重要场所严格禁烟、防火防盗等，确保安全。</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七、乙方须每天检查办公场所安全生产，及时报告安全隐患与事故，并协助做好事故调查与处理工作。</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八、乙方须接受甲方及有关部门的安全检查，对查出的问题，甲方有权提出责令整改意见，乙方按甲方提出的要求进行整改，如不按期整改或整改不彻底，发生事故造成后果由乙方负全部责任。</w:t>
      </w:r>
    </w:p>
    <w:p>
      <w:pPr>
        <w:spacing w:line="360" w:lineRule="auto"/>
        <w:ind w:firstLine="424" w:firstLineChars="202"/>
        <w:jc w:val="left"/>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九、本协议自</w:t>
      </w:r>
      <w:r>
        <w:rPr>
          <w:rFonts w:hint="eastAsia" w:ascii="宋体" w:hAnsi="宋体" w:eastAsia="宋体" w:cs="宋体"/>
          <w:color w:val="000000"/>
          <w:sz w:val="21"/>
          <w:szCs w:val="21"/>
          <w:highlight w:val="none"/>
          <w:lang w:val="en-US" w:eastAsia="zh-CN"/>
        </w:rPr>
        <w:t>对应主合同生效之日</w:t>
      </w:r>
      <w:r>
        <w:rPr>
          <w:rFonts w:hint="eastAsia" w:ascii="宋体" w:hAnsi="宋体" w:eastAsia="宋体" w:cs="宋体"/>
          <w:color w:val="000000"/>
          <w:sz w:val="21"/>
          <w:szCs w:val="21"/>
          <w:highlight w:val="none"/>
        </w:rPr>
        <w:t>起生效，有效期至</w:t>
      </w:r>
      <w:r>
        <w:rPr>
          <w:rFonts w:hint="eastAsia" w:ascii="宋体" w:hAnsi="宋体" w:eastAsia="宋体" w:cs="宋体"/>
          <w:color w:val="000000"/>
          <w:sz w:val="21"/>
          <w:szCs w:val="21"/>
          <w:highlight w:val="none"/>
          <w:lang w:val="en-US" w:eastAsia="zh-CN"/>
        </w:rPr>
        <w:t>合同</w:t>
      </w:r>
      <w:r>
        <w:rPr>
          <w:rFonts w:hint="eastAsia" w:ascii="宋体" w:hAnsi="宋体" w:eastAsia="宋体" w:cs="宋体"/>
          <w:color w:val="000000"/>
          <w:sz w:val="21"/>
          <w:szCs w:val="21"/>
          <w:highlight w:val="none"/>
        </w:rPr>
        <w:t>结束。</w:t>
      </w:r>
    </w:p>
    <w:p>
      <w:pPr>
        <w:spacing w:line="360" w:lineRule="auto"/>
        <w:ind w:firstLine="424" w:firstLineChars="202"/>
        <w:jc w:val="left"/>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十、本协议为采购合同附件，与采购合同一并签署。</w:t>
      </w:r>
    </w:p>
    <w:p>
      <w:pPr>
        <w:spacing w:line="360" w:lineRule="auto"/>
        <w:ind w:firstLine="424" w:firstLineChars="202"/>
        <w:jc w:val="left"/>
        <w:rPr>
          <w:rFonts w:hint="eastAsia" w:ascii="宋体" w:hAnsi="宋体" w:eastAsia="宋体" w:cs="宋体"/>
          <w:color w:val="000000"/>
          <w:sz w:val="21"/>
          <w:szCs w:val="21"/>
          <w:highlight w:val="none"/>
        </w:rPr>
      </w:pPr>
    </w:p>
    <w:p>
      <w:pPr>
        <w:pStyle w:val="6"/>
        <w:spacing w:before="0" w:after="120" w:line="360" w:lineRule="auto"/>
        <w:jc w:val="center"/>
        <w:outlineLvl w:val="0"/>
        <w:rPr>
          <w:rFonts w:hint="eastAsia" w:ascii="黑体" w:hAnsi="黑体" w:eastAsia="黑体"/>
          <w:b w:val="0"/>
          <w:sz w:val="28"/>
          <w:szCs w:val="28"/>
          <w:highlight w:val="none"/>
        </w:rPr>
      </w:pPr>
      <w:r>
        <w:rPr>
          <w:rFonts w:hint="eastAsia" w:ascii="黑体" w:hAnsi="黑体" w:eastAsia="黑体"/>
          <w:b w:val="0"/>
          <w:sz w:val="28"/>
          <w:szCs w:val="28"/>
          <w:highlight w:val="none"/>
          <w:lang w:val="en-US" w:eastAsia="zh-CN"/>
        </w:rPr>
        <w:br w:type="page"/>
      </w:r>
      <w:bookmarkStart w:id="40" w:name="_Toc4381"/>
      <w:r>
        <w:rPr>
          <w:rFonts w:hint="eastAsia" w:ascii="黑体" w:hAnsi="黑体" w:eastAsia="黑体"/>
          <w:b w:val="0"/>
          <w:sz w:val="28"/>
          <w:szCs w:val="28"/>
          <w:highlight w:val="none"/>
          <w:lang w:val="en-US" w:eastAsia="zh-CN"/>
        </w:rPr>
        <w:t>1.10</w:t>
      </w:r>
      <w:r>
        <w:rPr>
          <w:rFonts w:hint="eastAsia" w:ascii="黑体" w:hAnsi="黑体" w:eastAsia="黑体"/>
          <w:b w:val="0"/>
          <w:sz w:val="28"/>
          <w:szCs w:val="28"/>
          <w:highlight w:val="none"/>
        </w:rPr>
        <w:t>信息安全承诺</w:t>
      </w:r>
      <w:bookmarkEnd w:id="40"/>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本条款所指的乙方，如无特别说明，专指向中国移动提供网络产品和服务的原设备制造厂商、系统集成商和供货代理商。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本条款所包含的信息安全要求如无特别说明，分别适用于设备到货、入场施工、项目验收以及系统运行维护整个过程的各个环节，乙方承诺严格执行。</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一、乙方承诺由乙方提供的网络设备如已安装操作系统和应用软件，则相关操作系统和应用软件厂商已经发布的所有安全补丁也已全部安装。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二、乙方承诺由乙方提供的网络设备（含操作系统和应用软件）无重大安全漏洞、后门及病毒，同时关闭与业务无关的端口、进程和服务，并按照最小化的原则进行授权。</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三、乙方承诺由乙方提供的网络设备（含操作系统和应用软件）中，所有账号使用的口令不固化于应用软件中，并以加密方式保存。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四、乙方承诺在网络设备上线前，详细提供网络设备（含操作系统和应用软件）的进程、端口、账号等情况。</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五、乙方同意甲方有权在网络设备到货后的任何时间通过安全扫描软件或者人工评估等手段，对由乙方提供的网络设备（含操作系统和应用软件）进行检查。如甲方发现有重大安全漏洞、后门或者病毒感染，乙方承诺在第一时间进行清除、修补、更换设备或采用其他手段消除安全问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六、乙方承诺如需对网络设备进行安全升级，乙方应在甲方规定的有效时间内先在乙方实验环境内进行兼容性测试，并提供测试结果。在取得甲方同意后，乙方应协助甲方进行安全升级，并提供现场支持服务。</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七、乙方承诺在乙方提供的网络设备（含操作系统和应用软件）投入运行直至退网期间，将在第一时间把所有已知安全漏洞告知甲方并及时、无偿地提供修补方案并实施修补；或者在甲方发现安全漏洞后，在甲方规定的有效时间内无偿提供修补方案并实施修补。</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八、乙方承诺当网络设备（含操作系统和应用软件）的安全修补方案失败时，将协助甲方对安全修补方案的失败原因进行分析，并协助完成相关测试。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九、乙方承诺当安全修补方案与乙方所提供的应用系统存在冲突时，乙方应在规定时间内对应用系统进行升级改造。</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十、乙方承诺由乙方提供的运行在Windows操作系统下的应用软件，与趋势科技（TrendMicro）、赛门铁克（Symantec）等主流防病毒软件兼容。</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十一、乙方承诺不使用Widows操作系统家用版（如Xp Home）。</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二、乙方承诺如网络出现未知原因的攻击导致网络系统或设备异常，乙方将配合中国移动查找原因，协助提供安全解决方案，同时建立必要的测试环境，对于各类安全解决方案进行及时测试，并针对现网情况提出实施办法。</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十三、除协议各方另有约定外，乙方违反上述承诺或因乙方提供的网络设备信息安全问题造成甲方损失的，乙方承担一切直接损失。</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四、针对乙方与甲方签订了主合同后，乙方可能获得的或获知的涉及甲方企业的各类信息，包括但不限于甲方的商务资料、经营信息、技术信息资料、工程建设资料、网络技术资料、财务资料、帐务资料、客户资料、企业各类信息、商业秘密、其他保密信息等，乙方承诺仅为项目合同目的在双方合作合同履行过程中使用涉及甲方所有的保密信息，不为任何其他目的使用保密信息。</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五、未经甲方的事先书面批准，乙方不得以任何形式或任何方式将上述保密信息和/或其中的任何部分，披露或透露给任何第三方。乙方有义务妥善保管保密信息，不得复制、泄漏或遗失。未经甲方的同意乙方不得向其职员透露本协议上述保密信息/或其中的任何部分。如经得甲方同意，乙方能够知悉上述保密信息的职员应是乙方参与项目合同的相关人员。</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十六、本协议规定的保密责任的期限为自本合同生效之日起至合同有效期结束后五年（含第五年）止。甲方保留在甲方认为必要的情况下收回所提供的保密信息及其使用权的权利。</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七、乙方的职员违背保密承诺，未按照本协议的规定使用保密信息或向第三方披露保密信息，或依据该等保密信息向第三方做出任何建议，都被视为乙方违反本协议。乙方的职员违背保密承诺，未按照本协议的规定使用保密信息或向第三方披露保密信息，或依据该等保密信息向第三方做出任何建议，都被视为乙方违反本协议。因乙方员工所造成的违约责任，由乙方承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color w:val="000000"/>
          <w:kern w:val="2"/>
          <w:sz w:val="21"/>
          <w:szCs w:val="21"/>
          <w:highlight w:val="none"/>
        </w:rPr>
      </w:pPr>
      <w:r>
        <w:rPr>
          <w:rFonts w:hint="eastAsia" w:ascii="宋体" w:hAnsi="宋体" w:eastAsia="宋体" w:cs="宋体"/>
          <w:color w:val="000000"/>
          <w:kern w:val="2"/>
          <w:sz w:val="21"/>
          <w:szCs w:val="21"/>
          <w:highlight w:val="none"/>
        </w:rPr>
        <w:t>十八、如果因为乙方的违约行为造成甲方的损失，乙方应当赔偿甲方全部损失，包括甲方因乙方的违约行为所受到的实际经济损失，甲方因调查乙方的违约行为而支付的合理费用，以及争取补救措施所引起的所有费用和损失</w:t>
      </w:r>
      <w:r>
        <w:rPr>
          <w:rFonts w:hint="eastAsia" w:ascii="宋体" w:hAnsi="宋体" w:eastAsia="宋体" w:cs="宋体"/>
          <w:color w:val="000000"/>
          <w:kern w:val="2"/>
          <w:sz w:val="21"/>
          <w:szCs w:val="21"/>
          <w:highlight w:val="none"/>
          <w:lang w:eastAsia="zh-CN"/>
        </w:rPr>
        <w:t>。</w:t>
      </w:r>
    </w:p>
    <w:p>
      <w:pPr>
        <w:rPr>
          <w:rFonts w:hint="eastAsia" w:ascii="黑体" w:hAnsi="黑体" w:eastAsia="黑体"/>
          <w:b w:val="0"/>
          <w:sz w:val="28"/>
          <w:szCs w:val="28"/>
          <w:highlight w:val="none"/>
          <w:lang w:val="en-US" w:eastAsia="zh-CN"/>
        </w:rPr>
      </w:pPr>
      <w:r>
        <w:rPr>
          <w:rFonts w:hint="eastAsia" w:ascii="宋体" w:hAnsi="宋体" w:eastAsia="宋体" w:cs="宋体"/>
          <w:color w:val="000000"/>
          <w:kern w:val="2"/>
          <w:sz w:val="21"/>
          <w:szCs w:val="21"/>
          <w:highlight w:val="none"/>
        </w:rPr>
        <w:t>十九、因乙方的违约行为侵犯了甲方的商业秘密权利或合法权益的，甲方可以选择根据本协议要求乙方承担违约责任，或者根据国家有关法律、法规要求乙方承担侵权责任，并追究其刑事责任。</w:t>
      </w:r>
      <w:r>
        <w:rPr>
          <w:rFonts w:hint="eastAsia" w:ascii="黑体" w:hAnsi="黑体" w:eastAsia="黑体"/>
          <w:b w:val="0"/>
          <w:sz w:val="21"/>
          <w:szCs w:val="21"/>
          <w:highlight w:val="none"/>
          <w:lang w:val="en-US" w:eastAsia="zh-CN"/>
        </w:rPr>
        <w:br w:type="page"/>
      </w:r>
    </w:p>
    <w:p>
      <w:pPr>
        <w:pStyle w:val="6"/>
        <w:keepNext/>
        <w:keepLines/>
        <w:pageBreakBefore w:val="0"/>
        <w:widowControl w:val="0"/>
        <w:kinsoku/>
        <w:wordWrap/>
        <w:overflowPunct/>
        <w:topLinePunct w:val="0"/>
        <w:autoSpaceDE/>
        <w:autoSpaceDN/>
        <w:bidi w:val="0"/>
        <w:adjustRightInd/>
        <w:snapToGrid w:val="0"/>
        <w:spacing w:before="0" w:after="0" w:line="240" w:lineRule="auto"/>
        <w:jc w:val="center"/>
        <w:textAlignment w:val="auto"/>
        <w:outlineLvl w:val="0"/>
        <w:rPr>
          <w:rFonts w:hint="eastAsia" w:ascii="黑体" w:hAnsi="黑体" w:eastAsia="黑体"/>
          <w:b w:val="0"/>
          <w:sz w:val="28"/>
          <w:szCs w:val="28"/>
          <w:highlight w:val="none"/>
          <w:lang w:val="en-US" w:eastAsia="zh-CN"/>
        </w:rPr>
      </w:pPr>
      <w:bookmarkStart w:id="41" w:name="_Toc30117"/>
      <w:r>
        <w:rPr>
          <w:rFonts w:hint="eastAsia" w:ascii="黑体" w:hAnsi="黑体" w:eastAsia="黑体"/>
          <w:b w:val="0"/>
          <w:sz w:val="28"/>
          <w:szCs w:val="28"/>
          <w:highlight w:val="none"/>
          <w:lang w:val="en-US" w:eastAsia="zh-CN"/>
        </w:rPr>
        <w:t>1.11网络及设备安全责任承诺</w:t>
      </w:r>
      <w:bookmarkEnd w:id="41"/>
    </w:p>
    <w:p>
      <w:pPr>
        <w:pStyle w:val="6"/>
        <w:spacing w:before="0" w:after="0" w:line="240" w:lineRule="auto"/>
        <w:rPr>
          <w:rFonts w:hint="eastAsia" w:ascii="宋体" w:hAnsi="宋体" w:eastAsia="宋体" w:cs="宋体"/>
          <w:b/>
          <w:sz w:val="21"/>
          <w:szCs w:val="21"/>
          <w:highlight w:val="none"/>
        </w:rPr>
      </w:pPr>
      <w:r>
        <w:rPr>
          <w:rFonts w:hint="eastAsia" w:ascii="宋体" w:hAnsi="宋体" w:eastAsia="宋体" w:cs="宋体"/>
          <w:b/>
          <w:sz w:val="21"/>
          <w:szCs w:val="21"/>
          <w:highlight w:val="none"/>
        </w:rPr>
        <w:t>一、安徽移动网络信息安全责任条款</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本条款所指的乙方，如无特别说明，专指承担安徽移动工程建设项目的集成商或者提供售后/维保服务的厂商。</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本条款所包含的安全责任如无特别说明，分别适用于设备到货、入场施工、项目验收以及系统运行维护整个过程的各个环节，集成商需要严格执行。</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1、乙方应保证本工程新增设备符合《中国移动设备通用安全功能和配置规范》规定的安全配置要求。</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2、乙方应遵守安徽移动相关安全管理规定要求，具体规定如下：</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《安徽移动通信网设备帐号口令安全管理办法》；</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《安徽移动管理信息系统、业务支撑系统业务用户帐号口令安全管理办法》；</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《安徽移动系统服务和端口安全管理实施细则》；</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《计算机病毒防治管理办法》；</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《安徽移动远程接入管理办法》；</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3、乙方应保证本工程新增的IT设备安装操作系统、应用软件已经发布的所有安全补丁，关闭与业务无关端口、无关进程和服务，按照最小化的原则进行授权，并无重大安全漏洞、后门或者感染病毒。</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4、乙方提供的应用软件中账号所使用的口令应便于在维护中定期修改并已加密方式保存，不可固化在软件里。</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5、乙方在设备上线前，应参照</w:t>
      </w:r>
      <w:r>
        <w:rPr>
          <w:rFonts w:hint="eastAsia" w:ascii="宋体" w:hAnsi="宋体" w:eastAsia="宋体" w:cs="宋体"/>
          <w:color w:val="000000"/>
          <w:sz w:val="21"/>
          <w:szCs w:val="21"/>
          <w:highlight w:val="none"/>
        </w:rPr>
        <w:fldChar w:fldCharType="begin"/>
      </w:r>
      <w:r>
        <w:rPr>
          <w:rFonts w:hint="eastAsia" w:ascii="宋体" w:hAnsi="宋体" w:eastAsia="宋体" w:cs="宋体"/>
          <w:color w:val="000000"/>
          <w:sz w:val="21"/>
          <w:szCs w:val="21"/>
          <w:highlight w:val="none"/>
        </w:rPr>
        <w:instrText xml:space="preserve"> HYPERLINK "http://oa.hq.cmcc/cmccoa/yxgswj.nsf/0/CB66FBDAF5DD90D74825757C002B0C34/$file/附件5：中国移动系统安全相关基础信息列表.xls" \t "_blank" </w:instrText>
      </w:r>
      <w:r>
        <w:rPr>
          <w:rFonts w:hint="eastAsia" w:ascii="宋体" w:hAnsi="宋体" w:eastAsia="宋体" w:cs="宋体"/>
          <w:color w:val="000000"/>
          <w:sz w:val="21"/>
          <w:szCs w:val="21"/>
          <w:highlight w:val="none"/>
        </w:rPr>
        <w:fldChar w:fldCharType="separate"/>
      </w:r>
      <w:r>
        <w:rPr>
          <w:rFonts w:hint="eastAsia" w:ascii="宋体" w:hAnsi="宋体" w:eastAsia="宋体" w:cs="宋体"/>
          <w:color w:val="000000"/>
          <w:sz w:val="21"/>
          <w:szCs w:val="21"/>
          <w:highlight w:val="none"/>
        </w:rPr>
        <w:t>《安徽移动系统安全相关基础信息列表》</w:t>
      </w:r>
      <w:r>
        <w:rPr>
          <w:rFonts w:hint="eastAsia" w:ascii="宋体" w:hAnsi="宋体" w:eastAsia="宋体" w:cs="宋体"/>
          <w:color w:val="000000"/>
          <w:sz w:val="21"/>
          <w:szCs w:val="21"/>
          <w:highlight w:val="none"/>
        </w:rPr>
        <w:fldChar w:fldCharType="end"/>
      </w:r>
      <w:r>
        <w:rPr>
          <w:rFonts w:hint="eastAsia" w:ascii="宋体" w:hAnsi="宋体" w:eastAsia="宋体" w:cs="宋体"/>
          <w:color w:val="000000"/>
          <w:sz w:val="21"/>
          <w:szCs w:val="21"/>
          <w:highlight w:val="none"/>
        </w:rPr>
        <w:t>格式，详细提供本工程新增设备和应用的进程、端口、账号等方面的情况。</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6、在工程实施期间，甲方有权通过安全扫描软件或者人工评估等手段，对本期工程新增设备和应用软件进行检查，并给出评估结果。一旦发现有重大安全漏洞、后门或者病毒感染，由乙方进行立即修补、清除或者采用其他手段消除安全问题。对于违反本规定导致的一切问题，由乙方负全部责任。</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7、乙方必须具备所提供应用软件版本的独立实验环境。对系统设备的安全补丁升级，乙方应在甲方规定的有效时间内在实验环境内进行兼容性测试、提供测试结果，并协助甲方进行补丁安装，提供现场支持服务。</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8、在产品投入运行直至退网期间，乙方应及时将通过各种途径所发现的自主研发应用软件或产品在软件代码、功能或配置方面的安全漏洞告知甲方并及时、无偿地提供修补方案并实施修补；或者在甲方发现漏洞后，在甲方规定的有效时间内无偿提供修补方案并实施修补。</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9、当本工程新增设备的安全补丁安装失败时，乙方有责任协助甲方对补丁加载失败原因进行分析、测试。</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10、当加载的安全补丁与乙方所提供的应用系统存在冲突时，乙方应在规定时间内对应用系统进行升级改造。</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11、对于乙方提供运行在Windows操作系统的应用软件，乙方必须承诺与趋势科技（TrendMicro）、赛门铁克（Symantec）以及NAI公司等主流网络版防病毒软件或其中之一兼容。</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12、对于乙方提供的运行在Windows操作系统上的应用软件，Windows操作系统版本应在Windows2000（含）以上，同时不能使用家用版，如XP Home 版的操作系统。</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13、乙方应承担如下安全应急处理方面的责任：</w:t>
      </w:r>
    </w:p>
    <w:p>
      <w:pPr>
        <w:pStyle w:val="14"/>
        <w:keepNext w:val="0"/>
        <w:keepLines w:val="0"/>
        <w:pageBreakBefore w:val="0"/>
        <w:widowControl w:val="0"/>
        <w:numPr>
          <w:ilvl w:val="0"/>
          <w:numId w:val="7"/>
        </w:numPr>
        <w:tabs>
          <w:tab w:val="left" w:pos="840"/>
          <w:tab w:val="clear" w:pos="900"/>
        </w:tabs>
        <w:kinsoku/>
        <w:wordWrap/>
        <w:overflowPunct/>
        <w:topLinePunct w:val="0"/>
        <w:autoSpaceDE/>
        <w:autoSpaceDN/>
        <w:bidi w:val="0"/>
        <w:adjustRightInd/>
        <w:snapToGrid w:val="0"/>
        <w:spacing w:before="120" w:after="0" w:line="240" w:lineRule="auto"/>
        <w:ind w:left="640" w:leftChars="0" w:hanging="42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如果出现未知原因的攻击导致系统或网络设备异常，乙方应承诺配合甲方查找原因，给出解决方案。</w:t>
      </w:r>
    </w:p>
    <w:p>
      <w:pPr>
        <w:pStyle w:val="14"/>
        <w:keepNext w:val="0"/>
        <w:keepLines w:val="0"/>
        <w:pageBreakBefore w:val="0"/>
        <w:widowControl w:val="0"/>
        <w:numPr>
          <w:ilvl w:val="0"/>
          <w:numId w:val="7"/>
        </w:numPr>
        <w:tabs>
          <w:tab w:val="left" w:pos="1060"/>
          <w:tab w:val="clear" w:pos="900"/>
        </w:tabs>
        <w:kinsoku/>
        <w:wordWrap/>
        <w:overflowPunct/>
        <w:topLinePunct w:val="0"/>
        <w:autoSpaceDE/>
        <w:autoSpaceDN/>
        <w:bidi w:val="0"/>
        <w:adjustRightInd/>
        <w:snapToGrid w:val="0"/>
        <w:spacing w:line="240" w:lineRule="auto"/>
        <w:ind w:left="640" w:leftChars="0" w:hanging="420" w:firstLineChars="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乙方需建立必要的测试环境，对于各类安全解决方案进行及时测试，并给出可行的现网实施办法。</w:t>
      </w:r>
    </w:p>
    <w:p>
      <w:pPr>
        <w:pStyle w:val="6"/>
        <w:spacing w:before="0" w:after="0" w:line="240" w:lineRule="auto"/>
        <w:rPr>
          <w:rFonts w:hint="eastAsia" w:ascii="宋体" w:hAnsi="宋体" w:eastAsia="宋体" w:cs="宋体"/>
          <w:b/>
          <w:sz w:val="21"/>
          <w:szCs w:val="21"/>
          <w:highlight w:val="none"/>
        </w:rPr>
      </w:pPr>
      <w:r>
        <w:rPr>
          <w:rFonts w:hint="eastAsia" w:ascii="宋体" w:hAnsi="宋体" w:eastAsia="宋体" w:cs="宋体"/>
          <w:b/>
          <w:sz w:val="21"/>
          <w:szCs w:val="21"/>
          <w:highlight w:val="none"/>
        </w:rPr>
        <w:t>二、关键网络设备信息安全承诺</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本条款所指的乙方，如无特别说明，专指向中国移动提供网络设备及维保服务的原设备制造厂商、系统集成商和供货代理商。</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本条款所包含的信息安全要求如无特别说明，分别适用于设备到货、入场施工、项目验收以及系统运行维护整个过程的各个环节，乙方承诺严格执行。</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一、乙方承诺由乙方提供的网络设备符合中国移动《中国移动设备通用安全功能和配置规范》规定的安全配置要求，符合设备技术规范书中信息安全部分的具体要求。对于重要网络系统、信息系统中部署的设备，符合国家相关要求并通过权威机构的安全认证。</w:t>
      </w:r>
    </w:p>
    <w:p>
      <w:pPr>
        <w:keepNext w:val="0"/>
        <w:keepLines w:val="0"/>
        <w:pageBreakBefore w:val="0"/>
        <w:widowControl w:val="0"/>
        <w:kinsoku/>
        <w:wordWrap/>
        <w:overflowPunct/>
        <w:topLinePunct w:val="0"/>
        <w:autoSpaceDE/>
        <w:autoSpaceDN/>
        <w:bidi w:val="0"/>
        <w:adjustRightInd/>
        <w:snapToGrid w:val="0"/>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二、乙方承诺遵守中国移动相关安全管理规定要求，包含但不限于：《中国移动安全域管理办法》，《中国移动帐号口令管理办法》，《中国移动远程接入安全管理办法》，《中国移动网络互联安全管理办法》，《中国移动第三方安全管理办法》。</w:t>
      </w:r>
      <w:bookmarkStart w:id="42" w:name="_Toc9626"/>
    </w:p>
    <w:p>
      <w:pPr>
        <w:keepNext w:val="0"/>
        <w:keepLines w:val="0"/>
        <w:pageBreakBefore w:val="0"/>
        <w:widowControl w:val="0"/>
        <w:kinsoku/>
        <w:wordWrap/>
        <w:overflowPunct/>
        <w:topLinePunct w:val="0"/>
        <w:autoSpaceDE/>
        <w:autoSpaceDN/>
        <w:bidi w:val="0"/>
        <w:adjustRightInd/>
        <w:snapToGrid w:val="0"/>
        <w:spacing w:line="240" w:lineRule="auto"/>
        <w:ind w:firstLine="565" w:firstLineChars="202"/>
        <w:jc w:val="center"/>
        <w:textAlignment w:val="auto"/>
        <w:rPr>
          <w:rFonts w:hint="eastAsia" w:ascii="黑体" w:hAnsi="黑体" w:eastAsia="黑体"/>
          <w:b w:val="0"/>
          <w:sz w:val="28"/>
          <w:szCs w:val="28"/>
          <w:highlight w:val="none"/>
        </w:rPr>
      </w:pPr>
      <w:r>
        <w:rPr>
          <w:rFonts w:hint="eastAsia" w:ascii="黑体" w:hAnsi="黑体" w:eastAsia="黑体"/>
          <w:b w:val="0"/>
          <w:sz w:val="28"/>
          <w:szCs w:val="28"/>
          <w:highlight w:val="none"/>
          <w:lang w:val="en-US" w:eastAsia="zh-CN"/>
        </w:rPr>
        <w:t>1.12</w:t>
      </w:r>
      <w:r>
        <w:rPr>
          <w:rFonts w:hint="eastAsia" w:ascii="黑体" w:hAnsi="黑体" w:eastAsia="黑体"/>
          <w:b w:val="0"/>
          <w:sz w:val="28"/>
          <w:szCs w:val="28"/>
          <w:highlight w:val="none"/>
        </w:rPr>
        <w:t>供应链安全承诺书</w:t>
      </w:r>
      <w:r>
        <w:rPr>
          <w:rFonts w:hint="eastAsia" w:ascii="黑体" w:hAnsi="黑体" w:eastAsia="黑体"/>
          <w:b w:val="0"/>
          <w:sz w:val="28"/>
          <w:szCs w:val="28"/>
          <w:highlight w:val="none"/>
          <w:lang w:eastAsia="zh-CN"/>
        </w:rPr>
        <w:t>（</w:t>
      </w:r>
      <w:r>
        <w:rPr>
          <w:rFonts w:hint="eastAsia" w:ascii="黑体" w:hAnsi="黑体" w:eastAsia="黑体"/>
          <w:b w:val="0"/>
          <w:sz w:val="28"/>
          <w:szCs w:val="28"/>
          <w:highlight w:val="none"/>
        </w:rPr>
        <w:t>网络产品和服务</w:t>
      </w:r>
      <w:r>
        <w:rPr>
          <w:rFonts w:hint="eastAsia" w:ascii="黑体" w:hAnsi="黑体" w:eastAsia="黑体"/>
          <w:b w:val="0"/>
          <w:sz w:val="28"/>
          <w:szCs w:val="28"/>
          <w:highlight w:val="none"/>
          <w:lang w:val="en-US" w:eastAsia="zh-CN"/>
        </w:rPr>
        <w:t>适用</w:t>
      </w:r>
      <w:r>
        <w:rPr>
          <w:rFonts w:hint="eastAsia" w:ascii="黑体" w:hAnsi="黑体" w:eastAsia="黑体"/>
          <w:b w:val="0"/>
          <w:sz w:val="28"/>
          <w:szCs w:val="28"/>
          <w:highlight w:val="none"/>
          <w:lang w:eastAsia="zh-CN"/>
        </w:rPr>
        <w:t>）</w:t>
      </w:r>
      <w:bookmarkEnd w:id="42"/>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我公司</w:t>
      </w:r>
      <w:r>
        <w:rPr>
          <w:rFonts w:hint="eastAsia" w:ascii="宋体" w:hAnsi="宋体" w:eastAsia="宋体" w:cs="宋体"/>
          <w:color w:val="000000"/>
          <w:sz w:val="21"/>
          <w:szCs w:val="21"/>
          <w:highlight w:val="none"/>
          <w:lang w:eastAsia="zh-CN"/>
        </w:rPr>
        <w:t>（</w:t>
      </w:r>
      <w:r>
        <w:rPr>
          <w:rFonts w:hint="eastAsia" w:ascii="宋体" w:hAnsi="宋体" w:eastAsia="宋体" w:cs="宋体"/>
          <w:color w:val="000000"/>
          <w:sz w:val="21"/>
          <w:szCs w:val="21"/>
          <w:highlight w:val="none"/>
          <w:lang w:val="en-US" w:eastAsia="zh-CN"/>
        </w:rPr>
        <w:t>乙方</w:t>
      </w:r>
      <w:r>
        <w:rPr>
          <w:rFonts w:hint="eastAsia" w:ascii="宋体" w:hAnsi="宋体" w:eastAsia="宋体" w:cs="宋体"/>
          <w:color w:val="000000"/>
          <w:sz w:val="21"/>
          <w:szCs w:val="21"/>
          <w:highlight w:val="none"/>
          <w:lang w:eastAsia="zh-CN"/>
        </w:rPr>
        <w:t>）</w:t>
      </w:r>
      <w:r>
        <w:rPr>
          <w:rFonts w:hint="eastAsia" w:ascii="宋体" w:hAnsi="宋体" w:eastAsia="宋体" w:cs="宋体"/>
          <w:color w:val="000000"/>
          <w:sz w:val="21"/>
          <w:szCs w:val="21"/>
          <w:highlight w:val="none"/>
        </w:rPr>
        <w:t>作为本项目产品和服务</w:t>
      </w:r>
      <w:r>
        <w:rPr>
          <w:rFonts w:hint="eastAsia" w:ascii="宋体" w:hAnsi="宋体" w:eastAsia="宋体" w:cs="宋体"/>
          <w:color w:val="000000"/>
          <w:sz w:val="21"/>
          <w:szCs w:val="21"/>
          <w:highlight w:val="none"/>
          <w:lang w:val="en-US" w:eastAsia="zh-CN"/>
        </w:rPr>
        <w:t>的</w:t>
      </w:r>
      <w:r>
        <w:rPr>
          <w:rFonts w:hint="eastAsia" w:ascii="宋体" w:hAnsi="宋体" w:eastAsia="宋体" w:cs="宋体"/>
          <w:color w:val="000000"/>
          <w:sz w:val="21"/>
          <w:szCs w:val="21"/>
          <w:highlight w:val="none"/>
        </w:rPr>
        <w:t>应答供应商，做出如下承诺：</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1.本单位承诺遵从相关的国家法律法规、行业管理要求，包括但不限于《中华人民共和国网络安全法》、《中华人民共和国数据安全法》、《中华人民共和国个人信息保护法》和《关键信息基础设施安全保护条例》，且遵从中国移动对我单位生产经营的各项合规及守信要求。</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2.本单位承诺供应的网络关键设备和网络安全专用产品目录（注1）中的设备产品通过国家检测认证。</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rPr>
        <w:t>3.本单位承诺供应的网络产品和服务符合中国移动相关管理要求，包括但不限于中国移动系统安全、网络运行安全、数据安全、关键信息基础设施安全、终端安全、个人用户信息安全等相关安全管理要求。</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4.本单位承诺不会因非正当理由等因素中断产品供应及必要的技术支持服务，保证供应的网络产品全生命周期内备件可靠供应。</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5.本单位承诺对供应的网络产品和服务的设计、研发、生产、交付等关键环节加强安全管理。不非法控制和操纵中国移动系统和设备，或利用中国移动及其客户对产品的依赖性谋取不正当利益或者迫使中国移动及其客户更新换代。</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6.本单位承诺对供应的重要网络产品和服务研发、制造过程中涉及的实体拥有或控制的已知技术专利等知识产权获得持续授权，授权期足以确保采购方稳定可持续使用，若出现专利和知识产权纠纷由本单位负责解决。</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7.本单位承诺提供必要的培训与技术支持，</w:t>
      </w:r>
      <w:bookmarkStart w:id="43" w:name="OLE_LINK1"/>
      <w:r>
        <w:rPr>
          <w:rFonts w:hint="eastAsia" w:ascii="宋体" w:hAnsi="宋体" w:eastAsia="宋体" w:cs="宋体"/>
          <w:color w:val="000000"/>
          <w:sz w:val="21"/>
          <w:szCs w:val="21"/>
          <w:highlight w:val="none"/>
        </w:rPr>
        <w:t>重要</w:t>
      </w:r>
      <w:bookmarkEnd w:id="43"/>
      <w:r>
        <w:rPr>
          <w:rFonts w:hint="eastAsia" w:ascii="宋体" w:hAnsi="宋体" w:eastAsia="宋体" w:cs="宋体"/>
          <w:color w:val="000000"/>
          <w:sz w:val="21"/>
          <w:szCs w:val="21"/>
          <w:highlight w:val="none"/>
        </w:rPr>
        <w:t>网络产品和服务按要求配合提供中文版运行维护、二次开发等技术资料。</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8.本单位承诺对供应的重要网络产品和服务，配合开展产品清单梳理，协助反馈产品</w:t>
      </w:r>
      <w:r>
        <w:rPr>
          <w:rFonts w:hint="eastAsia" w:ascii="宋体" w:hAnsi="宋体" w:eastAsia="宋体" w:cs="宋体"/>
          <w:color w:val="000000"/>
          <w:sz w:val="21"/>
          <w:szCs w:val="21"/>
          <w:highlight w:val="none"/>
          <w:lang w:val="en-US" w:eastAsia="zh-CN"/>
        </w:rPr>
        <w:t>和</w:t>
      </w:r>
      <w:r>
        <w:rPr>
          <w:rFonts w:hint="eastAsia" w:ascii="宋体" w:hAnsi="宋体" w:eastAsia="宋体" w:cs="宋体"/>
          <w:color w:val="000000"/>
          <w:sz w:val="21"/>
          <w:szCs w:val="21"/>
          <w:highlight w:val="none"/>
        </w:rPr>
        <w:t>服务以及上游供应链关系等基础数据信息，提供必要的产品组成及来源数据，且承诺不使用存在已公开未修复高危漏洞的第三方组件，遵守开源限制性、知识产权及其他相关法律要求。</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9.本单位承诺针对供应的重要网络产品和服务建立健全的安全管理体系，承诺投入</w:t>
      </w:r>
      <w:r>
        <w:rPr>
          <w:rFonts w:hint="eastAsia" w:ascii="宋体" w:hAnsi="宋体" w:eastAsia="宋体" w:cs="宋体"/>
          <w:color w:val="000000"/>
          <w:sz w:val="21"/>
          <w:szCs w:val="21"/>
          <w:highlight w:val="none"/>
        </w:rPr>
        <w:t>足够的资源来保障供应工作的安全执行，以满足中国移动在供应链安全方面的要求。承诺提供应急响应能力，快速处理安全问题。</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10.本单位承诺在提供服务过程中，根据项目需求、技术需求、管理要求组建项目团队，按照中国移动相关部门要求实行严格的进场人员身份验证和授权管理，并明确管理措施，配合建立人员台账，根据实际情况及时更新台账信息。承诺积极配合完成围绕关键产品和服务人员的安全背景审查，确保人员资质符合国家相关法律法规要求，并确保必要数量的人员配置。</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11.本单位承诺配合开展重要网络产品和服务的供应链安全检查和技术检测工作，如开源代码和第三方组件安全检测等，及时发现处置重大问题隐患。</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1</w:t>
      </w:r>
      <w:r>
        <w:rPr>
          <w:rFonts w:hint="eastAsia" w:ascii="宋体" w:hAnsi="宋体" w:eastAsia="宋体" w:cs="宋体"/>
          <w:color w:val="000000"/>
          <w:sz w:val="21"/>
          <w:szCs w:val="21"/>
          <w:highlight w:val="none"/>
          <w:lang w:val="en-US" w:eastAsia="zh-CN"/>
        </w:rPr>
        <w:t>2</w:t>
      </w:r>
      <w:r>
        <w:rPr>
          <w:rFonts w:hint="eastAsia" w:ascii="宋体" w:hAnsi="宋体" w:eastAsia="宋体" w:cs="宋体"/>
          <w:color w:val="000000"/>
          <w:sz w:val="21"/>
          <w:szCs w:val="21"/>
          <w:highlight w:val="none"/>
        </w:rPr>
        <w:t>.本单位承诺按照中国移动安全管理相关要求，在提供服务过程中采取有效措施保护中国移动客户资料、生产经营信息等各类信息及商业秘密。</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lang w:eastAsia="zh-CN"/>
        </w:rPr>
      </w:pPr>
      <w:r>
        <w:rPr>
          <w:rFonts w:hint="eastAsia" w:ascii="宋体" w:hAnsi="宋体" w:eastAsia="宋体" w:cs="宋体"/>
          <w:color w:val="000000"/>
          <w:sz w:val="21"/>
          <w:szCs w:val="21"/>
          <w:highlight w:val="none"/>
        </w:rPr>
        <w:t>1</w:t>
      </w:r>
      <w:r>
        <w:rPr>
          <w:rFonts w:hint="eastAsia" w:ascii="宋体" w:hAnsi="宋体" w:eastAsia="宋体" w:cs="宋体"/>
          <w:color w:val="000000"/>
          <w:sz w:val="21"/>
          <w:szCs w:val="21"/>
          <w:highlight w:val="none"/>
          <w:lang w:val="en-US" w:eastAsia="zh-CN"/>
        </w:rPr>
        <w:t>3</w:t>
      </w:r>
      <w:r>
        <w:rPr>
          <w:rFonts w:hint="eastAsia" w:ascii="宋体" w:hAnsi="宋体" w:eastAsia="宋体" w:cs="宋体"/>
          <w:color w:val="000000"/>
          <w:sz w:val="21"/>
          <w:szCs w:val="21"/>
          <w:highlight w:val="none"/>
        </w:rPr>
        <w:t>.本单位承诺在合作过程中使用中国移动数据系统时，加强账号管理，严格按中国移动要求规范人员账号申请、授权和使用流程，明确系统使用边界及安全保密责任。</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w:t>
      </w:r>
      <w:r>
        <w:rPr>
          <w:rFonts w:hint="eastAsia" w:ascii="宋体" w:hAnsi="宋体" w:eastAsia="宋体" w:cs="宋体"/>
          <w:color w:val="000000"/>
          <w:sz w:val="21"/>
          <w:szCs w:val="21"/>
          <w:highlight w:val="none"/>
          <w:lang w:val="en-US" w:eastAsia="zh-CN"/>
        </w:rPr>
        <w:t>4</w:t>
      </w:r>
      <w:r>
        <w:rPr>
          <w:rFonts w:hint="eastAsia" w:ascii="宋体" w:hAnsi="宋体" w:eastAsia="宋体" w:cs="宋体"/>
          <w:color w:val="000000"/>
          <w:sz w:val="21"/>
          <w:szCs w:val="21"/>
          <w:highlight w:val="none"/>
        </w:rPr>
        <w:t>.本单位承诺不利用供应的产品和服务危害国家安全、泄露国</w:t>
      </w:r>
      <w:r>
        <w:rPr>
          <w:rFonts w:hint="eastAsia" w:ascii="宋体" w:hAnsi="宋体" w:eastAsia="宋体" w:cs="宋体"/>
          <w:color w:val="000000"/>
          <w:sz w:val="21"/>
          <w:szCs w:val="21"/>
          <w:highlight w:val="none"/>
        </w:rPr>
        <w:t>家秘密，承诺不会在知情情况下，向危害国家安全、泄露国家秘密等行为提供便利，同时防止在合作过程中泄露敏感信息。</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1</w:t>
      </w:r>
      <w:r>
        <w:rPr>
          <w:rFonts w:hint="eastAsia" w:ascii="宋体" w:hAnsi="宋体" w:eastAsia="宋体" w:cs="宋体"/>
          <w:color w:val="000000"/>
          <w:sz w:val="21"/>
          <w:szCs w:val="21"/>
          <w:highlight w:val="none"/>
          <w:lang w:val="en-US" w:eastAsia="zh-CN"/>
        </w:rPr>
        <w:t>5</w:t>
      </w:r>
      <w:r>
        <w:rPr>
          <w:rFonts w:hint="eastAsia" w:ascii="宋体" w:hAnsi="宋体" w:eastAsia="宋体" w:cs="宋体"/>
          <w:color w:val="000000"/>
          <w:sz w:val="21"/>
          <w:szCs w:val="21"/>
          <w:highlight w:val="none"/>
        </w:rPr>
        <w:t>.本单位承诺配合开展供应链安全风险感知、风险识别、风险预警等工作，降低关键材料不可用、独家垄断供应等风险，并积极配合中国移动做好相关风险的处置工作。</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lang w:val="en-US" w:eastAsia="zh-CN"/>
        </w:rPr>
        <w:t>16</w:t>
      </w:r>
      <w:r>
        <w:rPr>
          <w:rFonts w:hint="eastAsia" w:ascii="宋体" w:hAnsi="宋体" w:eastAsia="宋体" w:cs="宋体"/>
          <w:color w:val="000000"/>
          <w:sz w:val="21"/>
          <w:szCs w:val="21"/>
          <w:highlight w:val="none"/>
        </w:rPr>
        <w:t>.本单位承诺在供应重要网络产品和服务时配合排查安全风险隐患，对存在安全缺陷、漏洞等风险的网络产品和服务，及时采取措施消除风险隐患，涉及重大风险的按规定向相关部门报告。</w:t>
      </w:r>
    </w:p>
    <w:p>
      <w:pPr>
        <w:keepNext w:val="0"/>
        <w:keepLines w:val="0"/>
        <w:pageBreakBefore w:val="0"/>
        <w:widowControl w:val="0"/>
        <w:kinsoku/>
        <w:wordWrap/>
        <w:overflowPunct/>
        <w:topLinePunct w:val="0"/>
        <w:autoSpaceDE/>
        <w:autoSpaceDN/>
        <w:bidi w:val="0"/>
        <w:adjustRightInd/>
        <w:snapToGrid/>
        <w:spacing w:line="240" w:lineRule="auto"/>
        <w:ind w:firstLine="426" w:firstLineChars="202"/>
        <w:jc w:val="left"/>
        <w:textAlignment w:val="auto"/>
        <w:rPr>
          <w:rFonts w:hint="eastAsia" w:ascii="宋体" w:hAnsi="宋体" w:eastAsia="宋体" w:cs="宋体"/>
          <w:sz w:val="21"/>
          <w:szCs w:val="21"/>
          <w:highlight w:val="none"/>
          <w:lang w:val="en-US" w:eastAsia="zh-CN"/>
        </w:rPr>
      </w:pPr>
      <w:r>
        <w:rPr>
          <w:rFonts w:hint="eastAsia" w:ascii="宋体" w:hAnsi="宋体" w:eastAsia="宋体" w:cs="宋体"/>
          <w:b/>
          <w:bCs/>
          <w:color w:val="000000"/>
          <w:sz w:val="21"/>
          <w:szCs w:val="21"/>
          <w:highlight w:val="none"/>
          <w:lang w:val="en-US" w:eastAsia="zh-CN"/>
        </w:rPr>
        <w:t>17.如违反本承诺第1、12、13或14条的，我单位同意安徽移动按照严重负面行为对我方进行处理。如违反其他条承诺的，我单位同意安徽移动按照一般负面行为对我方进行处理。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ascii="仿宋_GB2312" w:eastAsia="仿宋_GB2312"/>
          <w:color w:val="000000"/>
          <w:szCs w:val="21"/>
          <w:highlight w:val="none"/>
        </w:rPr>
      </w:pPr>
      <w:r>
        <w:rPr>
          <w:rFonts w:hint="eastAsia" w:ascii="仿宋_GB2312" w:eastAsia="仿宋_GB2312"/>
          <w:color w:val="000000"/>
          <w:szCs w:val="21"/>
          <w:highlight w:val="none"/>
        </w:rPr>
        <w:t>注1：《网络关键设备和网络安全专用产品目录》由国家互联网信息办公室会同工业和信息化部、公安部、国家认证认可监督管理委员会负责发布及更新，详情可在国家互联网信息办公室官方网站查询。</w:t>
      </w:r>
    </w:p>
    <w:p>
      <w:pPr>
        <w:tabs>
          <w:tab w:val="left" w:pos="8222"/>
        </w:tabs>
        <w:spacing w:line="360" w:lineRule="auto"/>
        <w:ind w:right="-52" w:firstLine="2940" w:firstLineChars="1400"/>
        <w:rPr>
          <w:rFonts w:hint="eastAsia" w:ascii="黑体" w:hAnsi="黑体" w:eastAsia="黑体"/>
          <w:b w:val="0"/>
          <w:sz w:val="21"/>
          <w:szCs w:val="21"/>
          <w:highlight w:val="none"/>
          <w:lang w:val="en-US" w:eastAsia="zh-CN"/>
        </w:rPr>
      </w:pPr>
      <w:r>
        <w:rPr>
          <w:rFonts w:hint="eastAsia" w:ascii="仿宋_GB2312" w:eastAsia="仿宋_GB2312"/>
          <w:color w:val="000000"/>
          <w:sz w:val="21"/>
          <w:szCs w:val="21"/>
          <w:highlight w:val="none"/>
        </w:rPr>
        <w:t>供应商：</w:t>
      </w:r>
      <w:r>
        <w:rPr>
          <w:color w:val="000000"/>
          <w:sz w:val="21"/>
          <w:szCs w:val="21"/>
          <w:highlight w:val="none"/>
        </w:rPr>
        <w:t>__________________</w:t>
      </w:r>
      <w:r>
        <w:rPr>
          <w:rFonts w:hint="eastAsia" w:ascii="仿宋_GB2312" w:eastAsia="仿宋_GB2312"/>
          <w:color w:val="000000"/>
          <w:sz w:val="21"/>
          <w:szCs w:val="21"/>
          <w:highlight w:val="none"/>
        </w:rPr>
        <w:t>（盖章）</w:t>
      </w:r>
      <w:r>
        <w:rPr>
          <w:rFonts w:hint="eastAsia" w:ascii="仿宋_GB2312" w:eastAsia="仿宋_GB2312"/>
          <w:color w:val="000000"/>
          <w:sz w:val="21"/>
          <w:szCs w:val="21"/>
          <w:highlight w:val="none"/>
          <w:lang w:val="en-US" w:eastAsia="zh-CN"/>
        </w:rPr>
        <w:t xml:space="preserve">          </w:t>
      </w:r>
      <w:r>
        <w:rPr>
          <w:rFonts w:hint="eastAsia" w:ascii="仿宋_GB2312" w:eastAsia="仿宋_GB2312"/>
          <w:color w:val="000000"/>
          <w:sz w:val="21"/>
          <w:szCs w:val="21"/>
          <w:highlight w:val="none"/>
        </w:rPr>
        <w:t>年     月     日</w:t>
      </w:r>
    </w:p>
    <w:p>
      <w:pPr>
        <w:rPr>
          <w:rFonts w:hint="eastAsia" w:ascii="黑体" w:hAnsi="黑体" w:eastAsia="黑体"/>
          <w:b w:val="0"/>
          <w:sz w:val="28"/>
          <w:szCs w:val="28"/>
          <w:highlight w:val="none"/>
          <w:lang w:val="en-US" w:eastAsia="zh-CN"/>
        </w:rPr>
      </w:pPr>
      <w:r>
        <w:rPr>
          <w:rFonts w:hint="eastAsia" w:ascii="黑体" w:hAnsi="黑体" w:eastAsia="黑体"/>
          <w:b w:val="0"/>
          <w:sz w:val="28"/>
          <w:szCs w:val="28"/>
          <w:highlight w:val="none"/>
          <w:lang w:val="en-US" w:eastAsia="zh-CN"/>
        </w:rPr>
        <w:br w:type="page"/>
      </w:r>
    </w:p>
    <w:p>
      <w:pPr>
        <w:pStyle w:val="6"/>
        <w:spacing w:before="0" w:after="120" w:line="360" w:lineRule="auto"/>
        <w:jc w:val="center"/>
        <w:outlineLvl w:val="0"/>
        <w:rPr>
          <w:rFonts w:hint="eastAsia" w:ascii="黑体" w:hAnsi="黑体" w:eastAsia="黑体"/>
          <w:b w:val="0"/>
          <w:sz w:val="28"/>
          <w:szCs w:val="28"/>
          <w:highlight w:val="none"/>
        </w:rPr>
      </w:pPr>
      <w:bookmarkStart w:id="44" w:name="_Toc7553"/>
      <w:r>
        <w:rPr>
          <w:rFonts w:hint="eastAsia" w:ascii="黑体" w:hAnsi="黑体" w:eastAsia="黑体"/>
          <w:b w:val="0"/>
          <w:sz w:val="28"/>
          <w:szCs w:val="28"/>
          <w:highlight w:val="none"/>
          <w:lang w:val="en-US" w:eastAsia="zh-CN"/>
        </w:rPr>
        <w:t>1.13信息</w:t>
      </w:r>
      <w:r>
        <w:rPr>
          <w:rFonts w:hint="eastAsia" w:ascii="黑体" w:hAnsi="黑体" w:eastAsia="黑体"/>
          <w:b w:val="0"/>
          <w:sz w:val="28"/>
          <w:szCs w:val="28"/>
          <w:highlight w:val="none"/>
        </w:rPr>
        <w:t>保密协议</w:t>
      </w:r>
      <w:bookmarkEnd w:id="44"/>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鉴于：乙方在中国移动通信集团安徽有限公司实施系统工程规划（或工程设计、工程建设、设备调测与维护、服务支持、合作运营等）期间，乙方人员需要使用甲方网络与业务发展情况、网络拓扑、设备信息、系统账号、用户数据和信息等，双方就前述事宜中所涉及的保密信息达成以下一致：</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 xml:space="preserve"> 本协议所称“保密信息”是指：甲方系统网络与业务发展情况、网络拓扑、设备信息、系统账号、用户数据和信息等。包括但不限于：任何甲方不欲公开的观点、发现、发明、公式、程序、计划、图表、模型、参数、数据、标准和专有技术秘密，和/或其中的任何知识产权。</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甲方向乙方提供保密信息的行为不构成向乙方授予任何与保密信息相关的专利权、专利申请权、商标权、著作权、商业秘密或其它的知识产权。</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乙方承诺仅为工程规划（或工程设计、工程建设、设备调测与维护、服务支持、合作运营等）目的使用保密信息，不为任何其他目的使用保密信息。</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乙方对保密信息的使用应当满足下列要求：乙方应遵守甲方制定的《中国移动通信集团安徽有限公司客户信息保密管理规定》。</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未经甲方的事先书面批准，乙方不得以任何形式或任何方式将保密信息和/或其中的任何部分，披露或透露给任何第三方。乙方有义务妥善保管保密信息，不得复制、泄漏或遗失。乙方亦不得依据保密信息，就任何问题，向任何第三方做出任何建议。</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甲方同意乙方有权向其职员透露或使其接触保密信息和/或其中的任何部分，范围是这些职员应是在工程规划（或工程设计、工程建设、设备调测与维护、服务支持、合作运营等）期间需要使用保密信息的人员，前提是乙方向职员透露或使其接触保密信息前已经从该职员获得了至少与本协议保密义务一样严格的保密承诺。</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乙方的职员违背保密承诺，未按照本协议的规定使用保密信息或向第三方披露保密信息，或依据该等保密信息向第三方做出任何建议，都被视为乙方违反本协议。</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如任何一方违反本协议，违约方应按照《中华人民共和国民法典》等相关法律的相关规定承担责任。</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甲方保留在甲方认为必要的情况下收回所提供的保密信息及其使用权的权利。</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凡因执行本协议所发生的或与本协议有关的一切争议，双方应通过友好协商解决。如果协商不能解决时，申请合肥仲裁委员会依其仲裁时现行有效的仲裁规则进行。</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本保密协议对双方和各自所属/关联公司、机构都具有约束力。</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对于本协议条款的修改，只有经双方授权的代表书面签署后方可生效并对双方具有约束力。</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本协议规定的保密责任的期限为自本协议生效之日起至本协议终止之日止。</w:t>
      </w:r>
    </w:p>
    <w:p>
      <w:pPr>
        <w:keepNext w:val="0"/>
        <w:keepLines w:val="0"/>
        <w:pageBreakBefore w:val="0"/>
        <w:widowControl w:val="0"/>
        <w:kinsoku/>
        <w:wordWrap/>
        <w:overflowPunct/>
        <w:topLinePunct w:val="0"/>
        <w:autoSpaceDE/>
        <w:autoSpaceDN/>
        <w:bidi w:val="0"/>
        <w:adjustRightInd/>
        <w:snapToGrid/>
        <w:spacing w:line="240" w:lineRule="auto"/>
        <w:ind w:firstLine="424" w:firstLineChars="202"/>
        <w:jc w:val="left"/>
        <w:textAlignment w:val="auto"/>
        <w:rPr>
          <w:rFonts w:hint="eastAsia" w:ascii="宋体" w:hAnsi="宋体" w:eastAsia="宋体" w:cs="宋体"/>
          <w:color w:val="000000"/>
          <w:sz w:val="21"/>
          <w:szCs w:val="21"/>
          <w:highlight w:val="none"/>
        </w:rPr>
      </w:pPr>
      <w:r>
        <w:rPr>
          <w:rFonts w:hint="eastAsia" w:ascii="宋体" w:hAnsi="宋体" w:eastAsia="宋体" w:cs="宋体"/>
          <w:color w:val="000000"/>
          <w:sz w:val="21"/>
          <w:szCs w:val="21"/>
          <w:highlight w:val="none"/>
        </w:rPr>
        <w:t>本协议自合同签订之日起生效，有效期至</w:t>
      </w:r>
      <w:r>
        <w:rPr>
          <w:rFonts w:hint="eastAsia" w:ascii="宋体" w:hAnsi="宋体" w:eastAsia="宋体" w:cs="宋体"/>
          <w:color w:val="000000"/>
          <w:sz w:val="21"/>
          <w:szCs w:val="21"/>
          <w:highlight w:val="none"/>
          <w:lang w:val="en-US" w:eastAsia="zh-CN"/>
        </w:rPr>
        <w:t>合同</w:t>
      </w:r>
      <w:r>
        <w:rPr>
          <w:rFonts w:hint="eastAsia" w:ascii="宋体" w:hAnsi="宋体" w:eastAsia="宋体" w:cs="宋体"/>
          <w:color w:val="000000"/>
          <w:sz w:val="21"/>
          <w:szCs w:val="21"/>
          <w:highlight w:val="none"/>
        </w:rPr>
        <w:t>结束。</w:t>
      </w:r>
    </w:p>
    <w:p>
      <w:pPr>
        <w:jc w:val="left"/>
        <w:outlineLvl w:val="9"/>
        <w:rPr>
          <w:rFonts w:hint="eastAsia" w:ascii="黑体" w:hAnsi="黑体" w:eastAsia="黑体"/>
          <w:b w:val="0"/>
          <w:sz w:val="28"/>
          <w:szCs w:val="28"/>
          <w:highlight w:val="none"/>
          <w:lang w:val="en-US" w:eastAsia="zh-CN"/>
        </w:rPr>
      </w:pPr>
      <w:r>
        <w:rPr>
          <w:rFonts w:hint="eastAsia" w:ascii="黑体" w:hAnsi="黑体" w:eastAsia="黑体"/>
          <w:b w:val="0"/>
          <w:sz w:val="28"/>
          <w:szCs w:val="28"/>
          <w:highlight w:val="none"/>
          <w:lang w:val="en-US" w:eastAsia="zh-CN"/>
        </w:rPr>
        <w:br w:type="page"/>
      </w:r>
    </w:p>
    <w:p>
      <w:pPr>
        <w:pStyle w:val="6"/>
        <w:spacing w:before="0" w:after="120" w:line="360" w:lineRule="auto"/>
        <w:jc w:val="center"/>
        <w:outlineLvl w:val="0"/>
        <w:rPr>
          <w:rFonts w:hint="eastAsia" w:ascii="黑体" w:hAnsi="黑体" w:eastAsia="黑体"/>
          <w:b w:val="0"/>
          <w:sz w:val="28"/>
          <w:szCs w:val="28"/>
          <w:highlight w:val="none"/>
          <w:lang w:val="en-US" w:eastAsia="zh-CN"/>
        </w:rPr>
      </w:pPr>
      <w:bookmarkStart w:id="45" w:name="_Toc32036"/>
      <w:r>
        <w:rPr>
          <w:rFonts w:hint="eastAsia" w:ascii="黑体" w:hAnsi="黑体" w:eastAsia="黑体"/>
          <w:b w:val="0"/>
          <w:sz w:val="28"/>
          <w:szCs w:val="28"/>
          <w:highlight w:val="none"/>
          <w:lang w:val="en-US" w:eastAsia="zh-CN"/>
        </w:rPr>
        <w:t>1.14数据安全保密协议</w:t>
      </w:r>
      <w:bookmarkEnd w:id="45"/>
    </w:p>
    <w:p>
      <w:pPr>
        <w:keepNext w:val="0"/>
        <w:keepLines w:val="0"/>
        <w:pageBreakBefore w:val="0"/>
        <w:kinsoku/>
        <w:wordWrap/>
        <w:overflowPunct/>
        <w:topLinePunct w:val="0"/>
        <w:autoSpaceDE/>
        <w:autoSpaceDN/>
        <w:bidi w:val="0"/>
        <w:adjustRightInd/>
        <w:snapToGrid/>
        <w:spacing w:before="120" w:after="120" w:line="240" w:lineRule="auto"/>
        <w:ind w:firstLine="420" w:firstLineChars="200"/>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鉴于甲乙双方已经就项目签署了</w:t>
      </w:r>
      <w:r>
        <w:rPr>
          <w:rFonts w:hint="eastAsia" w:ascii="宋体" w:hAnsi="宋体" w:eastAsia="宋体" w:cs="宋体"/>
          <w:sz w:val="21"/>
          <w:szCs w:val="21"/>
          <w:highlight w:val="none"/>
          <w:lang w:val="en-US" w:eastAsia="zh-CN"/>
        </w:rPr>
        <w:t>对应主合同</w:t>
      </w:r>
      <w:r>
        <w:rPr>
          <w:rFonts w:hint="eastAsia" w:ascii="宋体" w:hAnsi="宋体" w:eastAsia="宋体" w:cs="宋体"/>
          <w:sz w:val="21"/>
          <w:szCs w:val="21"/>
          <w:highlight w:val="none"/>
        </w:rPr>
        <w:t>，双方就前述事宜中所涉及的保密信息达成以下一致：</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本协议所称“保密信息”系指甲方依据</w:t>
      </w:r>
      <w:r>
        <w:rPr>
          <w:rFonts w:hint="eastAsia" w:ascii="宋体" w:hAnsi="宋体" w:eastAsia="宋体" w:cs="宋体"/>
          <w:sz w:val="21"/>
          <w:szCs w:val="21"/>
          <w:highlight w:val="none"/>
          <w:lang w:val="en-US" w:eastAsia="zh-CN"/>
        </w:rPr>
        <w:t>对应主合同</w:t>
      </w:r>
      <w:r>
        <w:rPr>
          <w:rFonts w:hint="eastAsia" w:ascii="宋体" w:hAnsi="宋体" w:eastAsia="宋体" w:cs="宋体"/>
          <w:sz w:val="21"/>
          <w:szCs w:val="21"/>
          <w:highlight w:val="none"/>
        </w:rPr>
        <w:t>以任何方式（包括但不限于书面、口头、可视方式）向乙方提供的，或乙方在其依据</w:t>
      </w:r>
      <w:r>
        <w:rPr>
          <w:rFonts w:hint="eastAsia" w:ascii="宋体" w:hAnsi="宋体" w:eastAsia="宋体" w:cs="宋体"/>
          <w:sz w:val="21"/>
          <w:szCs w:val="21"/>
          <w:highlight w:val="none"/>
          <w:lang w:val="en-US" w:eastAsia="zh-CN"/>
        </w:rPr>
        <w:t>对应主合同</w:t>
      </w:r>
      <w:r>
        <w:rPr>
          <w:rFonts w:hint="eastAsia" w:ascii="宋体" w:hAnsi="宋体" w:eastAsia="宋体" w:cs="宋体"/>
          <w:sz w:val="21"/>
          <w:szCs w:val="21"/>
          <w:highlight w:val="none"/>
        </w:rPr>
        <w:t>为甲方提供服务时所接触到的、以任何形式体现的甲方的任何观点、发现、发明、公式、程序、计划、图表、模型、参数、数据、标准和专有技术秘密，和/或其中的任何知识产权。</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甲方向乙方提供保密信息的行为不构成向乙方授予任何与保密信息相关的专利权、专利申请权、商标权、著作权、商业秘密或其它的知识产权、所有权或其他任何权利。</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乙方对保密信息的使用应当满足下列要求：</w:t>
      </w:r>
    </w:p>
    <w:p>
      <w:pPr>
        <w:keepNext w:val="0"/>
        <w:keepLines w:val="0"/>
        <w:pageBreakBefore w:val="0"/>
        <w:kinsoku/>
        <w:wordWrap/>
        <w:overflowPunct/>
        <w:topLinePunct w:val="0"/>
        <w:autoSpaceDE/>
        <w:autoSpaceDN/>
        <w:bidi w:val="0"/>
        <w:adjustRightInd/>
        <w:snapToGrid/>
        <w:spacing w:line="240" w:lineRule="auto"/>
        <w:ind w:left="425"/>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3.1 乙方应遵守甲方上级单位及甲方公司内部关于数据安全方面的管理规定，包括但不限于中国移动大数据安全管理的各项规定和要求、安徽移动数据安全管理及信息安全管理各项规定和要求（如《中国移动DPI数据安全管理规定》、《中国移动通信集团安徽有限公司DPI数据安全管理规定》、《中国移动通信集团安徽有限公司客户信息安全保护管理实施细则》、《中国移动通信集团安徽有限公司信息安全责任管理办法》等）、以及合同保密相关条款中要求遵守的各项管理规定等。</w:t>
      </w:r>
    </w:p>
    <w:p>
      <w:pPr>
        <w:keepNext w:val="0"/>
        <w:keepLines w:val="0"/>
        <w:pageBreakBefore w:val="0"/>
        <w:kinsoku/>
        <w:wordWrap/>
        <w:overflowPunct/>
        <w:topLinePunct w:val="0"/>
        <w:autoSpaceDE/>
        <w:autoSpaceDN/>
        <w:bidi w:val="0"/>
        <w:adjustRightInd/>
        <w:snapToGrid/>
        <w:spacing w:line="240" w:lineRule="auto"/>
        <w:ind w:left="425"/>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3.2乙方承诺仅为</w:t>
      </w:r>
      <w:r>
        <w:rPr>
          <w:rFonts w:hint="eastAsia" w:ascii="宋体" w:hAnsi="宋体" w:eastAsia="宋体" w:cs="宋体"/>
          <w:sz w:val="21"/>
          <w:szCs w:val="21"/>
          <w:highlight w:val="none"/>
          <w:lang w:val="en-US" w:eastAsia="zh-CN"/>
        </w:rPr>
        <w:t>对应主合同</w:t>
      </w:r>
      <w:r>
        <w:rPr>
          <w:rFonts w:hint="eastAsia" w:ascii="宋体" w:hAnsi="宋体" w:eastAsia="宋体" w:cs="宋体"/>
          <w:sz w:val="21"/>
          <w:szCs w:val="21"/>
          <w:highlight w:val="none"/>
        </w:rPr>
        <w:t>目的使用保密信息，不为任何其他目的使用保密信息。</w:t>
      </w:r>
    </w:p>
    <w:p>
      <w:pPr>
        <w:keepNext w:val="0"/>
        <w:keepLines w:val="0"/>
        <w:pageBreakBefore w:val="0"/>
        <w:kinsoku/>
        <w:wordWrap/>
        <w:overflowPunct/>
        <w:topLinePunct w:val="0"/>
        <w:autoSpaceDE/>
        <w:autoSpaceDN/>
        <w:bidi w:val="0"/>
        <w:adjustRightInd/>
        <w:snapToGrid/>
        <w:spacing w:line="240" w:lineRule="auto"/>
        <w:ind w:left="425"/>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3.3 未经甲方的事先书面批准，乙方不得以任何形式或任何方式将保密信息和/或其中的任何部分，披露或透露给任何第三方。</w:t>
      </w:r>
    </w:p>
    <w:p>
      <w:pPr>
        <w:keepNext w:val="0"/>
        <w:keepLines w:val="0"/>
        <w:pageBreakBefore w:val="0"/>
        <w:kinsoku/>
        <w:wordWrap/>
        <w:overflowPunct/>
        <w:topLinePunct w:val="0"/>
        <w:autoSpaceDE/>
        <w:autoSpaceDN/>
        <w:bidi w:val="0"/>
        <w:adjustRightInd/>
        <w:snapToGrid/>
        <w:spacing w:line="240" w:lineRule="auto"/>
        <w:ind w:left="425"/>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3.4 乙方有义务妥善保管保密信息，不得复制、泄漏或遗失。</w:t>
      </w:r>
    </w:p>
    <w:p>
      <w:pPr>
        <w:keepNext w:val="0"/>
        <w:keepLines w:val="0"/>
        <w:pageBreakBefore w:val="0"/>
        <w:kinsoku/>
        <w:wordWrap/>
        <w:overflowPunct/>
        <w:topLinePunct w:val="0"/>
        <w:autoSpaceDE/>
        <w:autoSpaceDN/>
        <w:bidi w:val="0"/>
        <w:adjustRightInd/>
        <w:snapToGrid/>
        <w:spacing w:line="240" w:lineRule="auto"/>
        <w:ind w:left="425"/>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3.5 乙方不得依据保密信息，就任何问题，向任何第三方做出任何建议。</w:t>
      </w:r>
    </w:p>
    <w:p>
      <w:pPr>
        <w:keepNext w:val="0"/>
        <w:keepLines w:val="0"/>
        <w:pageBreakBefore w:val="0"/>
        <w:kinsoku/>
        <w:wordWrap/>
        <w:overflowPunct/>
        <w:topLinePunct w:val="0"/>
        <w:autoSpaceDE/>
        <w:autoSpaceDN/>
        <w:bidi w:val="0"/>
        <w:adjustRightInd/>
        <w:snapToGrid/>
        <w:spacing w:line="240" w:lineRule="auto"/>
        <w:ind w:left="425"/>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3.6 未经甲方同意，乙方不得利用上述保密信息进行新的研究和开发。</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甲方同意乙方有权向其职员透露或使其接触保密信息和/或其中的任何部分，范围是这些职员应是参与项目运行的项目组(附人员名单身份证电话信息并加盖公章)人员，前提是乙方向职员透露或使其接触保密信息前已经从该职员获得了至少与本协议保密义务一样严格的保密承诺，并要求在项目结束后删除保密信息，不得私人进行备份。</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乙方的职员违背保密承诺，未按照本协议的规定使用保密信息，或未遵守甲方数据安全管理规定造成保密信息泄露，或向第三方披露保密信息，或依据该等保密信息向第三方做出任何建议，或利用保密信息进行新的研究开发，都被视为乙方违反本协议。</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如乙方违反本协议，应当承担因此给甲方造成的一切损失，包括但不限于甲方因此受到的直接、间接、连带、特殊损失，甲方为调查乙方违约所支出的费用，甲方因乙方违反本协议而导致的任何支出、罚金和费用等。</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甲方有权在甲方认为必要的情况下收回所提供的保密信息及其使用权，乙方应配合甲方行使上述权利，按照甲方的要求将所控制的保密信息交回甲方、删除或销毁。</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凡因执行本协议所发生的或与本协议有关的一切争议，双方应通过友好协商解决。如果协商不能解决时，申请【与</w:t>
      </w:r>
      <w:r>
        <w:rPr>
          <w:rFonts w:hint="eastAsia" w:ascii="宋体" w:hAnsi="宋体" w:eastAsia="宋体" w:cs="宋体"/>
          <w:sz w:val="21"/>
          <w:szCs w:val="21"/>
          <w:highlight w:val="none"/>
          <w:lang w:val="en-US" w:eastAsia="zh-CN"/>
        </w:rPr>
        <w:t>对应主合同</w:t>
      </w:r>
      <w:r>
        <w:rPr>
          <w:rFonts w:hint="eastAsia" w:ascii="宋体" w:hAnsi="宋体" w:eastAsia="宋体" w:cs="宋体"/>
          <w:sz w:val="21"/>
          <w:szCs w:val="21"/>
          <w:highlight w:val="none"/>
        </w:rPr>
        <w:t>相同的争议解决方式】。</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本保密协议对双方和各自所属/关联公司、机构都具有约束力。</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对于本协议条款的修改，只有经双方授权的代表书面签署后方可生效并对双方具有约束力。</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本协议规定的保密责任的期限为自本协议生效之日起至保密信息失去其保密性质并为公众所知悉之时为止，不因</w:t>
      </w:r>
      <w:r>
        <w:rPr>
          <w:rFonts w:hint="eastAsia" w:ascii="宋体" w:hAnsi="宋体" w:eastAsia="宋体" w:cs="宋体"/>
          <w:sz w:val="21"/>
          <w:szCs w:val="21"/>
          <w:highlight w:val="none"/>
          <w:lang w:val="en-US" w:eastAsia="zh-CN"/>
        </w:rPr>
        <w:t>对应主合同</w:t>
      </w:r>
      <w:r>
        <w:rPr>
          <w:rFonts w:hint="eastAsia" w:ascii="宋体" w:hAnsi="宋体" w:eastAsia="宋体" w:cs="宋体"/>
          <w:sz w:val="21"/>
          <w:szCs w:val="21"/>
          <w:highlight w:val="none"/>
        </w:rPr>
        <w:t>终止或解除而结束。</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本协议自</w:t>
      </w:r>
      <w:r>
        <w:rPr>
          <w:rFonts w:hint="eastAsia" w:ascii="宋体" w:hAnsi="宋体" w:eastAsia="宋体" w:cs="宋体"/>
          <w:sz w:val="21"/>
          <w:szCs w:val="21"/>
          <w:highlight w:val="none"/>
          <w:lang w:val="en-US" w:eastAsia="zh-CN"/>
        </w:rPr>
        <w:t>对应主合同生效</w:t>
      </w:r>
      <w:r>
        <w:rPr>
          <w:rFonts w:hint="eastAsia" w:ascii="宋体" w:hAnsi="宋体" w:eastAsia="宋体" w:cs="宋体"/>
          <w:sz w:val="21"/>
          <w:szCs w:val="21"/>
          <w:highlight w:val="none"/>
        </w:rPr>
        <w:t>之日起生效。</w:t>
      </w:r>
    </w:p>
    <w:p>
      <w:pPr>
        <w:keepNext w:val="0"/>
        <w:keepLines w:val="0"/>
        <w:pageBreakBefore w:val="0"/>
        <w:widowControl/>
        <w:numPr>
          <w:ilvl w:val="0"/>
          <w:numId w:val="8"/>
        </w:numPr>
        <w:kinsoku/>
        <w:wordWrap/>
        <w:overflowPunct/>
        <w:topLinePunct w:val="0"/>
        <w:autoSpaceDE/>
        <w:autoSpaceDN/>
        <w:bidi w:val="0"/>
        <w:adjustRightInd/>
        <w:snapToGrid/>
        <w:spacing w:line="240" w:lineRule="auto"/>
        <w:textAlignment w:val="auto"/>
        <w:rPr>
          <w:rFonts w:hint="eastAsia" w:ascii="宋体" w:hAnsi="宋体" w:eastAsia="宋体" w:cs="宋体"/>
          <w:sz w:val="21"/>
          <w:szCs w:val="21"/>
          <w:highlight w:val="none"/>
        </w:rPr>
      </w:pPr>
      <w:r>
        <w:rPr>
          <w:rFonts w:hint="eastAsia" w:ascii="宋体" w:hAnsi="宋体" w:eastAsia="宋体" w:cs="宋体"/>
          <w:sz w:val="21"/>
          <w:szCs w:val="21"/>
          <w:highlight w:val="none"/>
        </w:rPr>
        <w:t>本协议壹式两份，甲乙双方各执一份，具有同等法律效力。</w:t>
      </w:r>
    </w:p>
    <w:p>
      <w:pPr>
        <w:spacing w:line="360" w:lineRule="auto"/>
        <w:ind w:left="425" w:hanging="425"/>
        <w:rPr>
          <w:rFonts w:hint="eastAsia" w:ascii="宋体" w:hAnsi="宋体" w:eastAsia="宋体" w:cs="宋体"/>
          <w:sz w:val="21"/>
          <w:szCs w:val="21"/>
          <w:highlight w:val="none"/>
          <w:lang w:val="en-US" w:eastAsia="zh-CN"/>
        </w:rPr>
      </w:pPr>
    </w:p>
    <w:p>
      <w:pPr>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br w:type="page"/>
      </w:r>
    </w:p>
    <w:p>
      <w:pPr>
        <w:pStyle w:val="6"/>
        <w:spacing w:before="0" w:after="120" w:line="360" w:lineRule="auto"/>
        <w:jc w:val="center"/>
        <w:outlineLvl w:val="0"/>
        <w:rPr>
          <w:rFonts w:hint="eastAsia" w:ascii="黑体" w:hAnsi="黑体" w:eastAsia="黑体"/>
          <w:b w:val="0"/>
          <w:sz w:val="28"/>
          <w:szCs w:val="28"/>
          <w:highlight w:val="none"/>
          <w:lang w:val="en-US" w:eastAsia="zh-CN"/>
        </w:rPr>
      </w:pPr>
      <w:bookmarkStart w:id="46" w:name="_Toc11299"/>
      <w:r>
        <w:rPr>
          <w:rFonts w:hint="eastAsia" w:ascii="黑体" w:hAnsi="黑体" w:eastAsia="黑体"/>
          <w:b w:val="0"/>
          <w:sz w:val="28"/>
          <w:szCs w:val="28"/>
          <w:highlight w:val="none"/>
          <w:lang w:val="en-US" w:eastAsia="zh-CN"/>
        </w:rPr>
        <w:t>1.15安徽移动“五条禁令”要求</w:t>
      </w:r>
      <w:bookmarkEnd w:id="46"/>
    </w:p>
    <w:tbl>
      <w:tblPr>
        <w:tblStyle w:val="15"/>
        <w:tblW w:w="10535" w:type="dxa"/>
        <w:jc w:val="center"/>
        <w:tblLayout w:type="fixed"/>
        <w:tblCellMar>
          <w:top w:w="0" w:type="dxa"/>
          <w:left w:w="108" w:type="dxa"/>
          <w:bottom w:w="0" w:type="dxa"/>
          <w:right w:w="108" w:type="dxa"/>
        </w:tblCellMar>
      </w:tblPr>
      <w:tblGrid>
        <w:gridCol w:w="2268"/>
        <w:gridCol w:w="1725"/>
        <w:gridCol w:w="1313"/>
        <w:gridCol w:w="5229"/>
      </w:tblGrid>
      <w:tr>
        <w:tblPrEx>
          <w:tblCellMar>
            <w:top w:w="0" w:type="dxa"/>
            <w:left w:w="108" w:type="dxa"/>
            <w:bottom w:w="0" w:type="dxa"/>
            <w:right w:w="108" w:type="dxa"/>
          </w:tblCellMar>
        </w:tblPrEx>
        <w:trPr>
          <w:trHeight w:val="391" w:hRule="atLeast"/>
          <w:tblHeader/>
          <w:jc w:val="center"/>
        </w:trPr>
        <w:tc>
          <w:tcPr>
            <w:tcW w:w="2268" w:type="dxa"/>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内容</w:t>
            </w:r>
          </w:p>
        </w:tc>
        <w:tc>
          <w:tcPr>
            <w:tcW w:w="1725" w:type="dxa"/>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b/>
                <w:bCs/>
                <w:color w:val="000000"/>
                <w:kern w:val="0"/>
                <w:sz w:val="21"/>
                <w:szCs w:val="21"/>
                <w:highlight w:val="none"/>
              </w:rPr>
            </w:pPr>
            <w:r>
              <w:rPr>
                <w:rFonts w:hint="eastAsia" w:ascii="宋体" w:hAnsi="宋体" w:eastAsia="宋体" w:cs="宋体"/>
                <w:b/>
                <w:bCs/>
                <w:color w:val="000000"/>
                <w:kern w:val="0"/>
                <w:sz w:val="21"/>
                <w:szCs w:val="21"/>
                <w:highlight w:val="none"/>
              </w:rPr>
              <w:t xml:space="preserve">项目 </w:t>
            </w:r>
          </w:p>
        </w:tc>
        <w:tc>
          <w:tcPr>
            <w:tcW w:w="6542" w:type="dxa"/>
            <w:gridSpan w:val="2"/>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b/>
                <w:bCs/>
                <w:kern w:val="0"/>
                <w:sz w:val="21"/>
                <w:szCs w:val="21"/>
                <w:highlight w:val="none"/>
              </w:rPr>
            </w:pPr>
            <w:r>
              <w:rPr>
                <w:rFonts w:hint="eastAsia" w:ascii="宋体" w:hAnsi="宋体" w:eastAsia="宋体" w:cs="宋体"/>
                <w:b/>
                <w:bCs/>
                <w:kern w:val="0"/>
                <w:sz w:val="21"/>
                <w:szCs w:val="21"/>
                <w:highlight w:val="none"/>
              </w:rPr>
              <w:t xml:space="preserve">违规行为界定                                                                                             </w:t>
            </w:r>
          </w:p>
        </w:tc>
      </w:tr>
      <w:tr>
        <w:tblPrEx>
          <w:tblCellMar>
            <w:top w:w="0" w:type="dxa"/>
            <w:left w:w="108" w:type="dxa"/>
            <w:bottom w:w="0" w:type="dxa"/>
            <w:right w:w="108" w:type="dxa"/>
          </w:tblCellMar>
        </w:tblPrEx>
        <w:trPr>
          <w:trHeight w:val="2310" w:hRule="atLeast"/>
          <w:jc w:val="center"/>
        </w:trPr>
        <w:tc>
          <w:tcPr>
            <w:tcW w:w="2268"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严禁泄露或交易客户信息</w:t>
            </w: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个人客户信息</w:t>
            </w:r>
          </w:p>
        </w:tc>
        <w:tc>
          <w:tcPr>
            <w:tcW w:w="6542" w:type="dxa"/>
            <w:gridSpan w:val="2"/>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依据2009年2月通过的《中华人民共和国刑法修正案（七）》，任何将本单位在履行职责或者提供服务过程中获得的公民个人信息出售或者非法提供给他人，窃取或者以其他方法非法获取个人信息，违反国家规定侵入计算机信息系统获取信息或实施非法控制的行为，均属违法行为。包括如下情况：</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（1）任何利用职务之便擅自查询、获取上述客户通信内容信息以及客户通话清单、位置信息、服务密码等隐私信息的行为；</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 xml:space="preserve">（2）除如下四种客户信息正常使用或对外提供的情况外，擅自向他人或外方提供客户信息的行为： </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一是客户凭借有效证件或服务密码等方式通过身份鉴权验证、或委托他人依照公司有关业务规程办理的情况下，根据客户需要协助其查询、获取客户信息。</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二是公司配合公安机关、国家安全机关或者人民检察院，依照法律程序对相关信息进行查询或提取。</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三是在有保密协议或条款约定的前提下，并在取得用户同意的情况下，依照合作协议给业务合作伙伴提供必要的客户信息，仅用于用户定制的电信服务。</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四是按照政府、消协等有关部门处理客户投诉、申诉的要求，向政府、消协等提供仅限于投诉处理相关的必要客户信息。</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在违规行为中，泄漏客户通信内容信息、客户通话清单、位置信息、服务密码等隐私信息的，以及以牟利为目的倒卖客户信息的交易行为违规情节更严重。</w:t>
            </w:r>
          </w:p>
        </w:tc>
      </w:tr>
      <w:tr>
        <w:tblPrEx>
          <w:tblCellMar>
            <w:top w:w="0" w:type="dxa"/>
            <w:left w:w="108" w:type="dxa"/>
            <w:bottom w:w="0" w:type="dxa"/>
            <w:right w:w="108" w:type="dxa"/>
          </w:tblCellMar>
        </w:tblPrEx>
        <w:trPr>
          <w:trHeight w:val="2895"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集团客户信息</w:t>
            </w:r>
          </w:p>
        </w:tc>
        <w:tc>
          <w:tcPr>
            <w:tcW w:w="6542" w:type="dxa"/>
            <w:gridSpan w:val="2"/>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r>
        <w:tblPrEx>
          <w:tblCellMar>
            <w:top w:w="0" w:type="dxa"/>
            <w:left w:w="108" w:type="dxa"/>
            <w:bottom w:w="0" w:type="dxa"/>
            <w:right w:w="108" w:type="dxa"/>
          </w:tblCellMar>
        </w:tblPrEx>
        <w:trPr>
          <w:trHeight w:val="1080" w:hRule="atLeast"/>
          <w:jc w:val="center"/>
        </w:trPr>
        <w:tc>
          <w:tcPr>
            <w:tcW w:w="2268"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严禁发送违法信息，或未经客户同意发送商业广告信息</w:t>
            </w: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公益信息、应急信息</w:t>
            </w:r>
          </w:p>
        </w:tc>
        <w:tc>
          <w:tcPr>
            <w:tcW w:w="6542" w:type="dxa"/>
            <w:gridSpan w:val="2"/>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（1）通过短信、彩信、飞信、IVR、WAP-PUSH、手机邮箱等公司自身的信息端口或技术设备平台违规发送的，包括如下四种情况：</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一是发送任何违法信息。</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二是未经客户同意发送商业广告信息。客户同意指客户通过书面协议、短信上行、网站、WAP等进行确认，均需留有纸质或电子凭证，客户口头同意不算在内。</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三是违背各业务和各端口有关公益信息或应急信息的发送审批、报备流程，假借发送公益信息名义发送商业广告信息。</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四是明显违背公司自身客户关怀类信息发送时间和频次规范发送信息，并给客户造成严重干扰的。</w:t>
            </w:r>
          </w:p>
        </w:tc>
      </w:tr>
      <w:tr>
        <w:tblPrEx>
          <w:tblCellMar>
            <w:top w:w="0" w:type="dxa"/>
            <w:left w:w="108" w:type="dxa"/>
            <w:bottom w:w="0" w:type="dxa"/>
            <w:right w:w="108" w:type="dxa"/>
          </w:tblCellMar>
        </w:tblPrEx>
        <w:trPr>
          <w:trHeight w:val="990"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客户关怀信息</w:t>
            </w:r>
          </w:p>
        </w:tc>
        <w:tc>
          <w:tcPr>
            <w:tcW w:w="6542" w:type="dxa"/>
            <w:gridSpan w:val="2"/>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r>
        <w:tblPrEx>
          <w:tblCellMar>
            <w:top w:w="0" w:type="dxa"/>
            <w:left w:w="108" w:type="dxa"/>
            <w:bottom w:w="0" w:type="dxa"/>
            <w:right w:w="108" w:type="dxa"/>
          </w:tblCellMar>
        </w:tblPrEx>
        <w:trPr>
          <w:trHeight w:val="720"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商业广告信息</w:t>
            </w:r>
          </w:p>
        </w:tc>
        <w:tc>
          <w:tcPr>
            <w:tcW w:w="6542"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2）明显违背公司集团客户信息群发业务受理流程和规范，为集团客户受理违法信息群发或商业广告信息擅自群发业务，致使集团客户通过行业端口发送违规信息或在未取得客户同意的前提下发送商业广告信息的。</w:t>
            </w:r>
          </w:p>
        </w:tc>
      </w:tr>
      <w:tr>
        <w:tblPrEx>
          <w:tblCellMar>
            <w:top w:w="0" w:type="dxa"/>
            <w:left w:w="108" w:type="dxa"/>
            <w:bottom w:w="0" w:type="dxa"/>
            <w:right w:w="108" w:type="dxa"/>
          </w:tblCellMar>
        </w:tblPrEx>
        <w:trPr>
          <w:trHeight w:val="557" w:hRule="atLeast"/>
          <w:jc w:val="center"/>
        </w:trPr>
        <w:tc>
          <w:tcPr>
            <w:tcW w:w="2268"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严禁未经客户确认擅自为客户开通或变更业务</w:t>
            </w:r>
          </w:p>
        </w:tc>
        <w:tc>
          <w:tcPr>
            <w:tcW w:w="303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开通各类移动通信基础业务、资费套餐、数据及信息业务(包括免费赠送、免费试用的业务);变更的业务包括：除了上述业务开通明确的范围外，还包括客户协议、客户品牌。</w:t>
            </w:r>
          </w:p>
        </w:tc>
        <w:tc>
          <w:tcPr>
            <w:tcW w:w="5229"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除了客户通过书面协议、短信上行、网站、WAP等进行确认并留有纸质或电子凭证外，其他均属未经客户确认，客户口头同意也属未经客户确认。凡未经客户确认开通或变更上述业务的均属违规。</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确因技术业务升级、政府统一要求等特殊原因被迫变更业务的，在无法取得客户确认的情况下，应通过发布公告、一对一通知等多种方式告知客户并留有记录，同时向政府主管部门报备。</w:t>
            </w:r>
          </w:p>
        </w:tc>
      </w:tr>
      <w:tr>
        <w:tblPrEx>
          <w:tblCellMar>
            <w:top w:w="0" w:type="dxa"/>
            <w:left w:w="108" w:type="dxa"/>
            <w:bottom w:w="0" w:type="dxa"/>
            <w:right w:w="108" w:type="dxa"/>
          </w:tblCellMar>
        </w:tblPrEx>
        <w:trPr>
          <w:trHeight w:val="1485"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303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开通集团客户信息化产品(包括免费赠送、免费试用的业务);变更的业务包括：除了上述业务开通明确的范围外，还包括客户协议、客户品牌。</w:t>
            </w:r>
          </w:p>
        </w:tc>
        <w:tc>
          <w:tcPr>
            <w:tcW w:w="5229"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r>
        <w:tblPrEx>
          <w:tblCellMar>
            <w:top w:w="0" w:type="dxa"/>
            <w:left w:w="108" w:type="dxa"/>
            <w:bottom w:w="0" w:type="dxa"/>
            <w:right w:w="108" w:type="dxa"/>
          </w:tblCellMar>
        </w:tblPrEx>
        <w:trPr>
          <w:trHeight w:val="750" w:hRule="atLeast"/>
          <w:jc w:val="center"/>
        </w:trPr>
        <w:tc>
          <w:tcPr>
            <w:tcW w:w="2268" w:type="dxa"/>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严禁串通、包庇、纵容增值服务提供商泄漏客户信息、擅自为客户开通数据及信息化业务或实施其它侵害客户权益的行为</w:t>
            </w:r>
          </w:p>
        </w:tc>
        <w:tc>
          <w:tcPr>
            <w:tcW w:w="3038" w:type="dxa"/>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包括业务提供商（SP）、内容提供商（CP）等</w:t>
            </w:r>
          </w:p>
        </w:tc>
        <w:tc>
          <w:tcPr>
            <w:tcW w:w="5229" w:type="dxa"/>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一是通过向增值服务提供商提供业务或技术手段便利帮助其泄漏客户信息、擅自开通业务或实施其它侵害客户权益的行为。</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二是在对增值服务提供商侵害客户权益行为知情的情况下，对其违规行为包庇、纵容的。</w:t>
            </w:r>
          </w:p>
        </w:tc>
      </w:tr>
      <w:tr>
        <w:tblPrEx>
          <w:tblCellMar>
            <w:top w:w="0" w:type="dxa"/>
            <w:left w:w="108" w:type="dxa"/>
            <w:bottom w:w="0" w:type="dxa"/>
            <w:right w:w="108" w:type="dxa"/>
          </w:tblCellMar>
        </w:tblPrEx>
        <w:trPr>
          <w:trHeight w:val="600" w:hRule="atLeast"/>
          <w:jc w:val="center"/>
        </w:trPr>
        <w:tc>
          <w:tcPr>
            <w:tcW w:w="2268" w:type="dxa"/>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业务集成商（SI）</w:t>
            </w:r>
          </w:p>
        </w:tc>
        <w:tc>
          <w:tcPr>
            <w:tcW w:w="6542" w:type="dxa"/>
            <w:gridSpan w:val="2"/>
            <w:tcBorders>
              <w:top w:val="nil"/>
              <w:left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r>
        <w:tblPrEx>
          <w:tblCellMar>
            <w:top w:w="0" w:type="dxa"/>
            <w:left w:w="108" w:type="dxa"/>
            <w:bottom w:w="0" w:type="dxa"/>
            <w:right w:w="108" w:type="dxa"/>
          </w:tblCellMar>
        </w:tblPrEx>
        <w:trPr>
          <w:trHeight w:val="495" w:hRule="atLeast"/>
          <w:jc w:val="center"/>
        </w:trPr>
        <w:tc>
          <w:tcPr>
            <w:tcW w:w="2268"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严禁串通、包庇、纵容渠道或系统合作商泄漏客户信息、侵吞客户话费、擅自过户或销号、倒卖卡号资源或实施其它侵害客户权益的行为</w:t>
            </w: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包括渠道合作商，渠道代理商，</w:t>
            </w:r>
          </w:p>
        </w:tc>
        <w:tc>
          <w:tcPr>
            <w:tcW w:w="6542" w:type="dxa"/>
            <w:gridSpan w:val="2"/>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一是通过向渠道或系统合作商提供业务或技术手段等便利帮助其泄漏客户信息、侵吞客户话费、擅自过户或销号、倒卖卡号资源或实施其它侵害客户权益的行为。</w:t>
            </w:r>
            <w:r>
              <w:rPr>
                <w:rFonts w:hint="eastAsia" w:ascii="宋体" w:hAnsi="宋体" w:eastAsia="宋体" w:cs="宋体"/>
                <w:kern w:val="0"/>
                <w:sz w:val="21"/>
                <w:szCs w:val="21"/>
                <w:highlight w:val="none"/>
              </w:rPr>
              <w:br w:type="textWrapping"/>
            </w:r>
            <w:r>
              <w:rPr>
                <w:rFonts w:hint="eastAsia" w:ascii="宋体" w:hAnsi="宋体" w:eastAsia="宋体" w:cs="宋体"/>
                <w:kern w:val="0"/>
                <w:sz w:val="21"/>
                <w:szCs w:val="21"/>
                <w:highlight w:val="none"/>
              </w:rPr>
              <w:t>二是在对渠道或系统合作商侵害客户权益行为知情的情况下，对其违规行为包庇、纵容的。</w:t>
            </w:r>
          </w:p>
        </w:tc>
      </w:tr>
      <w:tr>
        <w:tblPrEx>
          <w:tblCellMar>
            <w:top w:w="0" w:type="dxa"/>
            <w:left w:w="108" w:type="dxa"/>
            <w:bottom w:w="0" w:type="dxa"/>
            <w:right w:w="108" w:type="dxa"/>
          </w:tblCellMar>
        </w:tblPrEx>
        <w:trPr>
          <w:trHeight w:val="720"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业务支撑系统、信息管理系统等设备提供商、系统集成商、系统维护商等</w:t>
            </w:r>
          </w:p>
        </w:tc>
        <w:tc>
          <w:tcPr>
            <w:tcW w:w="6542" w:type="dxa"/>
            <w:gridSpan w:val="2"/>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r>
        <w:tblPrEx>
          <w:tblCellMar>
            <w:top w:w="0" w:type="dxa"/>
            <w:left w:w="108" w:type="dxa"/>
            <w:bottom w:w="0" w:type="dxa"/>
            <w:right w:w="108" w:type="dxa"/>
          </w:tblCellMar>
        </w:tblPrEx>
        <w:trPr>
          <w:trHeight w:val="375"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积分礼品供货商和物流商</w:t>
            </w:r>
          </w:p>
        </w:tc>
        <w:tc>
          <w:tcPr>
            <w:tcW w:w="6542" w:type="dxa"/>
            <w:gridSpan w:val="2"/>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r>
        <w:tblPrEx>
          <w:tblCellMar>
            <w:top w:w="0" w:type="dxa"/>
            <w:left w:w="108" w:type="dxa"/>
            <w:bottom w:w="0" w:type="dxa"/>
            <w:right w:w="108" w:type="dxa"/>
          </w:tblCellMar>
        </w:tblPrEx>
        <w:trPr>
          <w:trHeight w:val="360" w:hRule="atLeast"/>
          <w:jc w:val="center"/>
        </w:trPr>
        <w:tc>
          <w:tcPr>
            <w:tcW w:w="2268"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c>
          <w:tcPr>
            <w:tcW w:w="172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val="0"/>
              <w:jc w:val="center"/>
              <w:textAlignment w:val="auto"/>
              <w:rPr>
                <w:rFonts w:hint="eastAsia" w:ascii="宋体" w:hAnsi="宋体" w:eastAsia="宋体" w:cs="宋体"/>
                <w:kern w:val="0"/>
                <w:sz w:val="21"/>
                <w:szCs w:val="21"/>
                <w:highlight w:val="none"/>
              </w:rPr>
            </w:pPr>
            <w:r>
              <w:rPr>
                <w:rFonts w:hint="eastAsia" w:ascii="宋体" w:hAnsi="宋体" w:eastAsia="宋体" w:cs="宋体"/>
                <w:kern w:val="0"/>
                <w:sz w:val="21"/>
                <w:szCs w:val="21"/>
                <w:highlight w:val="none"/>
              </w:rPr>
              <w:t>网络系统</w:t>
            </w:r>
          </w:p>
        </w:tc>
        <w:tc>
          <w:tcPr>
            <w:tcW w:w="6542" w:type="dxa"/>
            <w:gridSpan w:val="2"/>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val="0"/>
              <w:jc w:val="left"/>
              <w:textAlignment w:val="auto"/>
              <w:rPr>
                <w:rFonts w:hint="eastAsia" w:ascii="宋体" w:hAnsi="宋体" w:eastAsia="宋体" w:cs="宋体"/>
                <w:kern w:val="0"/>
                <w:sz w:val="21"/>
                <w:szCs w:val="21"/>
                <w:highlight w:val="none"/>
              </w:rPr>
            </w:pPr>
          </w:p>
        </w:tc>
      </w:tr>
    </w:tbl>
    <w:p>
      <w:pPr>
        <w:rPr>
          <w:highlight w:val="none"/>
        </w:rPr>
      </w:pPr>
    </w:p>
    <w:p>
      <w:pPr>
        <w:rPr>
          <w:highlight w:val="none"/>
        </w:rPr>
      </w:pPr>
    </w:p>
    <w:p>
      <w:pPr>
        <w:pStyle w:val="21"/>
        <w:pageBreakBefore w:val="0"/>
        <w:widowControl w:val="0"/>
        <w:tabs>
          <w:tab w:val="left" w:pos="1620"/>
        </w:tabs>
        <w:kinsoku/>
        <w:wordWrap/>
        <w:overflowPunct/>
        <w:topLinePunct w:val="0"/>
        <w:autoSpaceDE/>
        <w:autoSpaceDN/>
        <w:bidi w:val="0"/>
        <w:adjustRightInd w:val="0"/>
        <w:snapToGrid/>
        <w:spacing w:line="360" w:lineRule="auto"/>
        <w:ind w:firstLine="600"/>
        <w:jc w:val="both"/>
        <w:textAlignment w:val="baseline"/>
        <w:rPr>
          <w:rFonts w:hint="eastAsia" w:ascii="黑体" w:hAnsi="黑体" w:eastAsia="黑体"/>
          <w:b w:val="0"/>
          <w:sz w:val="28"/>
          <w:szCs w:val="28"/>
          <w:highlight w:val="none"/>
          <w:lang w:val="en-US" w:eastAsia="zh-CN"/>
        </w:rPr>
      </w:pPr>
      <w:bookmarkStart w:id="47" w:name="_Toc2465"/>
    </w:p>
    <w:p>
      <w:pPr>
        <w:pStyle w:val="6"/>
        <w:spacing w:before="0" w:after="0" w:line="240" w:lineRule="auto"/>
        <w:jc w:val="center"/>
        <w:outlineLvl w:val="0"/>
        <w:rPr>
          <w:rFonts w:hint="default" w:ascii="黑体" w:hAnsi="黑体" w:eastAsia="黑体"/>
          <w:b w:val="0"/>
          <w:sz w:val="28"/>
          <w:szCs w:val="28"/>
          <w:highlight w:val="none"/>
          <w:lang w:val="en-US" w:eastAsia="zh-CN"/>
        </w:rPr>
      </w:pPr>
      <w:r>
        <w:rPr>
          <w:rFonts w:hint="eastAsia" w:ascii="黑体" w:hAnsi="黑体" w:eastAsia="黑体"/>
          <w:b w:val="0"/>
          <w:sz w:val="28"/>
          <w:szCs w:val="28"/>
          <w:highlight w:val="none"/>
          <w:lang w:val="en-US" w:eastAsia="zh-CN"/>
        </w:rPr>
        <w:t>1.16 研发项目承诺（研发项目适用）</w:t>
      </w:r>
      <w:bookmarkEnd w:id="47"/>
    </w:p>
    <w:p>
      <w:pPr>
        <w:pStyle w:val="21"/>
        <w:pageBreakBefore w:val="0"/>
        <w:widowControl w:val="0"/>
        <w:tabs>
          <w:tab w:val="left" w:pos="1620"/>
        </w:tabs>
        <w:kinsoku/>
        <w:wordWrap/>
        <w:overflowPunct/>
        <w:topLinePunct w:val="0"/>
        <w:autoSpaceDE/>
        <w:autoSpaceDN/>
        <w:bidi w:val="0"/>
        <w:adjustRightInd w:val="0"/>
        <w:snapToGrid/>
        <w:spacing w:line="360" w:lineRule="auto"/>
        <w:ind w:firstLine="600"/>
        <w:jc w:val="both"/>
        <w:textAlignment w:val="baseline"/>
        <w:rPr>
          <w:rFonts w:hint="eastAsia" w:ascii="宋体" w:hAnsi="宋体" w:eastAsia="宋体" w:cs="宋体"/>
          <w:sz w:val="24"/>
          <w:szCs w:val="24"/>
          <w:highlight w:val="none"/>
        </w:rPr>
      </w:pPr>
      <w:r>
        <w:rPr>
          <w:rFonts w:hint="eastAsia" w:ascii="宋体" w:hAnsi="宋体" w:eastAsia="宋体" w:cs="宋体"/>
          <w:sz w:val="24"/>
          <w:szCs w:val="24"/>
          <w:highlight w:val="none"/>
        </w:rPr>
        <w:t>若后期本项目被</w:t>
      </w:r>
      <w:r>
        <w:rPr>
          <w:rFonts w:hint="eastAsia" w:ascii="宋体" w:hAnsi="宋体" w:eastAsia="宋体" w:cs="宋体"/>
          <w:sz w:val="24"/>
          <w:szCs w:val="24"/>
          <w:highlight w:val="none"/>
          <w:lang w:val="en-US" w:eastAsia="zh-CN"/>
        </w:rPr>
        <w:t>招标（采购）人</w:t>
      </w:r>
      <w:r>
        <w:rPr>
          <w:rFonts w:hint="eastAsia" w:ascii="宋体" w:hAnsi="宋体" w:eastAsia="宋体" w:cs="宋体"/>
          <w:sz w:val="24"/>
          <w:szCs w:val="24"/>
          <w:highlight w:val="none"/>
        </w:rPr>
        <w:t>确定为加计扣除的研发项目，则</w:t>
      </w:r>
      <w:r>
        <w:rPr>
          <w:rFonts w:hint="eastAsia" w:ascii="宋体" w:hAnsi="宋体" w:eastAsia="宋体" w:cs="宋体"/>
          <w:sz w:val="24"/>
          <w:szCs w:val="24"/>
          <w:highlight w:val="none"/>
          <w:lang w:val="en-US" w:eastAsia="zh-CN"/>
        </w:rPr>
        <w:t>中标（中选/应答）方</w:t>
      </w:r>
      <w:r>
        <w:rPr>
          <w:rFonts w:hint="eastAsia" w:ascii="宋体" w:hAnsi="宋体" w:eastAsia="宋体" w:cs="宋体"/>
          <w:sz w:val="24"/>
          <w:szCs w:val="24"/>
          <w:highlight w:val="none"/>
        </w:rPr>
        <w:t>承诺按</w:t>
      </w:r>
      <w:r>
        <w:rPr>
          <w:rFonts w:hint="eastAsia" w:ascii="宋体" w:hAnsi="宋体" w:eastAsia="宋体" w:cs="宋体"/>
          <w:sz w:val="24"/>
          <w:szCs w:val="24"/>
          <w:highlight w:val="none"/>
          <w:lang w:val="en-US" w:eastAsia="zh-CN"/>
        </w:rPr>
        <w:t>招标（采购）人</w:t>
      </w:r>
      <w:r>
        <w:rPr>
          <w:rFonts w:hint="eastAsia" w:ascii="宋体" w:hAnsi="宋体" w:eastAsia="宋体" w:cs="宋体"/>
          <w:sz w:val="24"/>
          <w:szCs w:val="24"/>
          <w:highlight w:val="none"/>
        </w:rPr>
        <w:t>要求免费办理合同的属地化登记备案工作，并确保顺利获取本项目合同的登记备案回执。</w:t>
      </w:r>
    </w:p>
    <w:p>
      <w:pPr>
        <w:rPr>
          <w:rFonts w:hint="eastAsia" w:ascii="宋体" w:hAnsi="宋体" w:eastAsia="宋体" w:cs="宋体"/>
          <w:sz w:val="21"/>
          <w:szCs w:val="21"/>
          <w:highlight w:val="none"/>
        </w:rPr>
      </w:pPr>
      <w:r>
        <w:rPr>
          <w:rFonts w:hint="eastAsia" w:ascii="宋体" w:hAnsi="宋体" w:eastAsia="宋体" w:cs="宋体"/>
          <w:sz w:val="21"/>
          <w:szCs w:val="21"/>
          <w:highlight w:val="none"/>
        </w:rPr>
        <w:br w:type="page"/>
      </w:r>
    </w:p>
    <w:p>
      <w:pPr>
        <w:pStyle w:val="2"/>
        <w:rPr>
          <w:rFonts w:hint="eastAsia"/>
          <w:highlight w:val="none"/>
          <w:lang w:val="en-US" w:eastAsia="zh-CN"/>
        </w:rPr>
      </w:pPr>
    </w:p>
    <w:p>
      <w:pPr>
        <w:jc w:val="both"/>
        <w:outlineLvl w:val="0"/>
        <w:rPr>
          <w:rFonts w:hint="default" w:ascii="宋体" w:hAnsi="宋体" w:eastAsia="宋体" w:cs="宋体"/>
          <w:b/>
          <w:bCs/>
          <w:kern w:val="2"/>
          <w:sz w:val="28"/>
          <w:szCs w:val="28"/>
          <w:highlight w:val="none"/>
          <w:lang w:val="en-US" w:eastAsia="zh-CN"/>
        </w:rPr>
      </w:pPr>
      <w:bookmarkStart w:id="48" w:name="_Toc29993"/>
      <w:r>
        <w:rPr>
          <w:rFonts w:hint="eastAsia" w:ascii="黑体" w:hAnsi="黑体" w:eastAsia="黑体"/>
          <w:b w:val="0"/>
          <w:sz w:val="28"/>
          <w:szCs w:val="28"/>
          <w:highlight w:val="none"/>
          <w:lang w:val="en-US" w:eastAsia="zh-CN"/>
        </w:rPr>
        <w:t>备注：</w:t>
      </w:r>
      <w:r>
        <w:rPr>
          <w:rFonts w:hint="eastAsia" w:ascii="宋体" w:hAnsi="宋体" w:eastAsia="宋体" w:cs="宋体"/>
          <w:b/>
          <w:bCs/>
          <w:kern w:val="2"/>
          <w:sz w:val="28"/>
          <w:szCs w:val="28"/>
          <w:highlight w:val="none"/>
          <w:lang w:val="en-US" w:eastAsia="zh-CN"/>
        </w:rPr>
        <w:t>安徽移动供应商协同门户注册说明（</w:t>
      </w:r>
      <w:r>
        <w:rPr>
          <w:rFonts w:hint="eastAsia" w:ascii="宋体" w:hAnsi="宋体" w:eastAsia="宋体" w:cs="宋体"/>
          <w:b/>
          <w:bCs/>
          <w:color w:val="FF0000"/>
          <w:kern w:val="2"/>
          <w:sz w:val="28"/>
          <w:szCs w:val="28"/>
          <w:highlight w:val="none"/>
          <w:lang w:val="en-US" w:eastAsia="zh-CN"/>
        </w:rPr>
        <w:t>签合同时此节可删除</w:t>
      </w:r>
      <w:r>
        <w:rPr>
          <w:rFonts w:hint="eastAsia" w:ascii="宋体" w:hAnsi="宋体" w:eastAsia="宋体" w:cs="宋体"/>
          <w:b/>
          <w:bCs/>
          <w:kern w:val="2"/>
          <w:sz w:val="28"/>
          <w:szCs w:val="28"/>
          <w:highlight w:val="none"/>
          <w:lang w:val="en-US" w:eastAsia="zh-CN"/>
        </w:rPr>
        <w:t>）</w:t>
      </w:r>
      <w:bookmarkEnd w:id="48"/>
    </w:p>
    <w:p>
      <w:pPr>
        <w:ind w:firstLine="409" w:firstLineChars="195"/>
        <w:jc w:val="both"/>
        <w:rPr>
          <w:rFonts w:hint="eastAsia" w:ascii="宋体" w:hAnsi="宋体" w:eastAsia="宋体" w:cs="宋体"/>
          <w:kern w:val="2"/>
          <w:szCs w:val="21"/>
          <w:highlight w:val="none"/>
          <w:lang w:val="en-US" w:eastAsia="zh-CN"/>
        </w:rPr>
      </w:pPr>
      <w:r>
        <w:rPr>
          <w:rFonts w:hint="eastAsia" w:ascii="宋体" w:hAnsi="宋体" w:eastAsia="宋体" w:cs="宋体"/>
          <w:kern w:val="2"/>
          <w:szCs w:val="21"/>
          <w:highlight w:val="none"/>
          <w:lang w:val="en-US" w:eastAsia="zh-CN"/>
        </w:rPr>
        <w:t>详见：  https://docs.qq.com/sheet/DQW9YU0tEbUNwTG9r</w:t>
      </w:r>
    </w:p>
    <w:sectPr>
      <w:pgSz w:w="11906" w:h="16838"/>
      <w:pgMar w:top="1134" w:right="1020" w:bottom="1020" w:left="102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0593418"/>
      <w:docPartObj>
        <w:docPartGallery w:val="autotext"/>
      </w:docPartObj>
    </w:sdtPr>
    <w:sdtContent>
      <w:p>
        <w:pPr>
          <w:pStyle w:val="11"/>
          <w:jc w:val="center"/>
        </w:pPr>
        <w:r>
          <w:fldChar w:fldCharType="begin"/>
        </w:r>
        <w:r>
          <w:instrText xml:space="preserve">PAGE   \* MERGEFORMAT</w:instrText>
        </w:r>
        <w:r>
          <w:fldChar w:fldCharType="separate"/>
        </w:r>
        <w:r>
          <w:rPr>
            <w:lang w:val="zh-CN"/>
          </w:rPr>
          <w:t>7</w:t>
        </w:r>
        <w:r>
          <w:fldChar w:fldCharType="end"/>
        </w:r>
      </w:p>
    </w:sdtContent>
  </w:sdt>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ascii="宋体" w:hAnsi="宋体" w:eastAsia="宋体"/>
      </w:rPr>
    </w:pPr>
    <w:r>
      <w:rPr>
        <w:rFonts w:hint="eastAsia" w:ascii="宋体" w:hAnsi="宋体" w:eastAsia="宋体"/>
      </w:rPr>
      <w:t>《安徽移动供应商合作规则》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338F2C"/>
    <w:multiLevelType w:val="singleLevel"/>
    <w:tmpl w:val="B3338F2C"/>
    <w:lvl w:ilvl="0" w:tentative="0">
      <w:start w:val="1"/>
      <w:numFmt w:val="bullet"/>
      <w:lvlText w:val=""/>
      <w:lvlJc w:val="left"/>
      <w:pPr>
        <w:ind w:left="420" w:hanging="420"/>
      </w:pPr>
      <w:rPr>
        <w:rFonts w:hint="default" w:ascii="Wingdings" w:hAnsi="Wingdings"/>
      </w:rPr>
    </w:lvl>
  </w:abstractNum>
  <w:abstractNum w:abstractNumId="1">
    <w:nsid w:val="0F4E5E96"/>
    <w:multiLevelType w:val="multilevel"/>
    <w:tmpl w:val="0F4E5E96"/>
    <w:lvl w:ilvl="0" w:tentative="0">
      <w:start w:val="1"/>
      <w:numFmt w:val="decimal"/>
      <w:lvlText w:val="%1"/>
      <w:lvlJc w:val="left"/>
      <w:pPr>
        <w:tabs>
          <w:tab w:val="left" w:pos="920"/>
        </w:tabs>
        <w:ind w:left="920" w:hanging="360"/>
      </w:pPr>
      <w:rPr>
        <w:rFonts w:hint="default"/>
      </w:rPr>
    </w:lvl>
    <w:lvl w:ilvl="1" w:tentative="0">
      <w:start w:val="1"/>
      <w:numFmt w:val="decimal"/>
      <w:lvlText w:val="%2、"/>
      <w:lvlJc w:val="left"/>
      <w:pPr>
        <w:tabs>
          <w:tab w:val="left" w:pos="1340"/>
        </w:tabs>
        <w:ind w:left="1340" w:hanging="360"/>
      </w:pPr>
      <w:rPr>
        <w:rFonts w:hint="default"/>
      </w:rPr>
    </w:lvl>
    <w:lvl w:ilvl="2" w:tentative="0">
      <w:start w:val="3"/>
      <w:numFmt w:val="decimal"/>
      <w:lvlText w:val="%3．"/>
      <w:lvlJc w:val="left"/>
      <w:pPr>
        <w:tabs>
          <w:tab w:val="left" w:pos="1760"/>
        </w:tabs>
        <w:ind w:left="1760" w:hanging="360"/>
      </w:pPr>
      <w:rPr>
        <w:rFonts w:hint="default"/>
      </w:rPr>
    </w:lvl>
    <w:lvl w:ilvl="3" w:tentative="0">
      <w:start w:val="1"/>
      <w:numFmt w:val="decimal"/>
      <w:lvlText w:val="%4."/>
      <w:lvlJc w:val="left"/>
      <w:pPr>
        <w:tabs>
          <w:tab w:val="left" w:pos="2240"/>
        </w:tabs>
        <w:ind w:left="2240" w:hanging="420"/>
      </w:pPr>
    </w:lvl>
    <w:lvl w:ilvl="4" w:tentative="0">
      <w:start w:val="1"/>
      <w:numFmt w:val="lowerLetter"/>
      <w:lvlText w:val="%5)"/>
      <w:lvlJc w:val="left"/>
      <w:pPr>
        <w:tabs>
          <w:tab w:val="left" w:pos="2660"/>
        </w:tabs>
        <w:ind w:left="2660" w:hanging="420"/>
      </w:pPr>
    </w:lvl>
    <w:lvl w:ilvl="5" w:tentative="0">
      <w:start w:val="1"/>
      <w:numFmt w:val="lowerRoman"/>
      <w:lvlText w:val="%6."/>
      <w:lvlJc w:val="right"/>
      <w:pPr>
        <w:tabs>
          <w:tab w:val="left" w:pos="3080"/>
        </w:tabs>
        <w:ind w:left="3080" w:hanging="420"/>
      </w:pPr>
    </w:lvl>
    <w:lvl w:ilvl="6" w:tentative="0">
      <w:start w:val="1"/>
      <w:numFmt w:val="decimal"/>
      <w:lvlText w:val="%7."/>
      <w:lvlJc w:val="left"/>
      <w:pPr>
        <w:tabs>
          <w:tab w:val="left" w:pos="3500"/>
        </w:tabs>
        <w:ind w:left="3500" w:hanging="420"/>
      </w:pPr>
    </w:lvl>
    <w:lvl w:ilvl="7" w:tentative="0">
      <w:start w:val="1"/>
      <w:numFmt w:val="lowerLetter"/>
      <w:lvlText w:val="%8)"/>
      <w:lvlJc w:val="left"/>
      <w:pPr>
        <w:tabs>
          <w:tab w:val="left" w:pos="3920"/>
        </w:tabs>
        <w:ind w:left="3920" w:hanging="420"/>
      </w:pPr>
    </w:lvl>
    <w:lvl w:ilvl="8" w:tentative="0">
      <w:start w:val="1"/>
      <w:numFmt w:val="lowerRoman"/>
      <w:lvlText w:val="%9."/>
      <w:lvlJc w:val="right"/>
      <w:pPr>
        <w:tabs>
          <w:tab w:val="left" w:pos="4340"/>
        </w:tabs>
        <w:ind w:left="4340" w:hanging="420"/>
      </w:pPr>
    </w:lvl>
  </w:abstractNum>
  <w:abstractNum w:abstractNumId="2">
    <w:nsid w:val="1E137474"/>
    <w:multiLevelType w:val="multilevel"/>
    <w:tmpl w:val="1E137474"/>
    <w:lvl w:ilvl="0" w:tentative="0">
      <w:start w:val="3"/>
      <w:numFmt w:val="decimal"/>
      <w:lvlText w:val="%1"/>
      <w:lvlJc w:val="left"/>
      <w:pPr>
        <w:ind w:left="450" w:hanging="45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3">
    <w:nsid w:val="55555517"/>
    <w:multiLevelType w:val="multilevel"/>
    <w:tmpl w:val="55555517"/>
    <w:lvl w:ilvl="0" w:tentative="0">
      <w:start w:val="1"/>
      <w:numFmt w:val="decimal"/>
      <w:lvlText w:val="%1."/>
      <w:lvlJc w:val="left"/>
      <w:pPr>
        <w:tabs>
          <w:tab w:val="left" w:pos="780"/>
        </w:tabs>
        <w:ind w:left="780" w:hanging="360"/>
      </w:pPr>
      <w:rPr>
        <w:color w:val="000000"/>
      </w:rPr>
    </w:lvl>
    <w:lvl w:ilvl="1" w:tentative="0">
      <w:start w:val="1"/>
      <w:numFmt w:val="decimal"/>
      <w:lvlText w:val="%2."/>
      <w:lvlJc w:val="left"/>
      <w:pPr>
        <w:tabs>
          <w:tab w:val="left" w:pos="3054"/>
        </w:tabs>
        <w:ind w:left="3054" w:hanging="360"/>
      </w:pPr>
      <w:rPr>
        <w:rFonts w:hint="default"/>
        <w:color w:val="00000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57E82980"/>
    <w:multiLevelType w:val="singleLevel"/>
    <w:tmpl w:val="57E82980"/>
    <w:lvl w:ilvl="0" w:tentative="0">
      <w:start w:val="1"/>
      <w:numFmt w:val="decimal"/>
      <w:lvlText w:val="%1."/>
      <w:lvlJc w:val="left"/>
      <w:pPr>
        <w:tabs>
          <w:tab w:val="left" w:pos="425"/>
        </w:tabs>
        <w:ind w:left="425" w:hanging="425"/>
      </w:pPr>
    </w:lvl>
  </w:abstractNum>
  <w:abstractNum w:abstractNumId="5">
    <w:nsid w:val="5E215D09"/>
    <w:multiLevelType w:val="multilevel"/>
    <w:tmpl w:val="5E215D09"/>
    <w:lvl w:ilvl="0" w:tentative="0">
      <w:start w:val="1"/>
      <w:numFmt w:val="lowerLetter"/>
      <w:lvlText w:val="%1)"/>
      <w:lvlJc w:val="left"/>
      <w:pPr>
        <w:tabs>
          <w:tab w:val="left" w:pos="900"/>
        </w:tabs>
        <w:ind w:left="900" w:hanging="420"/>
      </w:pPr>
    </w:lvl>
    <w:lvl w:ilvl="1" w:tentative="0">
      <w:start w:val="2"/>
      <w:numFmt w:val="lowerLetter"/>
      <w:lvlText w:val="%2）"/>
      <w:lvlJc w:val="left"/>
      <w:pPr>
        <w:tabs>
          <w:tab w:val="left" w:pos="-420"/>
        </w:tabs>
        <w:ind w:left="1620" w:hanging="720"/>
      </w:pPr>
      <w:rPr>
        <w:rFonts w:hint="default"/>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6">
    <w:nsid w:val="60DB7E6B"/>
    <w:multiLevelType w:val="multilevel"/>
    <w:tmpl w:val="60DB7E6B"/>
    <w:lvl w:ilvl="0" w:tentative="0">
      <w:start w:val="2"/>
      <w:numFmt w:val="decimal"/>
      <w:lvlText w:val="%1"/>
      <w:lvlJc w:val="left"/>
      <w:pPr>
        <w:ind w:left="450" w:hanging="45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7">
    <w:nsid w:val="6C7C3047"/>
    <w:multiLevelType w:val="multilevel"/>
    <w:tmpl w:val="6C7C3047"/>
    <w:lvl w:ilvl="0" w:tentative="0">
      <w:start w:val="1"/>
      <w:numFmt w:val="decimal"/>
      <w:pStyle w:val="5"/>
      <w:lvlText w:val="%1"/>
      <w:lvlJc w:val="left"/>
      <w:pPr>
        <w:tabs>
          <w:tab w:val="left" w:pos="420"/>
        </w:tabs>
        <w:ind w:left="420" w:hanging="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7"/>
  </w:num>
  <w:num w:numId="2">
    <w:abstractNumId w:val="6"/>
  </w:num>
  <w:num w:numId="3">
    <w:abstractNumId w:val="2"/>
  </w:num>
  <w:num w:numId="4">
    <w:abstractNumId w:val="1"/>
  </w:num>
  <w:num w:numId="5">
    <w:abstractNumId w:val="3"/>
  </w:num>
  <w:num w:numId="6">
    <w:abstractNumId w:val="0"/>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5C0"/>
    <w:rsid w:val="00013593"/>
    <w:rsid w:val="00035FE4"/>
    <w:rsid w:val="00056667"/>
    <w:rsid w:val="00095D0A"/>
    <w:rsid w:val="000A44B2"/>
    <w:rsid w:val="001351DE"/>
    <w:rsid w:val="00144631"/>
    <w:rsid w:val="00190DC7"/>
    <w:rsid w:val="001D58C1"/>
    <w:rsid w:val="001D7682"/>
    <w:rsid w:val="00262478"/>
    <w:rsid w:val="00295D1D"/>
    <w:rsid w:val="002D5564"/>
    <w:rsid w:val="002D6FC4"/>
    <w:rsid w:val="00363E20"/>
    <w:rsid w:val="0036521F"/>
    <w:rsid w:val="003B56A7"/>
    <w:rsid w:val="004A05A1"/>
    <w:rsid w:val="004E4032"/>
    <w:rsid w:val="004F2973"/>
    <w:rsid w:val="0051119D"/>
    <w:rsid w:val="005211DB"/>
    <w:rsid w:val="00535DDB"/>
    <w:rsid w:val="00584BD1"/>
    <w:rsid w:val="006045E7"/>
    <w:rsid w:val="006348E6"/>
    <w:rsid w:val="00635570"/>
    <w:rsid w:val="00652311"/>
    <w:rsid w:val="006561A7"/>
    <w:rsid w:val="00670C84"/>
    <w:rsid w:val="00712A6A"/>
    <w:rsid w:val="007C6B6C"/>
    <w:rsid w:val="007E7C4D"/>
    <w:rsid w:val="007F6D69"/>
    <w:rsid w:val="008145C0"/>
    <w:rsid w:val="008D2DE3"/>
    <w:rsid w:val="008D71BB"/>
    <w:rsid w:val="008D7C64"/>
    <w:rsid w:val="008E27CD"/>
    <w:rsid w:val="008E516C"/>
    <w:rsid w:val="00917B4D"/>
    <w:rsid w:val="009323AC"/>
    <w:rsid w:val="009643DF"/>
    <w:rsid w:val="00984AE8"/>
    <w:rsid w:val="009C7296"/>
    <w:rsid w:val="009F4D4B"/>
    <w:rsid w:val="00A32E98"/>
    <w:rsid w:val="00A72402"/>
    <w:rsid w:val="00A8308A"/>
    <w:rsid w:val="00A961A3"/>
    <w:rsid w:val="00AD176E"/>
    <w:rsid w:val="00B021D7"/>
    <w:rsid w:val="00B162A0"/>
    <w:rsid w:val="00B16B18"/>
    <w:rsid w:val="00B24301"/>
    <w:rsid w:val="00B25184"/>
    <w:rsid w:val="00B64ACD"/>
    <w:rsid w:val="00B65B81"/>
    <w:rsid w:val="00BC26F6"/>
    <w:rsid w:val="00C45C7C"/>
    <w:rsid w:val="00C73DA6"/>
    <w:rsid w:val="00C776F0"/>
    <w:rsid w:val="00CC7634"/>
    <w:rsid w:val="00D0434B"/>
    <w:rsid w:val="00D95C32"/>
    <w:rsid w:val="00DA0EE3"/>
    <w:rsid w:val="00DC3D1F"/>
    <w:rsid w:val="00DC48EE"/>
    <w:rsid w:val="00DC5C3E"/>
    <w:rsid w:val="00E11514"/>
    <w:rsid w:val="00E44E3F"/>
    <w:rsid w:val="00E67917"/>
    <w:rsid w:val="00E76232"/>
    <w:rsid w:val="00E85376"/>
    <w:rsid w:val="00E86B36"/>
    <w:rsid w:val="00EA0C39"/>
    <w:rsid w:val="00EA4978"/>
    <w:rsid w:val="00EC407D"/>
    <w:rsid w:val="00ED7B44"/>
    <w:rsid w:val="00EF2E89"/>
    <w:rsid w:val="00EF7534"/>
    <w:rsid w:val="00F06436"/>
    <w:rsid w:val="00F36C68"/>
    <w:rsid w:val="00F96BB5"/>
    <w:rsid w:val="00FB2C87"/>
    <w:rsid w:val="01004732"/>
    <w:rsid w:val="01417E29"/>
    <w:rsid w:val="018F5483"/>
    <w:rsid w:val="022539F3"/>
    <w:rsid w:val="022D3E9F"/>
    <w:rsid w:val="02994853"/>
    <w:rsid w:val="02D330D3"/>
    <w:rsid w:val="03077FEB"/>
    <w:rsid w:val="03FE1B9C"/>
    <w:rsid w:val="048E0186"/>
    <w:rsid w:val="04EF790A"/>
    <w:rsid w:val="056B76F3"/>
    <w:rsid w:val="05856AD5"/>
    <w:rsid w:val="05B306AD"/>
    <w:rsid w:val="05C0749C"/>
    <w:rsid w:val="05EE6337"/>
    <w:rsid w:val="0617134E"/>
    <w:rsid w:val="066C559F"/>
    <w:rsid w:val="06A50045"/>
    <w:rsid w:val="06BB0AD8"/>
    <w:rsid w:val="073E13CA"/>
    <w:rsid w:val="07DF75F9"/>
    <w:rsid w:val="082C76F8"/>
    <w:rsid w:val="084859A3"/>
    <w:rsid w:val="084C43AA"/>
    <w:rsid w:val="08D75DAB"/>
    <w:rsid w:val="08DA771A"/>
    <w:rsid w:val="094F6845"/>
    <w:rsid w:val="0966617B"/>
    <w:rsid w:val="09870132"/>
    <w:rsid w:val="09952748"/>
    <w:rsid w:val="0A21302B"/>
    <w:rsid w:val="0A8C015C"/>
    <w:rsid w:val="0BF937D4"/>
    <w:rsid w:val="0C560A4C"/>
    <w:rsid w:val="0C7C5409"/>
    <w:rsid w:val="0CDC5F1E"/>
    <w:rsid w:val="0D424EF6"/>
    <w:rsid w:val="0D460355"/>
    <w:rsid w:val="0D485611"/>
    <w:rsid w:val="0D9116CE"/>
    <w:rsid w:val="0EA74A99"/>
    <w:rsid w:val="0EAF5A81"/>
    <w:rsid w:val="0F3A22C1"/>
    <w:rsid w:val="0FA21819"/>
    <w:rsid w:val="0FD44EAD"/>
    <w:rsid w:val="0FEE6FAE"/>
    <w:rsid w:val="102850C5"/>
    <w:rsid w:val="102C0118"/>
    <w:rsid w:val="10A235DA"/>
    <w:rsid w:val="110006C9"/>
    <w:rsid w:val="110E2BD9"/>
    <w:rsid w:val="111A671C"/>
    <w:rsid w:val="11415F69"/>
    <w:rsid w:val="115C4AAF"/>
    <w:rsid w:val="11B21219"/>
    <w:rsid w:val="11F34201"/>
    <w:rsid w:val="1241657B"/>
    <w:rsid w:val="12552C20"/>
    <w:rsid w:val="12887F77"/>
    <w:rsid w:val="12B53287"/>
    <w:rsid w:val="12F21BA5"/>
    <w:rsid w:val="13164890"/>
    <w:rsid w:val="136B5FEC"/>
    <w:rsid w:val="13860D94"/>
    <w:rsid w:val="13E65F5B"/>
    <w:rsid w:val="1421533E"/>
    <w:rsid w:val="14E909DB"/>
    <w:rsid w:val="151C2F86"/>
    <w:rsid w:val="1524753B"/>
    <w:rsid w:val="155A4DEC"/>
    <w:rsid w:val="16266C1B"/>
    <w:rsid w:val="16585909"/>
    <w:rsid w:val="173914CE"/>
    <w:rsid w:val="17565423"/>
    <w:rsid w:val="179D474C"/>
    <w:rsid w:val="17CF299D"/>
    <w:rsid w:val="183B7ACD"/>
    <w:rsid w:val="183D2FD1"/>
    <w:rsid w:val="18C023CF"/>
    <w:rsid w:val="19FF3270"/>
    <w:rsid w:val="1AAF297A"/>
    <w:rsid w:val="1AC629FA"/>
    <w:rsid w:val="1B9907D4"/>
    <w:rsid w:val="1B9B1759"/>
    <w:rsid w:val="1C1C2E37"/>
    <w:rsid w:val="1C7D7B4D"/>
    <w:rsid w:val="1C8B3419"/>
    <w:rsid w:val="1C9D0795"/>
    <w:rsid w:val="1CC373C8"/>
    <w:rsid w:val="1CED5883"/>
    <w:rsid w:val="1D643755"/>
    <w:rsid w:val="1D72434C"/>
    <w:rsid w:val="1D7757E7"/>
    <w:rsid w:val="1DA358F3"/>
    <w:rsid w:val="1DA65E93"/>
    <w:rsid w:val="1E413CF1"/>
    <w:rsid w:val="1E5152F6"/>
    <w:rsid w:val="1F271CAA"/>
    <w:rsid w:val="1FA300D1"/>
    <w:rsid w:val="1FD3016F"/>
    <w:rsid w:val="1FE968BD"/>
    <w:rsid w:val="20C73955"/>
    <w:rsid w:val="21257DBB"/>
    <w:rsid w:val="21740BA5"/>
    <w:rsid w:val="219B6C15"/>
    <w:rsid w:val="21ED6F99"/>
    <w:rsid w:val="222070A1"/>
    <w:rsid w:val="228E5CBB"/>
    <w:rsid w:val="229C47D4"/>
    <w:rsid w:val="22F0038F"/>
    <w:rsid w:val="235D4C46"/>
    <w:rsid w:val="23C02F6E"/>
    <w:rsid w:val="24341F17"/>
    <w:rsid w:val="24B73BCA"/>
    <w:rsid w:val="24ED03D1"/>
    <w:rsid w:val="254A7C77"/>
    <w:rsid w:val="25AB795A"/>
    <w:rsid w:val="25C95C2F"/>
    <w:rsid w:val="26601A5C"/>
    <w:rsid w:val="26DF22D6"/>
    <w:rsid w:val="27385FED"/>
    <w:rsid w:val="27CE6E7A"/>
    <w:rsid w:val="28095B3C"/>
    <w:rsid w:val="28474D20"/>
    <w:rsid w:val="287A7AF8"/>
    <w:rsid w:val="292E501E"/>
    <w:rsid w:val="2A253921"/>
    <w:rsid w:val="2B1151B3"/>
    <w:rsid w:val="2B232D6E"/>
    <w:rsid w:val="2BCB58E6"/>
    <w:rsid w:val="2BCC7B40"/>
    <w:rsid w:val="2C3E5313"/>
    <w:rsid w:val="2CD64E9F"/>
    <w:rsid w:val="2CDE06F5"/>
    <w:rsid w:val="2CEB6770"/>
    <w:rsid w:val="2D9D53D7"/>
    <w:rsid w:val="2D9E1065"/>
    <w:rsid w:val="2E07115B"/>
    <w:rsid w:val="2E1B21AB"/>
    <w:rsid w:val="2E932876"/>
    <w:rsid w:val="2F1A16E8"/>
    <w:rsid w:val="2F4A65BF"/>
    <w:rsid w:val="2FE65124"/>
    <w:rsid w:val="2FFA58CC"/>
    <w:rsid w:val="300A13F0"/>
    <w:rsid w:val="30A5355B"/>
    <w:rsid w:val="30E520E5"/>
    <w:rsid w:val="310E2F8A"/>
    <w:rsid w:val="31300039"/>
    <w:rsid w:val="323C53BB"/>
    <w:rsid w:val="330E04D1"/>
    <w:rsid w:val="333D1021"/>
    <w:rsid w:val="34037AE5"/>
    <w:rsid w:val="3437715C"/>
    <w:rsid w:val="344A3B18"/>
    <w:rsid w:val="35026383"/>
    <w:rsid w:val="3555038B"/>
    <w:rsid w:val="35AB7699"/>
    <w:rsid w:val="35C93BAD"/>
    <w:rsid w:val="35F74D73"/>
    <w:rsid w:val="364D4D97"/>
    <w:rsid w:val="3674428F"/>
    <w:rsid w:val="3688671C"/>
    <w:rsid w:val="371A2573"/>
    <w:rsid w:val="37455329"/>
    <w:rsid w:val="379850C2"/>
    <w:rsid w:val="38677D19"/>
    <w:rsid w:val="38E33D5F"/>
    <w:rsid w:val="39446561"/>
    <w:rsid w:val="394A30DF"/>
    <w:rsid w:val="39A70BED"/>
    <w:rsid w:val="3AB85F64"/>
    <w:rsid w:val="3B8227A0"/>
    <w:rsid w:val="3B846932"/>
    <w:rsid w:val="3B912AE2"/>
    <w:rsid w:val="3C8577D9"/>
    <w:rsid w:val="3CCE650A"/>
    <w:rsid w:val="3CDE301E"/>
    <w:rsid w:val="3D0418D3"/>
    <w:rsid w:val="3D0A7A32"/>
    <w:rsid w:val="3D3440FA"/>
    <w:rsid w:val="3D674549"/>
    <w:rsid w:val="3D8F5F9A"/>
    <w:rsid w:val="3DD3307D"/>
    <w:rsid w:val="3DFB283E"/>
    <w:rsid w:val="3E5E5484"/>
    <w:rsid w:val="3EA07024"/>
    <w:rsid w:val="3EC15DCA"/>
    <w:rsid w:val="3EC76A8F"/>
    <w:rsid w:val="3EEB0EF3"/>
    <w:rsid w:val="3F135889"/>
    <w:rsid w:val="3F391BBC"/>
    <w:rsid w:val="3F551B76"/>
    <w:rsid w:val="3F6315F7"/>
    <w:rsid w:val="3F6F394F"/>
    <w:rsid w:val="3F750EDD"/>
    <w:rsid w:val="3F9B5FD2"/>
    <w:rsid w:val="3FAB292C"/>
    <w:rsid w:val="3FFA5B87"/>
    <w:rsid w:val="40954700"/>
    <w:rsid w:val="41265BA0"/>
    <w:rsid w:val="41453D68"/>
    <w:rsid w:val="415625C0"/>
    <w:rsid w:val="418B637F"/>
    <w:rsid w:val="424E136F"/>
    <w:rsid w:val="4251634D"/>
    <w:rsid w:val="42CA7F23"/>
    <w:rsid w:val="42E17BEE"/>
    <w:rsid w:val="43043580"/>
    <w:rsid w:val="43A14703"/>
    <w:rsid w:val="43C75114"/>
    <w:rsid w:val="4412373D"/>
    <w:rsid w:val="44853947"/>
    <w:rsid w:val="44916FA5"/>
    <w:rsid w:val="44A15CA4"/>
    <w:rsid w:val="44B0296F"/>
    <w:rsid w:val="44CE18F2"/>
    <w:rsid w:val="44E70410"/>
    <w:rsid w:val="45760820"/>
    <w:rsid w:val="459B1F40"/>
    <w:rsid w:val="45AD2B2A"/>
    <w:rsid w:val="45C74089"/>
    <w:rsid w:val="46003033"/>
    <w:rsid w:val="460C1124"/>
    <w:rsid w:val="468247BC"/>
    <w:rsid w:val="46CF6512"/>
    <w:rsid w:val="471213DF"/>
    <w:rsid w:val="475E7622"/>
    <w:rsid w:val="47627C1A"/>
    <w:rsid w:val="47C940EA"/>
    <w:rsid w:val="48931B1E"/>
    <w:rsid w:val="48FF3E1F"/>
    <w:rsid w:val="493E1A15"/>
    <w:rsid w:val="4961028C"/>
    <w:rsid w:val="4A5679C1"/>
    <w:rsid w:val="4A5F4CF3"/>
    <w:rsid w:val="4A737F34"/>
    <w:rsid w:val="4B962E78"/>
    <w:rsid w:val="4C256BFE"/>
    <w:rsid w:val="4C804791"/>
    <w:rsid w:val="4C8B3A15"/>
    <w:rsid w:val="4D256418"/>
    <w:rsid w:val="4D3B1641"/>
    <w:rsid w:val="4DA91C75"/>
    <w:rsid w:val="4E796369"/>
    <w:rsid w:val="4E9E6D0A"/>
    <w:rsid w:val="4ECA73E9"/>
    <w:rsid w:val="4EF8069D"/>
    <w:rsid w:val="4F1B40D5"/>
    <w:rsid w:val="4F275969"/>
    <w:rsid w:val="4FCF4787"/>
    <w:rsid w:val="504273BB"/>
    <w:rsid w:val="50C54F5B"/>
    <w:rsid w:val="50ED7854"/>
    <w:rsid w:val="50EE1A52"/>
    <w:rsid w:val="510164F4"/>
    <w:rsid w:val="51361678"/>
    <w:rsid w:val="51915467"/>
    <w:rsid w:val="51B57F6C"/>
    <w:rsid w:val="52617E87"/>
    <w:rsid w:val="54307C01"/>
    <w:rsid w:val="545E2B91"/>
    <w:rsid w:val="54B312DF"/>
    <w:rsid w:val="551065AF"/>
    <w:rsid w:val="552045AD"/>
    <w:rsid w:val="553923E1"/>
    <w:rsid w:val="562654E2"/>
    <w:rsid w:val="56440A3E"/>
    <w:rsid w:val="56582839"/>
    <w:rsid w:val="568F10A1"/>
    <w:rsid w:val="56D82D87"/>
    <w:rsid w:val="58BE7724"/>
    <w:rsid w:val="59221BBB"/>
    <w:rsid w:val="5940227C"/>
    <w:rsid w:val="59626B16"/>
    <w:rsid w:val="59B15344"/>
    <w:rsid w:val="5A0E1901"/>
    <w:rsid w:val="5A1F27BD"/>
    <w:rsid w:val="5A346554"/>
    <w:rsid w:val="5B2A1D0E"/>
    <w:rsid w:val="5BBB130B"/>
    <w:rsid w:val="5BE45D53"/>
    <w:rsid w:val="5BE822AD"/>
    <w:rsid w:val="5C30599E"/>
    <w:rsid w:val="5D52199F"/>
    <w:rsid w:val="5D7B2C4E"/>
    <w:rsid w:val="5D9A411F"/>
    <w:rsid w:val="5DB43BC6"/>
    <w:rsid w:val="5DC26A1F"/>
    <w:rsid w:val="5DE4329A"/>
    <w:rsid w:val="5F00017B"/>
    <w:rsid w:val="5F9E5AEE"/>
    <w:rsid w:val="606C0B5E"/>
    <w:rsid w:val="608D7975"/>
    <w:rsid w:val="60BE52BF"/>
    <w:rsid w:val="61094D40"/>
    <w:rsid w:val="62122FF4"/>
    <w:rsid w:val="62224941"/>
    <w:rsid w:val="622616E9"/>
    <w:rsid w:val="62D1212E"/>
    <w:rsid w:val="636055BE"/>
    <w:rsid w:val="63640C4D"/>
    <w:rsid w:val="63C36FCE"/>
    <w:rsid w:val="63FE47FE"/>
    <w:rsid w:val="64810C65"/>
    <w:rsid w:val="64D14795"/>
    <w:rsid w:val="650C05DB"/>
    <w:rsid w:val="65457634"/>
    <w:rsid w:val="65AB44FA"/>
    <w:rsid w:val="65DB50B4"/>
    <w:rsid w:val="65F94B59"/>
    <w:rsid w:val="66135703"/>
    <w:rsid w:val="66F10F8C"/>
    <w:rsid w:val="67010DC5"/>
    <w:rsid w:val="673B646A"/>
    <w:rsid w:val="675F3DB5"/>
    <w:rsid w:val="67D5097E"/>
    <w:rsid w:val="67E12B16"/>
    <w:rsid w:val="67FA392E"/>
    <w:rsid w:val="687264E6"/>
    <w:rsid w:val="68A82244"/>
    <w:rsid w:val="68D03FC0"/>
    <w:rsid w:val="69B363A9"/>
    <w:rsid w:val="6A421BDC"/>
    <w:rsid w:val="6A7449B2"/>
    <w:rsid w:val="6AC91EBE"/>
    <w:rsid w:val="6B157A8E"/>
    <w:rsid w:val="6B5207EA"/>
    <w:rsid w:val="6BD101E4"/>
    <w:rsid w:val="6C443652"/>
    <w:rsid w:val="6C4A2900"/>
    <w:rsid w:val="6C523F43"/>
    <w:rsid w:val="6C6B059F"/>
    <w:rsid w:val="6C7D608C"/>
    <w:rsid w:val="6C8259C7"/>
    <w:rsid w:val="6CDC7AA6"/>
    <w:rsid w:val="6CFD1C38"/>
    <w:rsid w:val="6D065755"/>
    <w:rsid w:val="6D41200A"/>
    <w:rsid w:val="6D446D4F"/>
    <w:rsid w:val="6DD72E46"/>
    <w:rsid w:val="6DD753C4"/>
    <w:rsid w:val="6DFF7482"/>
    <w:rsid w:val="6E54240F"/>
    <w:rsid w:val="6EB4152F"/>
    <w:rsid w:val="6EC20B57"/>
    <w:rsid w:val="6EDE1A70"/>
    <w:rsid w:val="6F437293"/>
    <w:rsid w:val="6FB026CC"/>
    <w:rsid w:val="70460641"/>
    <w:rsid w:val="706B2A50"/>
    <w:rsid w:val="70DE7CE5"/>
    <w:rsid w:val="70F63350"/>
    <w:rsid w:val="711033C7"/>
    <w:rsid w:val="717D0FC9"/>
    <w:rsid w:val="718158E6"/>
    <w:rsid w:val="72521079"/>
    <w:rsid w:val="72D12F00"/>
    <w:rsid w:val="73CB7651"/>
    <w:rsid w:val="74000A10"/>
    <w:rsid w:val="75122901"/>
    <w:rsid w:val="75260BFD"/>
    <w:rsid w:val="76096233"/>
    <w:rsid w:val="768B41B5"/>
    <w:rsid w:val="769F582D"/>
    <w:rsid w:val="77214C96"/>
    <w:rsid w:val="77D50CE4"/>
    <w:rsid w:val="789F07F6"/>
    <w:rsid w:val="7907369D"/>
    <w:rsid w:val="7977396B"/>
    <w:rsid w:val="79CD59E4"/>
    <w:rsid w:val="79EE0117"/>
    <w:rsid w:val="79FD1238"/>
    <w:rsid w:val="7A330C0C"/>
    <w:rsid w:val="7A4024A0"/>
    <w:rsid w:val="7A7570F7"/>
    <w:rsid w:val="7A7E1349"/>
    <w:rsid w:val="7AA959BA"/>
    <w:rsid w:val="7BAD61AB"/>
    <w:rsid w:val="7C343BD5"/>
    <w:rsid w:val="7CB16A21"/>
    <w:rsid w:val="7CB415B1"/>
    <w:rsid w:val="7D080008"/>
    <w:rsid w:val="7D373A68"/>
    <w:rsid w:val="7D51526D"/>
    <w:rsid w:val="7D7311B7"/>
    <w:rsid w:val="7D875780"/>
    <w:rsid w:val="7DD77D25"/>
    <w:rsid w:val="7DFE2FAC"/>
    <w:rsid w:val="7E1536A4"/>
    <w:rsid w:val="7E9D553E"/>
    <w:rsid w:val="7EA354ED"/>
    <w:rsid w:val="7EBB6A76"/>
    <w:rsid w:val="7FAF5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qFormat="1" w:uiPriority="99"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link w:val="18"/>
    <w:qFormat/>
    <w:uiPriority w:val="9"/>
    <w:pPr>
      <w:keepNext/>
      <w:keepLines/>
      <w:spacing w:before="340" w:after="330" w:line="578" w:lineRule="auto"/>
      <w:outlineLvl w:val="0"/>
    </w:pPr>
    <w:rPr>
      <w:kern w:val="44"/>
      <w:sz w:val="44"/>
      <w:szCs w:val="44"/>
    </w:rPr>
  </w:style>
  <w:style w:type="paragraph" w:styleId="6">
    <w:name w:val="heading 2"/>
    <w:basedOn w:val="1"/>
    <w:next w:val="1"/>
    <w:link w:val="23"/>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7">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8">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unhideWhenUsed/>
    <w:qFormat/>
    <w:uiPriority w:val="99"/>
    <w:pPr>
      <w:spacing w:after="120" w:afterLines="0" w:afterAutospacing="0"/>
    </w:pPr>
  </w:style>
  <w:style w:type="paragraph" w:styleId="4">
    <w:name w:val="Title"/>
    <w:basedOn w:val="1"/>
    <w:qFormat/>
    <w:uiPriority w:val="0"/>
    <w:pPr>
      <w:spacing w:before="240" w:after="60"/>
      <w:jc w:val="center"/>
      <w:outlineLvl w:val="0"/>
    </w:pPr>
    <w:rPr>
      <w:rFonts w:ascii="Arial" w:hAnsi="Arial" w:cs="Arial"/>
      <w:b/>
      <w:bCs/>
      <w:sz w:val="32"/>
      <w:szCs w:val="32"/>
    </w:rPr>
  </w:style>
  <w:style w:type="paragraph" w:customStyle="1" w:styleId="5">
    <w:name w:val="正文_P"/>
    <w:basedOn w:val="1"/>
    <w:qFormat/>
    <w:uiPriority w:val="0"/>
    <w:pPr>
      <w:numPr>
        <w:ilvl w:val="0"/>
        <w:numId w:val="1"/>
      </w:numPr>
      <w:spacing w:before="50" w:beforeLines="50" w:after="50" w:afterLines="50" w:line="300" w:lineRule="auto"/>
    </w:pPr>
    <w:rPr>
      <w:rFonts w:ascii="Arial" w:hAnsi="Arial" w:eastAsia="仿宋_GB2312"/>
    </w:rPr>
  </w:style>
  <w:style w:type="paragraph" w:styleId="9">
    <w:name w:val="Body Text Indent"/>
    <w:basedOn w:val="1"/>
    <w:qFormat/>
    <w:uiPriority w:val="0"/>
    <w:pPr>
      <w:ind w:firstLine="560"/>
    </w:pPr>
    <w:rPr>
      <w:rFonts w:ascii="仿宋_GB2312" w:eastAsia="仿宋_GB2312"/>
      <w:sz w:val="24"/>
    </w:rPr>
  </w:style>
  <w:style w:type="paragraph" w:styleId="10">
    <w:name w:val="Body Text Indent 2"/>
    <w:basedOn w:val="1"/>
    <w:unhideWhenUsed/>
    <w:qFormat/>
    <w:uiPriority w:val="99"/>
    <w:pPr>
      <w:spacing w:after="120" w:line="480" w:lineRule="auto"/>
      <w:ind w:left="420" w:leftChars="200"/>
    </w:pPr>
  </w:style>
  <w:style w:type="paragraph" w:styleId="11">
    <w:name w:val="footer"/>
    <w:basedOn w:val="1"/>
    <w:link w:val="20"/>
    <w:unhideWhenUsed/>
    <w:qFormat/>
    <w:uiPriority w:val="99"/>
    <w:pPr>
      <w:tabs>
        <w:tab w:val="center" w:pos="4153"/>
        <w:tab w:val="right" w:pos="8306"/>
      </w:tabs>
      <w:snapToGrid w:val="0"/>
      <w:jc w:val="left"/>
    </w:pPr>
    <w:rPr>
      <w:sz w:val="18"/>
      <w:szCs w:val="18"/>
    </w:rPr>
  </w:style>
  <w:style w:type="paragraph" w:styleId="12">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footnote text"/>
    <w:basedOn w:val="1"/>
    <w:semiHidden/>
    <w:qFormat/>
    <w:uiPriority w:val="0"/>
    <w:pPr>
      <w:snapToGrid w:val="0"/>
      <w:jc w:val="left"/>
    </w:pPr>
    <w:rPr>
      <w:sz w:val="18"/>
      <w:szCs w:val="18"/>
    </w:rPr>
  </w:style>
  <w:style w:type="paragraph" w:styleId="14">
    <w:name w:val="Body Text Indent 3"/>
    <w:basedOn w:val="1"/>
    <w:unhideWhenUsed/>
    <w:qFormat/>
    <w:uiPriority w:val="99"/>
    <w:pPr>
      <w:spacing w:after="120"/>
      <w:ind w:left="420" w:leftChars="200"/>
    </w:pPr>
    <w:rPr>
      <w:sz w:val="16"/>
      <w:szCs w:val="16"/>
    </w:rPr>
  </w:style>
  <w:style w:type="character" w:styleId="17">
    <w:name w:val="footnote reference"/>
    <w:semiHidden/>
    <w:qFormat/>
    <w:uiPriority w:val="0"/>
    <w:rPr>
      <w:vertAlign w:val="superscript"/>
    </w:rPr>
  </w:style>
  <w:style w:type="character" w:customStyle="1" w:styleId="18">
    <w:name w:val="标题 1 字符"/>
    <w:basedOn w:val="16"/>
    <w:link w:val="3"/>
    <w:qFormat/>
    <w:uiPriority w:val="9"/>
    <w:rPr>
      <w:b/>
      <w:bCs/>
      <w:kern w:val="44"/>
      <w:sz w:val="44"/>
      <w:szCs w:val="44"/>
    </w:rPr>
  </w:style>
  <w:style w:type="character" w:customStyle="1" w:styleId="19">
    <w:name w:val="页眉 字符"/>
    <w:basedOn w:val="16"/>
    <w:link w:val="12"/>
    <w:qFormat/>
    <w:uiPriority w:val="99"/>
    <w:rPr>
      <w:sz w:val="18"/>
      <w:szCs w:val="18"/>
    </w:rPr>
  </w:style>
  <w:style w:type="character" w:customStyle="1" w:styleId="20">
    <w:name w:val="页脚 字符"/>
    <w:basedOn w:val="16"/>
    <w:link w:val="11"/>
    <w:qFormat/>
    <w:uiPriority w:val="99"/>
    <w:rPr>
      <w:sz w:val="18"/>
      <w:szCs w:val="18"/>
    </w:rPr>
  </w:style>
  <w:style w:type="paragraph" w:customStyle="1" w:styleId="21">
    <w:name w:val="列出段落1"/>
    <w:basedOn w:val="1"/>
    <w:qFormat/>
    <w:uiPriority w:val="0"/>
    <w:pPr>
      <w:spacing w:line="240" w:lineRule="atLeast"/>
      <w:ind w:firstLine="420" w:firstLineChars="200"/>
    </w:pPr>
    <w:rPr>
      <w:rFonts w:hint="eastAsia" w:ascii="Times New Roman" w:hAnsi="Times New Roman" w:eastAsia="仿宋_GB2312" w:cs="Times New Roman"/>
      <w:sz w:val="32"/>
      <w:szCs w:val="20"/>
    </w:rPr>
  </w:style>
  <w:style w:type="paragraph" w:styleId="22">
    <w:name w:val="List Paragraph"/>
    <w:basedOn w:val="1"/>
    <w:qFormat/>
    <w:uiPriority w:val="34"/>
    <w:pPr>
      <w:ind w:firstLine="420" w:firstLineChars="200"/>
    </w:pPr>
    <w:rPr>
      <w:rFonts w:ascii="Times New Roman" w:hAnsi="Times New Roman" w:eastAsia="宋体" w:cs="Times New Roman"/>
      <w:szCs w:val="24"/>
    </w:rPr>
  </w:style>
  <w:style w:type="character" w:customStyle="1" w:styleId="23">
    <w:name w:val="标题 2 字符"/>
    <w:basedOn w:val="16"/>
    <w:link w:val="6"/>
    <w:qFormat/>
    <w:uiPriority w:val="9"/>
    <w:rPr>
      <w:rFonts w:asciiTheme="majorHAnsi" w:hAnsiTheme="majorHAnsi" w:eastAsiaTheme="majorEastAsia" w:cstheme="majorBidi"/>
      <w:b/>
      <w:bCs/>
      <w:sz w:val="32"/>
      <w:szCs w:val="32"/>
    </w:rPr>
  </w:style>
  <w:style w:type="character" w:customStyle="1" w:styleId="24">
    <w:name w:val="标题 3 字符"/>
    <w:basedOn w:val="16"/>
    <w:link w:val="7"/>
    <w:qFormat/>
    <w:uiPriority w:val="9"/>
    <w:rPr>
      <w:b/>
      <w:bCs/>
      <w:sz w:val="32"/>
      <w:szCs w:val="32"/>
    </w:rPr>
  </w:style>
  <w:style w:type="paragraph" w:customStyle="1" w:styleId="25">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26">
    <w:name w:val="项目"/>
    <w:basedOn w:val="1"/>
    <w:qFormat/>
    <w:uiPriority w:val="0"/>
    <w:rPr>
      <w:szCs w:val="20"/>
    </w:rPr>
  </w:style>
  <w:style w:type="paragraph" w:customStyle="1" w:styleId="27">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1295</Words>
  <Characters>7384</Characters>
  <Lines>61</Lines>
  <Paragraphs>17</Paragraphs>
  <TotalTime>142</TotalTime>
  <ScaleCrop>false</ScaleCrop>
  <LinksUpToDate>false</LinksUpToDate>
  <CharactersWithSpaces>8662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2020-04-14T03:25:00Z</dcterms:created>
  <dc:creator>马 昌荣</dc:creator>
  <cp:lastModifiedBy>徐原</cp:lastModifiedBy>
  <dcterms:modified xsi:type="dcterms:W3CDTF">2025-05-29T01:00:04Z</dcterms:modified>
  <cp:revision>105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D8167F4C2C8243A19584F2D868ABC7B1</vt:lpwstr>
  </property>
</Properties>
</file>