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Brightwater Oncology Partners, Tulsa, OK</w:t>
      </w:r>
    </w:p>
    <w:p>
      <w:r>
        <w:t xml:space="preserve">Site Number: 28</w:t>
      </w:r>
    </w:p>
    <w:p>
      <w:r>
        <w:t xml:space="preserve">Enrollment: Institution will use reasonable efforts to enroll 26 subjects over an enrollment period of 30 months.</w:t>
      </w:r>
    </w:p>
    <w:p>
      <w:r>
        <w:t xml:space="preserve">Per-patient payment: Sponsor will pay Institution USD 11,000 per enrolled subject, as set out in Exhibit B.</w:t>
      </w:r>
    </w:p>
    <w:p>
      <w:r>
        <w:t xml:space="preserve">This Clinical Trial Agreement is entered into by Northstar Oncology, Inc. (“Sponsor”) and Brightwater Oncology Partners,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ten percent (10%)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seven (7)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2"/>
      </w:pPr>
      <w:r>
        <w:t xml:space="preserve">§11.7 Security Incidents</w:t>
      </w:r>
    </w:p>
    <w:p>
      <w:r>
        <w:t xml:space="preserve">Sponsor shall notify Institution of a security incident involving Study data within </w:t>
      </w:r>
      <w:del w:id="2" w:author="D. Castellano (Site 28)" w:date="2026-10-16T13:20:00Z">
        <w:r>
          <w:delText xml:space="preserve">ten (10)</w:delText>
        </w:r>
      </w:del>
      <w:ins w:id="3" w:author="D. Castellano (Site 28)" w:date="2026-10-16T13:20:00Z">
        <w:r>
          <w:t xml:space="preserve">five (5)</w:t>
        </w:r>
      </w:ins>
      <w:r>
        <w:t xml:space="preserve"> business days.</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w:t>
      </w:r>
      <w:del w:id="4" w:author="D. Castellano (Site 28)" w:date="2026-10-16T13:20:00Z">
        <w:r>
          <w:delText xml:space="preserve">sixty (60)</w:delText>
        </w:r>
      </w:del>
      <w:ins w:id="5" w:author="D. Castellano (Site 28)" w:date="2026-10-16T13:20:00Z">
        <w:r>
          <w:t xml:space="preserve">ninety (90)</w:t>
        </w:r>
      </w:ins>
      <w:r>
        <w:t xml:space="preserve">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ins w:id="6" w:author="D. Castellano (Site 28)" w:date="2026-10-16T13:20:00Z">
        <w:r>
          <w:t xml:space="preserve">, which shall have the sole right to seek patent protection for them</w:t>
        </w:r>
      </w:ins>
      <w:r>
        <w:t xml:space="preserve">.</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w:t>
      </w:r>
      <w:del w:id="7" w:author="D. Castellano (Site 28)" w:date="2026-10-16T13:20:00Z">
        <w:r>
          <w:delText xml:space="preserve">thirty (30)</w:delText>
        </w:r>
      </w:del>
      <w:ins w:id="8" w:author="D. Castellano (Site 28)" w:date="2026-10-16T13:20:00Z">
        <w:r>
          <w:t xml:space="preserve">ninety (90)</w:t>
        </w:r>
      </w:ins>
      <w:r>
        <w:t xml:space="preserve">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w:t>
      </w:r>
      <w:del w:id="9" w:author="D. Castellano (Site 28)" w:date="2026-10-16T13:20:00Z">
        <w:r>
          <w:delText xml:space="preserve">thirty (30)</w:delText>
        </w:r>
      </w:del>
      <w:ins w:id="10" w:author="D. Castellano (Site 28)" w:date="2026-10-16T13:20:00Z">
        <w:r>
          <w:t xml:space="preserve">ten (10)</w:t>
        </w:r>
      </w:ins>
      <w:r>
        <w:t xml:space="preserve"> days’ written notice.</w:t>
      </w:r>
    </w:p>
    <w:p>
      <w:pPr>
        <w:pStyle w:val="Heading2"/>
      </w:pPr>
      <w:r>
        <w:t xml:space="preserve">§14.3 Termination for Convenience</w:t>
      </w:r>
    </w:p>
    <w:p>
      <w:pPr>
        <w:rPr>
          <w:ins w:id="11" w:author="D. Castellano (Site 28)" w:date="2026-10-14T15:02:00Z"/>
        </w:rPr>
      </w:pPr>
      <w:ins w:id="12" w:author="D. Castellano (Site 28)" w:date="2026-10-16T13:20:00Z">
        <w:r>
          <w:t xml:space="preserve">Institution may terminate this Agreement for convenience at any time, and Sponsor’s payment obligations end on the termination date.</w:t>
        </w:r>
      </w:ins>
    </w:p>
    <w:p>
      <w:pPr>
        <w:pStyle w:val="Heading2"/>
      </w:pPr>
      <w:r>
        <w:t xml:space="preserve">§14.4 Survival</w:t>
      </w:r>
    </w:p>
    <w:p>
      <w:r>
        <w:t xml:space="preserve">Articles 7 through 13, Section 14.3 and Article 17 survive the expiration or termination of this Agreement.</w:t>
      </w:r>
    </w:p>
    <w:p>
      <w:pPr>
        <w:pStyle w:val="Heading2"/>
      </w:pPr>
      <w:r>
        <w:t xml:space="preserve">§14.5 Loss of Investigator</w:t>
      </w:r>
    </w:p>
    <w:p>
      <w:r>
        <w:t xml:space="preserve">Institution may terminate </w:t>
      </w:r>
      <w:del w:id="13" w:author="D. Castellano (Site 28)" w:date="2026-10-16T13:20:00Z">
        <w:r>
          <w:delText xml:space="preserve">immediately on</w:delText>
        </w:r>
      </w:del>
      <w:ins w:id="14" w:author="D. Castellano (Site 28)" w:date="2026-10-16T13:20:00Z">
        <w:r>
          <w:t xml:space="preserve">on thirty (30) days’</w:t>
        </w:r>
      </w:ins>
      <w:r>
        <w:t xml:space="preserve"> written notice if the Principal Investigator leaves and no successor is approved.</w:t>
      </w:r>
    </w:p>
    <w:p>
      <w:pPr>
        <w:pStyle w:val="Heading2"/>
      </w:pPr>
      <w:r>
        <w:t xml:space="preserve">§14.6 After Enrollment Closes</w:t>
      </w:r>
    </w:p>
    <w:p>
      <w:r>
        <w:t xml:space="preserve">Institution may terminate on </w:t>
      </w:r>
      <w:del w:id="15" w:author="D. Castellano (Site 28)" w:date="2026-10-16T13:20:00Z">
        <w:r>
          <w:delText xml:space="preserve">sixty</w:delText>
        </w:r>
      </w:del>
      <w:ins w:id="16" w:author="D. Castellano (Site 28)" w:date="2026-10-16T13:20:00Z">
        <w:r>
          <w:t xml:space="preserve">thirty</w:t>
        </w:r>
      </w:ins>
      <w:r>
        <w:t xml:space="preserve"> (60) days’ written notice once enrollment closes.</w:t>
      </w:r>
    </w:p>
    <w:p>
      <w:pPr>
        <w:pStyle w:val="Heading2"/>
      </w:pPr>
      <w:r>
        <w:t xml:space="preserve">§14.7 Subject Follow-up</w:t>
      </w:r>
    </w:p>
    <w:p>
      <w:r>
        <w:t xml:space="preserve">After termination, Institution shall give </w:t>
      </w:r>
      <w:del w:id="17" w:author="D. Castellano (Site 28)" w:date="2026-10-16T13:20:00Z">
        <w:r>
          <w:delText xml:space="preserve">thirty (30)</w:delText>
        </w:r>
      </w:del>
      <w:ins w:id="18" w:author="D. Castellano (Site 28)" w:date="2026-10-16T13:20:00Z">
        <w:r>
          <w:t xml:space="preserve">forty-five (45)</w:t>
        </w:r>
      </w:ins>
      <w:r>
        <w:t xml:space="preserve"> days’ notice before it stops following enrolled subjects.</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w:t>
      </w:r>
      <w:del w:id="19" w:author="D. Castellano (Site 28)" w:date="2026-10-16T13:20:00Z">
        <w:r>
          <w:delText xml:space="preserve">New Jersey</w:delText>
        </w:r>
      </w:del>
      <w:ins w:id="20" w:author="D. Castellano (Site 28)" w:date="2026-10-16T13:20:00Z">
        <w:r>
          <w:t xml:space="preserve">Oklahoma</w:t>
        </w:r>
      </w:ins>
      <w:r>
        <w:t xml:space="preserve">,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Brightwater Oncology Partners, Tulsa, OK.</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11,000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28 redline</dc:title>
  <dc:creator>Siteline</dc:creator>
  <dcterms:created xsi:type="dcterms:W3CDTF">2026-10-18T01:00:10Z</dcterms:created>
</cp:coreProperties>
</file>