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904" w:rsidRDefault="00D14904" w:rsidP="00D14904">
      <w:pPr>
        <w:pStyle w:val="Heading2"/>
      </w:pPr>
      <w:r>
        <w:t>1. The Deductive Path: "Rule to Example"</w:t>
      </w:r>
    </w:p>
    <w:p w:rsidR="00D14904" w:rsidRDefault="00D14904" w:rsidP="00D14904">
      <w:pPr>
        <w:pStyle w:val="NormalWeb"/>
      </w:pPr>
      <w:r>
        <w:t>The deductive approach starts with the generalized formula or principle and moves toward specific applications. This is the traditional "top-down" method often seen in university lectures.</w:t>
      </w:r>
    </w:p>
    <w:p w:rsidR="00D14904" w:rsidRDefault="00D14904" w:rsidP="00D14904">
      <w:pPr>
        <w:pStyle w:val="Heading3"/>
      </w:pPr>
      <w:r>
        <w:t>When it is most effective:</w:t>
      </w:r>
    </w:p>
    <w:p w:rsidR="00D14904" w:rsidRDefault="00D14904" w:rsidP="00D14904">
      <w:pPr>
        <w:pStyle w:val="NormalWeb"/>
        <w:numPr>
          <w:ilvl w:val="0"/>
          <w:numId w:val="12"/>
        </w:numPr>
      </w:pPr>
      <w:r>
        <w:rPr>
          <w:b/>
          <w:bCs/>
        </w:rPr>
        <w:t>High Complexity, Low Time:</w:t>
      </w:r>
      <w:r>
        <w:t xml:space="preserve"> If a formula (like the </w:t>
      </w:r>
      <w:proofErr w:type="spellStart"/>
      <w:r>
        <w:t>Navier</w:t>
      </w:r>
      <w:proofErr w:type="spellEnd"/>
      <w:r>
        <w:t>-Stokes equations) is mathematically dense and requires hours to derive, a deductive start saves time by establishing the "what" before the "why."</w:t>
      </w:r>
    </w:p>
    <w:p w:rsidR="00D14904" w:rsidRDefault="00D14904" w:rsidP="00D14904">
      <w:pPr>
        <w:pStyle w:val="NormalWeb"/>
        <w:numPr>
          <w:ilvl w:val="0"/>
          <w:numId w:val="12"/>
        </w:numPr>
      </w:pPr>
      <w:r>
        <w:rPr>
          <w:b/>
          <w:bCs/>
        </w:rPr>
        <w:t>Expert Learners:</w:t>
      </w:r>
      <w:r>
        <w:t xml:space="preserve"> Students with a strong foundational schema can quickly integrate a new formula into their existing knowledge base without needing a "discovery" phase.</w:t>
      </w:r>
    </w:p>
    <w:p w:rsidR="00D14904" w:rsidRDefault="00D14904" w:rsidP="00D14904">
      <w:pPr>
        <w:pStyle w:val="NormalWeb"/>
        <w:numPr>
          <w:ilvl w:val="0"/>
          <w:numId w:val="12"/>
        </w:numPr>
      </w:pPr>
      <w:r>
        <w:rPr>
          <w:b/>
          <w:bCs/>
        </w:rPr>
        <w:t>Safety-Critical Procedures:</w:t>
      </w:r>
      <w:r>
        <w:t xml:space="preserve"> When teaching formulas related to structural integrity or electrical load limits, clarity and precision are paramount. Deductive teaching reduces the risk of students "discovering" a wrong or dangerous version of a principle.</w:t>
      </w:r>
    </w:p>
    <w:p w:rsidR="00D14904" w:rsidRDefault="00D14904" w:rsidP="00D14904">
      <w:pPr>
        <w:pStyle w:val="NormalWeb"/>
      </w:pPr>
      <w:r>
        <w:rPr>
          <w:b/>
          <w:bCs/>
        </w:rPr>
        <w:t>The Flow:</w:t>
      </w:r>
      <w:r>
        <w:t xml:space="preserve"> State the Formula </w:t>
      </w:r>
      <w:r>
        <w:rPr>
          <w:rStyle w:val="mrel"/>
        </w:rPr>
        <w:t>→</w:t>
      </w:r>
      <w:r>
        <w:t xml:space="preserve"> Define Variables </w:t>
      </w:r>
      <w:r>
        <w:rPr>
          <w:rStyle w:val="mrel"/>
        </w:rPr>
        <w:t>→</w:t>
      </w:r>
      <w:r>
        <w:t xml:space="preserve"> Show Worked Examples </w:t>
      </w:r>
      <w:r>
        <w:rPr>
          <w:rStyle w:val="mrel"/>
        </w:rPr>
        <w:t>→</w:t>
      </w:r>
      <w:r>
        <w:t xml:space="preserve"> Student Practice.</w:t>
      </w:r>
    </w:p>
    <w:p w:rsidR="00D14904" w:rsidRDefault="00D14904" w:rsidP="00D14904">
      <w:r>
        <w:pict>
          <v:rect id="_x0000_i1073" style="width:0;height:1.5pt" o:hralign="center" o:hrstd="t" o:hr="t" fillcolor="#a0a0a0" stroked="f"/>
        </w:pict>
      </w:r>
    </w:p>
    <w:p w:rsidR="00D14904" w:rsidRDefault="00D14904" w:rsidP="00D14904">
      <w:pPr>
        <w:pStyle w:val="Heading2"/>
      </w:pPr>
      <w:r>
        <w:t>2. The Inductive Path: "Example to Rule"</w:t>
      </w:r>
    </w:p>
    <w:p w:rsidR="00D14904" w:rsidRDefault="00D14904" w:rsidP="00D14904">
      <w:pPr>
        <w:pStyle w:val="NormalWeb"/>
      </w:pPr>
      <w:r>
        <w:t>The inductive approach is "bottom-up." It starts with specific observations, data, or experiments and leads the student to "discover" the formula.</w:t>
      </w:r>
    </w:p>
    <w:p w:rsidR="00D14904" w:rsidRDefault="00D14904" w:rsidP="00D14904">
      <w:pPr>
        <w:pStyle w:val="Heading3"/>
      </w:pPr>
      <w:r>
        <w:t>When it is most effective:</w:t>
      </w:r>
    </w:p>
    <w:p w:rsidR="00D14904" w:rsidRDefault="00D14904" w:rsidP="00D14904">
      <w:pPr>
        <w:pStyle w:val="NormalWeb"/>
        <w:numPr>
          <w:ilvl w:val="0"/>
          <w:numId w:val="13"/>
        </w:numPr>
      </w:pPr>
      <w:r>
        <w:rPr>
          <w:b/>
          <w:bCs/>
        </w:rPr>
        <w:t>Conceptual "Aha!" Moments:</w:t>
      </w:r>
      <w:r>
        <w:t xml:space="preserve"> Inductive paths are superior when the formula describes a tangible physical relationship, such as Hooke’s Law (</w:t>
      </w:r>
      <w:r>
        <w:rPr>
          <w:rStyle w:val="mord"/>
        </w:rPr>
        <w:t>F</w:t>
      </w:r>
      <w:r>
        <w:rPr>
          <w:rStyle w:val="mrel"/>
        </w:rPr>
        <w:t>=</w:t>
      </w:r>
      <w:proofErr w:type="spellStart"/>
      <w:r>
        <w:rPr>
          <w:rStyle w:val="mord"/>
        </w:rPr>
        <w:t>kx</w:t>
      </w:r>
      <w:proofErr w:type="spellEnd"/>
      <w:r>
        <w:t xml:space="preserve">). By stretching springs of different </w:t>
      </w:r>
      <w:proofErr w:type="spellStart"/>
      <w:r>
        <w:t>stiffnesses</w:t>
      </w:r>
      <w:proofErr w:type="spellEnd"/>
      <w:r>
        <w:t>, students "feel" the relationship before seeing the math.</w:t>
      </w:r>
    </w:p>
    <w:p w:rsidR="00D14904" w:rsidRDefault="00D14904" w:rsidP="00D14904">
      <w:pPr>
        <w:pStyle w:val="NormalWeb"/>
        <w:numPr>
          <w:ilvl w:val="0"/>
          <w:numId w:val="13"/>
        </w:numPr>
      </w:pPr>
      <w:r>
        <w:rPr>
          <w:b/>
          <w:bCs/>
        </w:rPr>
        <w:t>Long-term Retention:</w:t>
      </w:r>
      <w:r>
        <w:t xml:space="preserve"> Because the student has to actively construct the logic, the neural pathways formed are generally stronger. This is excellent for core engineering concepts that serve as building blocks for later years.</w:t>
      </w:r>
    </w:p>
    <w:p w:rsidR="00D14904" w:rsidRDefault="00D14904" w:rsidP="00D14904">
      <w:pPr>
        <w:pStyle w:val="NormalWeb"/>
        <w:numPr>
          <w:ilvl w:val="0"/>
          <w:numId w:val="13"/>
        </w:numPr>
      </w:pPr>
      <w:r>
        <w:rPr>
          <w:b/>
          <w:bCs/>
        </w:rPr>
        <w:t>Developing Problem-Solving Intuition:</w:t>
      </w:r>
      <w:r>
        <w:t xml:space="preserve"> It teaches students how to look at raw data and identify patterns—a crucial skill for R&amp;D (Research &amp; Development) engineering.</w:t>
      </w:r>
    </w:p>
    <w:p w:rsidR="00D14904" w:rsidRDefault="00D14904" w:rsidP="00D14904">
      <w:pPr>
        <w:pStyle w:val="NormalWeb"/>
      </w:pPr>
      <w:r>
        <w:rPr>
          <w:b/>
          <w:bCs/>
        </w:rPr>
        <w:t>The Flow:</w:t>
      </w:r>
      <w:r>
        <w:t xml:space="preserve"> Observe Phenomenon </w:t>
      </w:r>
      <w:r>
        <w:rPr>
          <w:rStyle w:val="mrel"/>
        </w:rPr>
        <w:t>→</w:t>
      </w:r>
      <w:r>
        <w:t xml:space="preserve"> Collect Data </w:t>
      </w:r>
      <w:r>
        <w:rPr>
          <w:rStyle w:val="mrel"/>
        </w:rPr>
        <w:t>→</w:t>
      </w:r>
      <w:r>
        <w:t xml:space="preserve"> Identify Patterns </w:t>
      </w:r>
      <w:r>
        <w:rPr>
          <w:rStyle w:val="mrel"/>
        </w:rPr>
        <w:t>→</w:t>
      </w:r>
      <w:r>
        <w:t xml:space="preserve"> Formalize the Formula.</w:t>
      </w:r>
    </w:p>
    <w:p w:rsidR="00D14904" w:rsidRDefault="00D14904" w:rsidP="00D14904">
      <w:r>
        <w:pict>
          <v:rect id="_x0000_i1074" style="width:0;height:1.5pt" o:hralign="center" o:hrstd="t" o:hr="t" fillcolor="#a0a0a0" stroked="f"/>
        </w:pict>
      </w:r>
    </w:p>
    <w:p w:rsidR="00D14904" w:rsidRDefault="00D14904" w:rsidP="00D14904">
      <w:pPr>
        <w:pStyle w:val="Heading2"/>
      </w:pPr>
      <w:r>
        <w:t>3. Comparative Analysis for Engineering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993"/>
        <w:gridCol w:w="3142"/>
      </w:tblGrid>
      <w:tr w:rsidR="00D14904" w:rsidTr="00D14904">
        <w:trPr>
          <w:tblHeader/>
          <w:tblCellSpacing w:w="15" w:type="dxa"/>
        </w:trPr>
        <w:tc>
          <w:tcPr>
            <w:tcW w:w="0" w:type="auto"/>
            <w:vAlign w:val="center"/>
            <w:hideMark/>
          </w:tcPr>
          <w:p w:rsidR="00D14904" w:rsidRDefault="00D14904">
            <w:pPr>
              <w:jc w:val="center"/>
              <w:rPr>
                <w:b/>
                <w:bCs/>
              </w:rPr>
            </w:pPr>
            <w:r>
              <w:rPr>
                <w:b/>
                <w:bCs/>
              </w:rPr>
              <w:t>Feature</w:t>
            </w:r>
          </w:p>
        </w:tc>
        <w:tc>
          <w:tcPr>
            <w:tcW w:w="0" w:type="auto"/>
            <w:vAlign w:val="center"/>
            <w:hideMark/>
          </w:tcPr>
          <w:p w:rsidR="00D14904" w:rsidRDefault="00D14904">
            <w:pPr>
              <w:jc w:val="center"/>
              <w:rPr>
                <w:b/>
                <w:bCs/>
              </w:rPr>
            </w:pPr>
            <w:r>
              <w:rPr>
                <w:b/>
                <w:bCs/>
              </w:rPr>
              <w:t>Inductive Path</w:t>
            </w:r>
          </w:p>
        </w:tc>
        <w:tc>
          <w:tcPr>
            <w:tcW w:w="0" w:type="auto"/>
            <w:vAlign w:val="center"/>
            <w:hideMark/>
          </w:tcPr>
          <w:p w:rsidR="00D14904" w:rsidRDefault="00D14904">
            <w:pPr>
              <w:jc w:val="center"/>
              <w:rPr>
                <w:b/>
                <w:bCs/>
              </w:rPr>
            </w:pPr>
            <w:r>
              <w:rPr>
                <w:b/>
                <w:bCs/>
              </w:rPr>
              <w:t>Deductive Path</w:t>
            </w:r>
          </w:p>
        </w:tc>
      </w:tr>
      <w:tr w:rsidR="00D14904" w:rsidTr="00D14904">
        <w:trPr>
          <w:tblCellSpacing w:w="15" w:type="dxa"/>
        </w:trPr>
        <w:tc>
          <w:tcPr>
            <w:tcW w:w="0" w:type="auto"/>
            <w:vAlign w:val="center"/>
            <w:hideMark/>
          </w:tcPr>
          <w:p w:rsidR="00D14904" w:rsidRDefault="00D14904">
            <w:r>
              <w:rPr>
                <w:b/>
                <w:bCs/>
              </w:rPr>
              <w:t>Cognitive Load</w:t>
            </w:r>
          </w:p>
        </w:tc>
        <w:tc>
          <w:tcPr>
            <w:tcW w:w="0" w:type="auto"/>
            <w:vAlign w:val="center"/>
            <w:hideMark/>
          </w:tcPr>
          <w:p w:rsidR="00D14904" w:rsidRDefault="00D14904">
            <w:r>
              <w:t>High (Initial struggle)</w:t>
            </w:r>
          </w:p>
        </w:tc>
        <w:tc>
          <w:tcPr>
            <w:tcW w:w="0" w:type="auto"/>
            <w:vAlign w:val="center"/>
            <w:hideMark/>
          </w:tcPr>
          <w:p w:rsidR="00D14904" w:rsidRDefault="00D14904">
            <w:r>
              <w:t>Low (Initial clarity)</w:t>
            </w:r>
          </w:p>
        </w:tc>
      </w:tr>
      <w:tr w:rsidR="00D14904" w:rsidTr="00D14904">
        <w:trPr>
          <w:tblCellSpacing w:w="15" w:type="dxa"/>
        </w:trPr>
        <w:tc>
          <w:tcPr>
            <w:tcW w:w="0" w:type="auto"/>
            <w:vAlign w:val="center"/>
            <w:hideMark/>
          </w:tcPr>
          <w:p w:rsidR="00D14904" w:rsidRDefault="00D14904">
            <w:r>
              <w:rPr>
                <w:b/>
                <w:bCs/>
              </w:rPr>
              <w:lastRenderedPageBreak/>
              <w:t>Student Role</w:t>
            </w:r>
          </w:p>
        </w:tc>
        <w:tc>
          <w:tcPr>
            <w:tcW w:w="0" w:type="auto"/>
            <w:vAlign w:val="center"/>
            <w:hideMark/>
          </w:tcPr>
          <w:p w:rsidR="00D14904" w:rsidRDefault="00D14904">
            <w:r>
              <w:t>Active Explorer</w:t>
            </w:r>
          </w:p>
        </w:tc>
        <w:tc>
          <w:tcPr>
            <w:tcW w:w="0" w:type="auto"/>
            <w:vAlign w:val="center"/>
            <w:hideMark/>
          </w:tcPr>
          <w:p w:rsidR="00D14904" w:rsidRDefault="00D14904">
            <w:r>
              <w:t>Receptive Learner</w:t>
            </w:r>
          </w:p>
        </w:tc>
      </w:tr>
      <w:tr w:rsidR="00D14904" w:rsidTr="00D14904">
        <w:trPr>
          <w:tblCellSpacing w:w="15" w:type="dxa"/>
        </w:trPr>
        <w:tc>
          <w:tcPr>
            <w:tcW w:w="0" w:type="auto"/>
            <w:vAlign w:val="center"/>
            <w:hideMark/>
          </w:tcPr>
          <w:p w:rsidR="00D14904" w:rsidRDefault="00D14904">
            <w:r>
              <w:rPr>
                <w:b/>
                <w:bCs/>
              </w:rPr>
              <w:t>Best For</w:t>
            </w:r>
          </w:p>
        </w:tc>
        <w:tc>
          <w:tcPr>
            <w:tcW w:w="0" w:type="auto"/>
            <w:vAlign w:val="center"/>
            <w:hideMark/>
          </w:tcPr>
          <w:p w:rsidR="00D14904" w:rsidRDefault="00D14904">
            <w:r>
              <w:t>Discovery of basic laws</w:t>
            </w:r>
          </w:p>
        </w:tc>
        <w:tc>
          <w:tcPr>
            <w:tcW w:w="0" w:type="auto"/>
            <w:vAlign w:val="center"/>
            <w:hideMark/>
          </w:tcPr>
          <w:p w:rsidR="00D14904" w:rsidRDefault="00D14904">
            <w:r>
              <w:t>Application of complex math</w:t>
            </w:r>
          </w:p>
        </w:tc>
      </w:tr>
      <w:tr w:rsidR="00D14904" w:rsidTr="00D14904">
        <w:trPr>
          <w:tblCellSpacing w:w="15" w:type="dxa"/>
        </w:trPr>
        <w:tc>
          <w:tcPr>
            <w:tcW w:w="0" w:type="auto"/>
            <w:vAlign w:val="center"/>
            <w:hideMark/>
          </w:tcPr>
          <w:p w:rsidR="00D14904" w:rsidRDefault="00D14904">
            <w:r>
              <w:rPr>
                <w:b/>
                <w:bCs/>
              </w:rPr>
              <w:t>Risk</w:t>
            </w:r>
          </w:p>
        </w:tc>
        <w:tc>
          <w:tcPr>
            <w:tcW w:w="0" w:type="auto"/>
            <w:vAlign w:val="center"/>
            <w:hideMark/>
          </w:tcPr>
          <w:p w:rsidR="00D14904" w:rsidRDefault="00D14904">
            <w:r>
              <w:t>Misconceptions during discovery</w:t>
            </w:r>
          </w:p>
        </w:tc>
        <w:tc>
          <w:tcPr>
            <w:tcW w:w="0" w:type="auto"/>
            <w:vAlign w:val="center"/>
            <w:hideMark/>
          </w:tcPr>
          <w:p w:rsidR="00D14904" w:rsidRDefault="00D14904">
            <w:r>
              <w:t>Rote memorization without "soul"</w:t>
            </w:r>
          </w:p>
        </w:tc>
      </w:tr>
      <w:tr w:rsidR="00D14904" w:rsidTr="00D14904">
        <w:trPr>
          <w:tblCellSpacing w:w="15" w:type="dxa"/>
        </w:trPr>
        <w:tc>
          <w:tcPr>
            <w:tcW w:w="0" w:type="auto"/>
            <w:vAlign w:val="center"/>
            <w:hideMark/>
          </w:tcPr>
          <w:p w:rsidR="00D14904" w:rsidRDefault="00D14904">
            <w:r>
              <w:rPr>
                <w:b/>
                <w:bCs/>
              </w:rPr>
              <w:t>Time Req.</w:t>
            </w:r>
          </w:p>
        </w:tc>
        <w:tc>
          <w:tcPr>
            <w:tcW w:w="0" w:type="auto"/>
            <w:vAlign w:val="center"/>
            <w:hideMark/>
          </w:tcPr>
          <w:p w:rsidR="00D14904" w:rsidRDefault="00D14904">
            <w:r>
              <w:t>Significant</w:t>
            </w:r>
          </w:p>
        </w:tc>
        <w:tc>
          <w:tcPr>
            <w:tcW w:w="0" w:type="auto"/>
            <w:vAlign w:val="center"/>
            <w:hideMark/>
          </w:tcPr>
          <w:p w:rsidR="00D14904" w:rsidRDefault="00D14904">
            <w:r>
              <w:t>Minimal</w:t>
            </w:r>
          </w:p>
        </w:tc>
      </w:tr>
    </w:tbl>
    <w:p w:rsidR="00D14904" w:rsidRDefault="00D14904" w:rsidP="00D14904">
      <w:r>
        <w:rPr>
          <w:rStyle w:val="export-sheets-button"/>
        </w:rPr>
        <w:t>Export to Sheets</w:t>
      </w:r>
    </w:p>
    <w:p w:rsidR="00D14904" w:rsidRDefault="00D14904" w:rsidP="00D14904">
      <w:r>
        <w:pict>
          <v:rect id="_x0000_i1075" style="width:0;height:1.5pt" o:hralign="center" o:hrstd="t" o:hr="t" fillcolor="#a0a0a0" stroked="f"/>
        </w:pict>
      </w:r>
    </w:p>
    <w:p w:rsidR="00D14904" w:rsidRDefault="00D14904" w:rsidP="00D14904">
      <w:pPr>
        <w:pStyle w:val="Heading2"/>
      </w:pPr>
      <w:r>
        <w:t>4. The Synthesis: The "Sandwich" Method</w:t>
      </w:r>
    </w:p>
    <w:p w:rsidR="00D14904" w:rsidRDefault="00D14904" w:rsidP="00D14904">
      <w:pPr>
        <w:pStyle w:val="NormalWeb"/>
      </w:pPr>
      <w:r>
        <w:t>In modern engineering pedagogy, the most effective strategy is often a hybrid.</w:t>
      </w:r>
    </w:p>
    <w:p w:rsidR="00D14904" w:rsidRDefault="00D14904" w:rsidP="00D14904">
      <w:pPr>
        <w:pStyle w:val="NormalWeb"/>
        <w:numPr>
          <w:ilvl w:val="0"/>
          <w:numId w:val="14"/>
        </w:numPr>
      </w:pPr>
      <w:r>
        <w:rPr>
          <w:b/>
          <w:bCs/>
        </w:rPr>
        <w:t>Inductive Hook:</w:t>
      </w:r>
      <w:r>
        <w:t xml:space="preserve"> Start with a brief, intriguing problem or simulation (e.g., "Why did this bridge vibrate?").</w:t>
      </w:r>
    </w:p>
    <w:p w:rsidR="00D14904" w:rsidRDefault="00D14904" w:rsidP="00D14904">
      <w:pPr>
        <w:pStyle w:val="NormalWeb"/>
        <w:numPr>
          <w:ilvl w:val="0"/>
          <w:numId w:val="14"/>
        </w:numPr>
      </w:pPr>
      <w:r>
        <w:rPr>
          <w:b/>
          <w:bCs/>
        </w:rPr>
        <w:t>Deductive Delivery:</w:t>
      </w:r>
      <w:r>
        <w:t xml:space="preserve"> Introduce the formal complex formula (e.g., resonance and damping equations) to explain the observation.</w:t>
      </w:r>
    </w:p>
    <w:p w:rsidR="00D14904" w:rsidRDefault="00D14904" w:rsidP="00D14904">
      <w:pPr>
        <w:pStyle w:val="NormalWeb"/>
        <w:numPr>
          <w:ilvl w:val="0"/>
          <w:numId w:val="14"/>
        </w:numPr>
      </w:pPr>
      <w:r>
        <w:rPr>
          <w:b/>
          <w:bCs/>
        </w:rPr>
        <w:t>Inductive Extension:</w:t>
      </w:r>
      <w:r>
        <w:t xml:space="preserve"> Have students apply the formula to a new, slightly different scenario to test the boundaries of the rule.</w:t>
      </w:r>
    </w:p>
    <w:p w:rsidR="00E77A6D" w:rsidRDefault="00E77A6D" w:rsidP="00E77A6D">
      <w:pPr>
        <w:pStyle w:val="NormalWeb"/>
      </w:pPr>
      <w:r>
        <w:t>In Computer Science, the choice between inductive and deductive paths is often dictated by the "level of abstraction"—whether you are teaching low-level machine logic or high-level algorithmic theory.</w:t>
      </w:r>
    </w:p>
    <w:p w:rsidR="00E77A6D" w:rsidRDefault="00E77A6D" w:rsidP="00E77A6D">
      <w:r>
        <w:pict>
          <v:rect id="_x0000_i1079" style="width:0;height:1.5pt" o:hralign="center" o:hrstd="t" o:hr="t" fillcolor="#a0a0a0" stroked="f"/>
        </w:pict>
      </w:r>
    </w:p>
    <w:p w:rsidR="00E77A6D" w:rsidRDefault="00E77A6D" w:rsidP="00E77A6D">
      <w:pPr>
        <w:pStyle w:val="Heading2"/>
      </w:pPr>
      <w:r>
        <w:t>1. The Inductive Path in CS: "Bottom-Up"</w:t>
      </w:r>
    </w:p>
    <w:p w:rsidR="00E77A6D" w:rsidRDefault="00E77A6D" w:rsidP="00E77A6D">
      <w:pPr>
        <w:pStyle w:val="NormalWeb"/>
      </w:pPr>
      <w:r>
        <w:t xml:space="preserve">This is most effective when teaching </w:t>
      </w:r>
      <w:r>
        <w:rPr>
          <w:b/>
          <w:bCs/>
        </w:rPr>
        <w:t>algorithmic patterns</w:t>
      </w:r>
      <w:r>
        <w:t xml:space="preserve"> and </w:t>
      </w:r>
      <w:r>
        <w:rPr>
          <w:b/>
          <w:bCs/>
        </w:rPr>
        <w:t>data structures</w:t>
      </w:r>
      <w:r>
        <w:t>. Because CS is fundamentally about pattern recognition, starting with specific cases helps students build a mental model of how data moves.</w:t>
      </w:r>
    </w:p>
    <w:p w:rsidR="00E77A6D" w:rsidRDefault="00E77A6D" w:rsidP="00E77A6D">
      <w:pPr>
        <w:pStyle w:val="Heading3"/>
      </w:pPr>
      <w:r>
        <w:t>When to use it:</w:t>
      </w:r>
    </w:p>
    <w:p w:rsidR="00E77A6D" w:rsidRDefault="00E77A6D" w:rsidP="00E77A6D">
      <w:pPr>
        <w:pStyle w:val="NormalWeb"/>
        <w:numPr>
          <w:ilvl w:val="0"/>
          <w:numId w:val="15"/>
        </w:numPr>
      </w:pPr>
      <w:r>
        <w:rPr>
          <w:b/>
          <w:bCs/>
        </w:rPr>
        <w:t>Recursive Formulas:</w:t>
      </w:r>
      <w:r>
        <w:t xml:space="preserve"> Instead of starting with the recurrence relation for Merge Sort:</w:t>
      </w:r>
    </w:p>
    <w:p w:rsidR="00E77A6D" w:rsidRDefault="00E77A6D" w:rsidP="00E77A6D">
      <w:pPr>
        <w:spacing w:beforeAutospacing="1" w:afterAutospacing="1"/>
        <w:ind w:left="720"/>
      </w:pPr>
      <w:proofErr w:type="gramStart"/>
      <w:r>
        <w:rPr>
          <w:rStyle w:val="mord"/>
        </w:rPr>
        <w:t>T</w:t>
      </w:r>
      <w:r>
        <w:rPr>
          <w:rStyle w:val="mopen"/>
        </w:rPr>
        <w:t>(</w:t>
      </w:r>
      <w:proofErr w:type="gramEnd"/>
      <w:r>
        <w:rPr>
          <w:rStyle w:val="mord"/>
        </w:rPr>
        <w:t>n</w:t>
      </w:r>
      <w:r>
        <w:rPr>
          <w:rStyle w:val="mclose"/>
        </w:rPr>
        <w:t>)</w:t>
      </w:r>
      <w:r>
        <w:rPr>
          <w:rStyle w:val="mrel"/>
        </w:rPr>
        <w:t>=</w:t>
      </w:r>
      <w:r>
        <w:rPr>
          <w:rStyle w:val="mord"/>
        </w:rPr>
        <w:t>2T</w:t>
      </w:r>
      <w:r>
        <w:rPr>
          <w:rStyle w:val="mopen"/>
        </w:rPr>
        <w:t>(</w:t>
      </w:r>
      <w:r>
        <w:rPr>
          <w:rStyle w:val="mord"/>
        </w:rPr>
        <w:t>n/2</w:t>
      </w:r>
      <w:r>
        <w:rPr>
          <w:rStyle w:val="mclose"/>
        </w:rPr>
        <w:t>)</w:t>
      </w:r>
      <w:r>
        <w:rPr>
          <w:rStyle w:val="mbin"/>
        </w:rPr>
        <w:t>+</w:t>
      </w:r>
      <w:r>
        <w:rPr>
          <w:rStyle w:val="mord"/>
        </w:rPr>
        <w:t>n</w:t>
      </w:r>
    </w:p>
    <w:p w:rsidR="00E77A6D" w:rsidRDefault="00E77A6D" w:rsidP="00E77A6D">
      <w:pPr>
        <w:pStyle w:val="NormalWeb"/>
        <w:ind w:left="720"/>
      </w:pPr>
      <w:r>
        <w:t>Start by having students manually sort 2 cards, then 4, then 8. Let them "discover" that the work doubles and requires a merge step.</w:t>
      </w:r>
    </w:p>
    <w:p w:rsidR="00E77A6D" w:rsidRDefault="00E77A6D" w:rsidP="00E77A6D">
      <w:pPr>
        <w:pStyle w:val="NormalWeb"/>
        <w:numPr>
          <w:ilvl w:val="0"/>
          <w:numId w:val="15"/>
        </w:numPr>
      </w:pPr>
      <w:r>
        <w:rPr>
          <w:b/>
          <w:bCs/>
        </w:rPr>
        <w:lastRenderedPageBreak/>
        <w:t>Machine Learning:</w:t>
      </w:r>
      <w:r>
        <w:t xml:space="preserve"> Before introducing a Loss Function formula, show students a scatter plot and ask them to draw a line that "looks" right. This builds the intuition behind minimizing error.</w:t>
      </w:r>
    </w:p>
    <w:p w:rsidR="00E77A6D" w:rsidRDefault="00E77A6D" w:rsidP="00E77A6D">
      <w:pPr>
        <w:pStyle w:val="NormalWeb"/>
        <w:numPr>
          <w:ilvl w:val="0"/>
          <w:numId w:val="15"/>
        </w:numPr>
      </w:pPr>
      <w:r>
        <w:rPr>
          <w:b/>
          <w:bCs/>
        </w:rPr>
        <w:t>Design Patterns:</w:t>
      </w:r>
      <w:r>
        <w:t xml:space="preserve"> Show three different "messy" code snippets that solve similar problems. Have students identify the common structure before naming it (e.g., the </w:t>
      </w:r>
      <w:r>
        <w:rPr>
          <w:i/>
          <w:iCs/>
        </w:rPr>
        <w:t>Factory Pattern</w:t>
      </w:r>
      <w:r>
        <w:t>).</w:t>
      </w:r>
    </w:p>
    <w:p w:rsidR="00E77A6D" w:rsidRDefault="00E77A6D" w:rsidP="00E77A6D">
      <w:r>
        <w:pict>
          <v:rect id="_x0000_i1080" style="width:0;height:1.5pt" o:hralign="center" o:hrstd="t" o:hr="t" fillcolor="#a0a0a0" stroked="f"/>
        </w:pict>
      </w:r>
    </w:p>
    <w:p w:rsidR="00E77A6D" w:rsidRDefault="00E77A6D" w:rsidP="00E77A6D">
      <w:pPr>
        <w:pStyle w:val="Heading2"/>
      </w:pPr>
      <w:r>
        <w:t>2. The Deductive Path in CS: "Top-Down"</w:t>
      </w:r>
    </w:p>
    <w:p w:rsidR="00E77A6D" w:rsidRDefault="00E77A6D" w:rsidP="00E77A6D">
      <w:pPr>
        <w:pStyle w:val="NormalWeb"/>
      </w:pPr>
      <w:r>
        <w:t xml:space="preserve">This is most effective for </w:t>
      </w:r>
      <w:r>
        <w:rPr>
          <w:b/>
          <w:bCs/>
        </w:rPr>
        <w:t>Systems Architecture</w:t>
      </w:r>
      <w:r>
        <w:t xml:space="preserve">, </w:t>
      </w:r>
      <w:r>
        <w:rPr>
          <w:b/>
          <w:bCs/>
        </w:rPr>
        <w:t>Complexity Theory</w:t>
      </w:r>
      <w:r>
        <w:t xml:space="preserve">, and </w:t>
      </w:r>
      <w:r>
        <w:rPr>
          <w:b/>
          <w:bCs/>
        </w:rPr>
        <w:t>Formal Logic</w:t>
      </w:r>
      <w:r>
        <w:t>. When the rules are mathematical "laws of the universe," starting with the rule provides the necessary constraints for thought.</w:t>
      </w:r>
    </w:p>
    <w:p w:rsidR="00E77A6D" w:rsidRDefault="00E77A6D" w:rsidP="00E77A6D">
      <w:bookmarkStart w:id="0" w:name="_GoBack"/>
      <w:r>
        <w:rPr>
          <w:noProof/>
        </w:rPr>
        <w:drawing>
          <wp:inline distT="0" distB="0" distL="0" distR="0">
            <wp:extent cx="5429379" cy="4838700"/>
            <wp:effectExtent l="0" t="0" r="0" b="0"/>
            <wp:docPr id="1" name="Picture 1" descr="https://encrypted-tbn2.gstatic.com/licensed-image?q=tbn:ANd9GcT6FQ7-6uG9ufYXUzWwBzrsULrGRvYsQHUFbEuIZbeyZKZNuy_o6r3x1JrlXpiFLpkuHa00yzSazXvvC0T8YlqDO34Ij0dCPu-5DdVe80zl6VB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encrypted-tbn2.gstatic.com/licensed-image?q=tbn:ANd9GcT6FQ7-6uG9ufYXUzWwBzrsULrGRvYsQHUFbEuIZbeyZKZNuy_o6r3x1JrlXpiFLpkuHa00yzSazXvvC0T8YlqDO34Ij0dCPu-5DdVe80zl6VBn_Z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1157" cy="4849197"/>
                    </a:xfrm>
                    <a:prstGeom prst="rect">
                      <a:avLst/>
                    </a:prstGeom>
                    <a:noFill/>
                    <a:ln>
                      <a:noFill/>
                    </a:ln>
                  </pic:spPr>
                </pic:pic>
              </a:graphicData>
            </a:graphic>
          </wp:inline>
        </w:drawing>
      </w:r>
      <w:bookmarkEnd w:id="0"/>
    </w:p>
    <w:p w:rsidR="00E77A6D" w:rsidRDefault="00E77A6D" w:rsidP="00E77A6D">
      <w:pPr>
        <w:pStyle w:val="Heading3"/>
      </w:pPr>
      <w:r>
        <w:t>When to use it:</w:t>
      </w:r>
    </w:p>
    <w:p w:rsidR="00E77A6D" w:rsidRDefault="00E77A6D" w:rsidP="00E77A6D">
      <w:pPr>
        <w:pStyle w:val="NormalWeb"/>
        <w:numPr>
          <w:ilvl w:val="0"/>
          <w:numId w:val="16"/>
        </w:numPr>
      </w:pPr>
      <w:r>
        <w:rPr>
          <w:b/>
          <w:bCs/>
        </w:rPr>
        <w:lastRenderedPageBreak/>
        <w:t>Big O Notation:</w:t>
      </w:r>
      <w:r>
        <w:t xml:space="preserve"> Complexity classes are easier to understand deductively. Define the hierarchy (</w:t>
      </w:r>
      <w:proofErr w:type="gramStart"/>
      <w:r>
        <w:rPr>
          <w:rStyle w:val="mord"/>
        </w:rPr>
        <w:t>O</w:t>
      </w:r>
      <w:r>
        <w:rPr>
          <w:rStyle w:val="mopen"/>
        </w:rPr>
        <w:t>(</w:t>
      </w:r>
      <w:proofErr w:type="gramEnd"/>
      <w:r>
        <w:rPr>
          <w:rStyle w:val="mord"/>
        </w:rPr>
        <w:t>1</w:t>
      </w:r>
      <w:r>
        <w:rPr>
          <w:rStyle w:val="mclose"/>
        </w:rPr>
        <w:t>)</w:t>
      </w:r>
      <w:r>
        <w:rPr>
          <w:rStyle w:val="mrel"/>
        </w:rPr>
        <w:t>&lt;</w:t>
      </w:r>
      <w:r>
        <w:rPr>
          <w:rStyle w:val="mord"/>
        </w:rPr>
        <w:t>O</w:t>
      </w:r>
      <w:r>
        <w:rPr>
          <w:rStyle w:val="mopen"/>
        </w:rPr>
        <w:t>(</w:t>
      </w:r>
      <w:proofErr w:type="spellStart"/>
      <w:r>
        <w:rPr>
          <w:rStyle w:val="mop"/>
        </w:rPr>
        <w:t>log</w:t>
      </w:r>
      <w:r>
        <w:rPr>
          <w:rStyle w:val="mord"/>
        </w:rPr>
        <w:t>n</w:t>
      </w:r>
      <w:proofErr w:type="spellEnd"/>
      <w:r>
        <w:rPr>
          <w:rStyle w:val="mclose"/>
        </w:rPr>
        <w:t>)</w:t>
      </w:r>
      <w:r>
        <w:rPr>
          <w:rStyle w:val="mrel"/>
        </w:rPr>
        <w:t>&lt;</w:t>
      </w:r>
      <w:r>
        <w:rPr>
          <w:rStyle w:val="mord"/>
        </w:rPr>
        <w:t>O</w:t>
      </w:r>
      <w:r>
        <w:rPr>
          <w:rStyle w:val="mopen"/>
        </w:rPr>
        <w:t>(</w:t>
      </w:r>
      <w:r>
        <w:rPr>
          <w:rStyle w:val="mord"/>
        </w:rPr>
        <w:t>n</w:t>
      </w:r>
      <w:r>
        <w:rPr>
          <w:rStyle w:val="mclose"/>
        </w:rPr>
        <w:t>)</w:t>
      </w:r>
      <w:r>
        <w:rPr>
          <w:rStyle w:val="minner"/>
        </w:rPr>
        <w:t>…</w:t>
      </w:r>
      <w:r>
        <w:t>) first, then analyze code to see where it fits.</w:t>
      </w:r>
    </w:p>
    <w:p w:rsidR="00E77A6D" w:rsidRDefault="00E77A6D" w:rsidP="00E77A6D">
      <w:pPr>
        <w:pStyle w:val="NormalWeb"/>
        <w:numPr>
          <w:ilvl w:val="0"/>
          <w:numId w:val="16"/>
        </w:numPr>
      </w:pPr>
      <w:r>
        <w:rPr>
          <w:b/>
          <w:bCs/>
        </w:rPr>
        <w:t>Protocol Standards:</w:t>
      </w:r>
      <w:r>
        <w:t xml:space="preserve"> When teaching TCP/IP or Security Handshakes, the "rules" are arbitrary and man-made. There is no natural phenomenon to "discover," so you must state the protocol (the formula/rule) and then show it in action.</w:t>
      </w:r>
    </w:p>
    <w:p w:rsidR="00E77A6D" w:rsidRDefault="00E77A6D" w:rsidP="00E77A6D">
      <w:pPr>
        <w:pStyle w:val="NormalWeb"/>
        <w:numPr>
          <w:ilvl w:val="0"/>
          <w:numId w:val="16"/>
        </w:numPr>
      </w:pPr>
      <w:r>
        <w:rPr>
          <w:b/>
          <w:bCs/>
        </w:rPr>
        <w:t xml:space="preserve">Boolean </w:t>
      </w:r>
      <w:proofErr w:type="gramStart"/>
      <w:r>
        <w:rPr>
          <w:b/>
          <w:bCs/>
        </w:rPr>
        <w:t>Algebra</w:t>
      </w:r>
      <w:proofErr w:type="gramEnd"/>
      <w:r>
        <w:rPr>
          <w:b/>
          <w:bCs/>
        </w:rPr>
        <w:t>:</w:t>
      </w:r>
      <w:r>
        <w:t xml:space="preserve"> Start with the laws (e.g., De Morgan's Laws).</w:t>
      </w:r>
    </w:p>
    <w:p w:rsidR="00E77A6D" w:rsidRDefault="00E77A6D" w:rsidP="00E77A6D">
      <w:pPr>
        <w:spacing w:beforeAutospacing="1" w:afterAutospacing="1"/>
        <w:ind w:left="720"/>
      </w:pPr>
      <w:proofErr w:type="gramStart"/>
      <w:r>
        <w:rPr>
          <w:rStyle w:val="mord"/>
        </w:rPr>
        <w:t>¬</w:t>
      </w:r>
      <w:r>
        <w:rPr>
          <w:rStyle w:val="mopen"/>
        </w:rPr>
        <w:t>(</w:t>
      </w:r>
      <w:proofErr w:type="gramEnd"/>
      <w:r>
        <w:rPr>
          <w:rStyle w:val="mord"/>
        </w:rPr>
        <w:t>A</w:t>
      </w:r>
      <w:r>
        <w:rPr>
          <w:rStyle w:val="mbin"/>
          <w:rFonts w:ascii="Cambria Math" w:hAnsi="Cambria Math" w:cs="Cambria Math"/>
        </w:rPr>
        <w:t>∧</w:t>
      </w:r>
      <w:r>
        <w:rPr>
          <w:rStyle w:val="mord"/>
        </w:rPr>
        <w:t>B</w:t>
      </w:r>
      <w:r>
        <w:rPr>
          <w:rStyle w:val="mclose"/>
        </w:rPr>
        <w:t>)</w:t>
      </w:r>
      <w:r>
        <w:rPr>
          <w:rStyle w:val="mrel"/>
          <w:rFonts w:ascii="Cambria Math" w:hAnsi="Cambria Math" w:cs="Cambria Math"/>
        </w:rPr>
        <w:t>⟺</w:t>
      </w:r>
      <w:r>
        <w:rPr>
          <w:rStyle w:val="mopen"/>
        </w:rPr>
        <w:t>(</w:t>
      </w:r>
      <w:r>
        <w:rPr>
          <w:rStyle w:val="mord"/>
        </w:rPr>
        <w:t>¬A</w:t>
      </w:r>
      <w:r>
        <w:rPr>
          <w:rStyle w:val="mclose"/>
        </w:rPr>
        <w:t>)</w:t>
      </w:r>
      <w:r>
        <w:rPr>
          <w:rStyle w:val="mbin"/>
          <w:rFonts w:ascii="Cambria Math" w:hAnsi="Cambria Math" w:cs="Cambria Math"/>
        </w:rPr>
        <w:t>∨</w:t>
      </w:r>
      <w:r>
        <w:rPr>
          <w:rStyle w:val="mopen"/>
        </w:rPr>
        <w:t>(</w:t>
      </w:r>
      <w:r>
        <w:rPr>
          <w:rStyle w:val="mord"/>
        </w:rPr>
        <w:t>¬B</w:t>
      </w:r>
      <w:r>
        <w:rPr>
          <w:rStyle w:val="mclose"/>
        </w:rPr>
        <w:t>)</w:t>
      </w:r>
    </w:p>
    <w:p w:rsidR="00E77A6D" w:rsidRDefault="00E77A6D" w:rsidP="00E77A6D">
      <w:pPr>
        <w:pStyle w:val="NormalWeb"/>
        <w:ind w:left="720"/>
      </w:pPr>
      <w:r>
        <w:t xml:space="preserve">Once the law is established, students can use it to simplify complex </w:t>
      </w:r>
      <w:r>
        <w:rPr>
          <w:rStyle w:val="HTMLCode"/>
        </w:rPr>
        <w:t>if-else</w:t>
      </w:r>
      <w:r>
        <w:t xml:space="preserve"> blocks in their code.</w:t>
      </w:r>
    </w:p>
    <w:p w:rsidR="00E77A6D" w:rsidRDefault="00E77A6D" w:rsidP="00E77A6D">
      <w:r>
        <w:pict>
          <v:rect id="_x0000_i1082" style="width:0;height:1.5pt" o:hralign="center" o:hrstd="t" o:hr="t" fillcolor="#a0a0a0" stroked="f"/>
        </w:pict>
      </w:r>
    </w:p>
    <w:p w:rsidR="00E77A6D" w:rsidRDefault="00E77A6D" w:rsidP="00E77A6D">
      <w:pPr>
        <w:pStyle w:val="Heading2"/>
      </w:pPr>
      <w:r>
        <w:t>3. Cognitive Strategy: The "Sandbox" Approach</w:t>
      </w:r>
    </w:p>
    <w:p w:rsidR="00E77A6D" w:rsidRDefault="00E77A6D" w:rsidP="00E77A6D">
      <w:pPr>
        <w:pStyle w:val="NormalWeb"/>
      </w:pPr>
      <w:r>
        <w:t xml:space="preserve">Computer Science offers a unique tool for these paths: </w:t>
      </w:r>
      <w:r>
        <w:rPr>
          <w:b/>
          <w:bCs/>
        </w:rPr>
        <w:t>the Compiler.</w:t>
      </w:r>
      <w:r>
        <w:t xml:space="preserve"> Unlike civil engineering, where an "inductive" failure might break a physical bridge, CS students can fail safely.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963"/>
        <w:gridCol w:w="7036"/>
      </w:tblGrid>
      <w:tr w:rsidR="00E77A6D" w:rsidTr="00E77A6D">
        <w:trPr>
          <w:tblHeader/>
          <w:tblCellSpacing w:w="15" w:type="dxa"/>
        </w:trPr>
        <w:tc>
          <w:tcPr>
            <w:tcW w:w="0" w:type="auto"/>
            <w:vAlign w:val="center"/>
            <w:hideMark/>
          </w:tcPr>
          <w:p w:rsidR="00E77A6D" w:rsidRDefault="00E77A6D">
            <w:pPr>
              <w:jc w:val="center"/>
              <w:rPr>
                <w:b/>
                <w:bCs/>
              </w:rPr>
            </w:pPr>
            <w:r>
              <w:rPr>
                <w:b/>
                <w:bCs/>
              </w:rPr>
              <w:t>Strategy</w:t>
            </w:r>
          </w:p>
        </w:tc>
        <w:tc>
          <w:tcPr>
            <w:tcW w:w="0" w:type="auto"/>
            <w:vAlign w:val="center"/>
            <w:hideMark/>
          </w:tcPr>
          <w:p w:rsidR="00E77A6D" w:rsidRDefault="00E77A6D">
            <w:pPr>
              <w:jc w:val="center"/>
              <w:rPr>
                <w:b/>
                <w:bCs/>
              </w:rPr>
            </w:pPr>
            <w:r>
              <w:rPr>
                <w:b/>
                <w:bCs/>
              </w:rPr>
              <w:t>Path</w:t>
            </w:r>
          </w:p>
        </w:tc>
        <w:tc>
          <w:tcPr>
            <w:tcW w:w="0" w:type="auto"/>
            <w:vAlign w:val="center"/>
            <w:hideMark/>
          </w:tcPr>
          <w:p w:rsidR="00E77A6D" w:rsidRDefault="00E77A6D">
            <w:pPr>
              <w:jc w:val="center"/>
              <w:rPr>
                <w:b/>
                <w:bCs/>
              </w:rPr>
            </w:pPr>
            <w:r>
              <w:rPr>
                <w:b/>
                <w:bCs/>
              </w:rPr>
              <w:t>CS Application</w:t>
            </w:r>
          </w:p>
        </w:tc>
      </w:tr>
      <w:tr w:rsidR="00E77A6D" w:rsidTr="00E77A6D">
        <w:trPr>
          <w:tblCellSpacing w:w="15" w:type="dxa"/>
        </w:trPr>
        <w:tc>
          <w:tcPr>
            <w:tcW w:w="0" w:type="auto"/>
            <w:vAlign w:val="center"/>
            <w:hideMark/>
          </w:tcPr>
          <w:p w:rsidR="00E77A6D" w:rsidRDefault="00E77A6D">
            <w:r>
              <w:rPr>
                <w:b/>
                <w:bCs/>
              </w:rPr>
              <w:t>Trace-First</w:t>
            </w:r>
          </w:p>
        </w:tc>
        <w:tc>
          <w:tcPr>
            <w:tcW w:w="0" w:type="auto"/>
            <w:vAlign w:val="center"/>
            <w:hideMark/>
          </w:tcPr>
          <w:p w:rsidR="00E77A6D" w:rsidRDefault="00E77A6D">
            <w:r>
              <w:t>Inductive</w:t>
            </w:r>
          </w:p>
        </w:tc>
        <w:tc>
          <w:tcPr>
            <w:tcW w:w="0" w:type="auto"/>
            <w:vAlign w:val="center"/>
            <w:hideMark/>
          </w:tcPr>
          <w:p w:rsidR="00E77A6D" w:rsidRDefault="00E77A6D">
            <w:r>
              <w:t>Trace the execution of a loop with sample inputs to derive the loop invariant.</w:t>
            </w:r>
          </w:p>
        </w:tc>
      </w:tr>
      <w:tr w:rsidR="00E77A6D" w:rsidTr="00E77A6D">
        <w:trPr>
          <w:tblCellSpacing w:w="15" w:type="dxa"/>
        </w:trPr>
        <w:tc>
          <w:tcPr>
            <w:tcW w:w="0" w:type="auto"/>
            <w:vAlign w:val="center"/>
            <w:hideMark/>
          </w:tcPr>
          <w:p w:rsidR="00E77A6D" w:rsidRDefault="00E77A6D">
            <w:r>
              <w:rPr>
                <w:b/>
                <w:bCs/>
              </w:rPr>
              <w:t>Theorem-First</w:t>
            </w:r>
          </w:p>
        </w:tc>
        <w:tc>
          <w:tcPr>
            <w:tcW w:w="0" w:type="auto"/>
            <w:vAlign w:val="center"/>
            <w:hideMark/>
          </w:tcPr>
          <w:p w:rsidR="00E77A6D" w:rsidRDefault="00E77A6D">
            <w:r>
              <w:t>Deductive</w:t>
            </w:r>
          </w:p>
        </w:tc>
        <w:tc>
          <w:tcPr>
            <w:tcW w:w="0" w:type="auto"/>
            <w:vAlign w:val="center"/>
            <w:hideMark/>
          </w:tcPr>
          <w:p w:rsidR="00E77A6D" w:rsidRDefault="00E77A6D">
            <w:r>
              <w:t>Use a known API or Library's documentation to build a specific feature.</w:t>
            </w:r>
          </w:p>
        </w:tc>
      </w:tr>
      <w:tr w:rsidR="00E77A6D" w:rsidTr="00E77A6D">
        <w:trPr>
          <w:tblCellSpacing w:w="15" w:type="dxa"/>
        </w:trPr>
        <w:tc>
          <w:tcPr>
            <w:tcW w:w="0" w:type="auto"/>
            <w:vAlign w:val="center"/>
            <w:hideMark/>
          </w:tcPr>
          <w:p w:rsidR="00E77A6D" w:rsidRDefault="00E77A6D">
            <w:r>
              <w:rPr>
                <w:b/>
                <w:bCs/>
              </w:rPr>
              <w:t>Refactoring</w:t>
            </w:r>
          </w:p>
        </w:tc>
        <w:tc>
          <w:tcPr>
            <w:tcW w:w="0" w:type="auto"/>
            <w:vAlign w:val="center"/>
            <w:hideMark/>
          </w:tcPr>
          <w:p w:rsidR="00E77A6D" w:rsidRDefault="00E77A6D">
            <w:r>
              <w:t>Inductive</w:t>
            </w:r>
          </w:p>
        </w:tc>
        <w:tc>
          <w:tcPr>
            <w:tcW w:w="0" w:type="auto"/>
            <w:vAlign w:val="center"/>
            <w:hideMark/>
          </w:tcPr>
          <w:p w:rsidR="00E77A6D" w:rsidRDefault="00E77A6D">
            <w:r>
              <w:t>Write "ugly" working code first, then extract the generalized formula/function.</w:t>
            </w:r>
          </w:p>
        </w:tc>
      </w:tr>
    </w:tbl>
    <w:p w:rsidR="00E77A6D" w:rsidRDefault="00E77A6D" w:rsidP="00E77A6D">
      <w:r>
        <w:rPr>
          <w:rStyle w:val="export-sheets-button"/>
        </w:rPr>
        <w:t>Export to Sheets</w:t>
      </w:r>
    </w:p>
    <w:p w:rsidR="00E77A6D" w:rsidRDefault="00E77A6D" w:rsidP="00E77A6D">
      <w:r>
        <w:pict>
          <v:rect id="_x0000_i1083" style="width:0;height:1.5pt" o:hralign="center" o:hrstd="t" o:hr="t" fillcolor="#a0a0a0" stroked="f"/>
        </w:pict>
      </w:r>
    </w:p>
    <w:p w:rsidR="00E77A6D" w:rsidRDefault="00E77A6D" w:rsidP="00E77A6D">
      <w:pPr>
        <w:pStyle w:val="Heading2"/>
      </w:pPr>
      <w:r>
        <w:t>Summary of Effectiveness</w:t>
      </w:r>
    </w:p>
    <w:p w:rsidR="00E77A6D" w:rsidRDefault="00E77A6D" w:rsidP="00E77A6D">
      <w:pPr>
        <w:pStyle w:val="NormalWeb"/>
        <w:numPr>
          <w:ilvl w:val="0"/>
          <w:numId w:val="17"/>
        </w:numPr>
      </w:pPr>
      <w:r>
        <w:rPr>
          <w:b/>
          <w:bCs/>
        </w:rPr>
        <w:t>Use Inductive</w:t>
      </w:r>
      <w:r>
        <w:t xml:space="preserve"> when you want to build </w:t>
      </w:r>
      <w:r>
        <w:rPr>
          <w:b/>
          <w:bCs/>
        </w:rPr>
        <w:t>intuition</w:t>
      </w:r>
      <w:r>
        <w:t xml:space="preserve"> and "hacker" problem-solving skills. It works best for junior developers or when introducing a brand-new concept like </w:t>
      </w:r>
      <w:r>
        <w:rPr>
          <w:i/>
          <w:iCs/>
        </w:rPr>
        <w:t>Pointers</w:t>
      </w:r>
      <w:r>
        <w:t>.</w:t>
      </w:r>
    </w:p>
    <w:p w:rsidR="00E77A6D" w:rsidRDefault="00E77A6D" w:rsidP="00E77A6D">
      <w:pPr>
        <w:pStyle w:val="NormalWeb"/>
        <w:numPr>
          <w:ilvl w:val="0"/>
          <w:numId w:val="17"/>
        </w:numPr>
      </w:pPr>
      <w:r>
        <w:rPr>
          <w:b/>
          <w:bCs/>
        </w:rPr>
        <w:t>Use Deductive</w:t>
      </w:r>
      <w:r>
        <w:t xml:space="preserve"> when you need </w:t>
      </w:r>
      <w:r>
        <w:rPr>
          <w:b/>
          <w:bCs/>
        </w:rPr>
        <w:t>efficiency and precision</w:t>
      </w:r>
      <w:r>
        <w:t>. It works best for senior students who need to optimize systems or verify that their code is mathematically "correct."</w:t>
      </w:r>
    </w:p>
    <w:p w:rsidR="00E77A6D" w:rsidRDefault="00E77A6D" w:rsidP="00E77A6D">
      <w:pPr>
        <w:pStyle w:val="NormalWeb"/>
      </w:pPr>
      <w:r>
        <w:t>Are you currently designing a curriculum for a specific CS topic, like Algorithms, Systems, or Software Engineering?</w:t>
      </w:r>
    </w:p>
    <w:p w:rsidR="003433B8" w:rsidRPr="00D14904" w:rsidRDefault="003433B8" w:rsidP="00D14904"/>
    <w:sectPr w:rsidR="003433B8" w:rsidRPr="00D14904" w:rsidSect="00A11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33B24"/>
    <w:multiLevelType w:val="multilevel"/>
    <w:tmpl w:val="1DB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567D"/>
    <w:multiLevelType w:val="multilevel"/>
    <w:tmpl w:val="84A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180F"/>
    <w:multiLevelType w:val="multilevel"/>
    <w:tmpl w:val="6D6C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E7D89"/>
    <w:multiLevelType w:val="multilevel"/>
    <w:tmpl w:val="6D9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33A93"/>
    <w:multiLevelType w:val="multilevel"/>
    <w:tmpl w:val="974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87020"/>
    <w:multiLevelType w:val="multilevel"/>
    <w:tmpl w:val="9D5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752C6"/>
    <w:multiLevelType w:val="multilevel"/>
    <w:tmpl w:val="7B0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13AD9"/>
    <w:multiLevelType w:val="multilevel"/>
    <w:tmpl w:val="8798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34C9D"/>
    <w:multiLevelType w:val="multilevel"/>
    <w:tmpl w:val="C7C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D6F1D"/>
    <w:multiLevelType w:val="multilevel"/>
    <w:tmpl w:val="0A7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01293"/>
    <w:multiLevelType w:val="multilevel"/>
    <w:tmpl w:val="869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C2D9E"/>
    <w:multiLevelType w:val="multilevel"/>
    <w:tmpl w:val="636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F7E8D"/>
    <w:multiLevelType w:val="multilevel"/>
    <w:tmpl w:val="6BB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A3F3D"/>
    <w:multiLevelType w:val="multilevel"/>
    <w:tmpl w:val="AD60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A194B"/>
    <w:multiLevelType w:val="multilevel"/>
    <w:tmpl w:val="EAF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77F05"/>
    <w:multiLevelType w:val="multilevel"/>
    <w:tmpl w:val="58E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00F1F"/>
    <w:multiLevelType w:val="multilevel"/>
    <w:tmpl w:val="8C4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0"/>
  </w:num>
  <w:num w:numId="4">
    <w:abstractNumId w:val="3"/>
  </w:num>
  <w:num w:numId="5">
    <w:abstractNumId w:val="8"/>
  </w:num>
  <w:num w:numId="6">
    <w:abstractNumId w:val="12"/>
  </w:num>
  <w:num w:numId="7">
    <w:abstractNumId w:val="9"/>
  </w:num>
  <w:num w:numId="8">
    <w:abstractNumId w:val="10"/>
  </w:num>
  <w:num w:numId="9">
    <w:abstractNumId w:val="4"/>
  </w:num>
  <w:num w:numId="10">
    <w:abstractNumId w:val="6"/>
  </w:num>
  <w:num w:numId="11">
    <w:abstractNumId w:val="5"/>
  </w:num>
  <w:num w:numId="12">
    <w:abstractNumId w:val="2"/>
  </w:num>
  <w:num w:numId="13">
    <w:abstractNumId w:val="15"/>
  </w:num>
  <w:num w:numId="14">
    <w:abstractNumId w:val="7"/>
  </w:num>
  <w:num w:numId="15">
    <w:abstractNumId w:val="16"/>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704"/>
    <w:rsid w:val="003433B8"/>
    <w:rsid w:val="005D1D13"/>
    <w:rsid w:val="008B0704"/>
    <w:rsid w:val="00A11B62"/>
    <w:rsid w:val="00D14904"/>
    <w:rsid w:val="00E7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EC19"/>
  <w15:chartTrackingRefBased/>
  <w15:docId w15:val="{BE560D2A-DA9E-4118-91A9-A6033E05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07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149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B07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0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B07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07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0704"/>
    <w:rPr>
      <w:b/>
      <w:bCs/>
    </w:rPr>
  </w:style>
  <w:style w:type="character" w:styleId="Emphasis">
    <w:name w:val="Emphasis"/>
    <w:basedOn w:val="DefaultParagraphFont"/>
    <w:uiPriority w:val="20"/>
    <w:qFormat/>
    <w:rsid w:val="008B0704"/>
    <w:rPr>
      <w:i/>
      <w:iCs/>
    </w:rPr>
  </w:style>
  <w:style w:type="character" w:customStyle="1" w:styleId="whitespace-normal">
    <w:name w:val="whitespace-normal"/>
    <w:basedOn w:val="DefaultParagraphFont"/>
    <w:rsid w:val="008B0704"/>
  </w:style>
  <w:style w:type="character" w:customStyle="1" w:styleId="Heading2Char">
    <w:name w:val="Heading 2 Char"/>
    <w:basedOn w:val="DefaultParagraphFont"/>
    <w:link w:val="Heading2"/>
    <w:uiPriority w:val="9"/>
    <w:semiHidden/>
    <w:rsid w:val="00D14904"/>
    <w:rPr>
      <w:rFonts w:asciiTheme="majorHAnsi" w:eastAsiaTheme="majorEastAsia" w:hAnsiTheme="majorHAnsi" w:cstheme="majorBidi"/>
      <w:color w:val="2E74B5" w:themeColor="accent1" w:themeShade="BF"/>
      <w:sz w:val="26"/>
      <w:szCs w:val="26"/>
    </w:rPr>
  </w:style>
  <w:style w:type="character" w:customStyle="1" w:styleId="mrel">
    <w:name w:val="mrel"/>
    <w:basedOn w:val="DefaultParagraphFont"/>
    <w:rsid w:val="00D14904"/>
  </w:style>
  <w:style w:type="character" w:customStyle="1" w:styleId="mord">
    <w:name w:val="mord"/>
    <w:basedOn w:val="DefaultParagraphFont"/>
    <w:rsid w:val="00D14904"/>
  </w:style>
  <w:style w:type="character" w:customStyle="1" w:styleId="export-sheets-button">
    <w:name w:val="export-sheets-button"/>
    <w:basedOn w:val="DefaultParagraphFont"/>
    <w:rsid w:val="00D14904"/>
  </w:style>
  <w:style w:type="character" w:customStyle="1" w:styleId="mopen">
    <w:name w:val="mopen"/>
    <w:basedOn w:val="DefaultParagraphFont"/>
    <w:rsid w:val="00E77A6D"/>
  </w:style>
  <w:style w:type="character" w:customStyle="1" w:styleId="mclose">
    <w:name w:val="mclose"/>
    <w:basedOn w:val="DefaultParagraphFont"/>
    <w:rsid w:val="00E77A6D"/>
  </w:style>
  <w:style w:type="character" w:customStyle="1" w:styleId="mbin">
    <w:name w:val="mbin"/>
    <w:basedOn w:val="DefaultParagraphFont"/>
    <w:rsid w:val="00E77A6D"/>
  </w:style>
  <w:style w:type="character" w:customStyle="1" w:styleId="mop">
    <w:name w:val="mop"/>
    <w:basedOn w:val="DefaultParagraphFont"/>
    <w:rsid w:val="00E77A6D"/>
  </w:style>
  <w:style w:type="character" w:customStyle="1" w:styleId="minner">
    <w:name w:val="minner"/>
    <w:basedOn w:val="DefaultParagraphFont"/>
    <w:rsid w:val="00E77A6D"/>
  </w:style>
  <w:style w:type="character" w:styleId="HTMLCode">
    <w:name w:val="HTML Code"/>
    <w:basedOn w:val="DefaultParagraphFont"/>
    <w:uiPriority w:val="99"/>
    <w:semiHidden/>
    <w:unhideWhenUsed/>
    <w:rsid w:val="00E77A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736768">
      <w:bodyDiv w:val="1"/>
      <w:marLeft w:val="0"/>
      <w:marRight w:val="0"/>
      <w:marTop w:val="0"/>
      <w:marBottom w:val="0"/>
      <w:divBdr>
        <w:top w:val="none" w:sz="0" w:space="0" w:color="auto"/>
        <w:left w:val="none" w:sz="0" w:space="0" w:color="auto"/>
        <w:bottom w:val="none" w:sz="0" w:space="0" w:color="auto"/>
        <w:right w:val="none" w:sz="0" w:space="0" w:color="auto"/>
      </w:divBdr>
      <w:divsChild>
        <w:div w:id="1504392157">
          <w:marLeft w:val="0"/>
          <w:marRight w:val="0"/>
          <w:marTop w:val="0"/>
          <w:marBottom w:val="0"/>
          <w:divBdr>
            <w:top w:val="none" w:sz="0" w:space="0" w:color="auto"/>
            <w:left w:val="none" w:sz="0" w:space="0" w:color="auto"/>
            <w:bottom w:val="none" w:sz="0" w:space="0" w:color="auto"/>
            <w:right w:val="none" w:sz="0" w:space="0" w:color="auto"/>
          </w:divBdr>
          <w:divsChild>
            <w:div w:id="2144232220">
              <w:marLeft w:val="0"/>
              <w:marRight w:val="0"/>
              <w:marTop w:val="0"/>
              <w:marBottom w:val="0"/>
              <w:divBdr>
                <w:top w:val="none" w:sz="0" w:space="0" w:color="auto"/>
                <w:left w:val="none" w:sz="0" w:space="0" w:color="auto"/>
                <w:bottom w:val="none" w:sz="0" w:space="0" w:color="auto"/>
                <w:right w:val="none" w:sz="0" w:space="0" w:color="auto"/>
              </w:divBdr>
              <w:divsChild>
                <w:div w:id="462695396">
                  <w:marLeft w:val="0"/>
                  <w:marRight w:val="0"/>
                  <w:marTop w:val="0"/>
                  <w:marBottom w:val="0"/>
                  <w:divBdr>
                    <w:top w:val="none" w:sz="0" w:space="0" w:color="auto"/>
                    <w:left w:val="none" w:sz="0" w:space="0" w:color="auto"/>
                    <w:bottom w:val="none" w:sz="0" w:space="0" w:color="auto"/>
                    <w:right w:val="none" w:sz="0" w:space="0" w:color="auto"/>
                  </w:divBdr>
                  <w:divsChild>
                    <w:div w:id="789130681">
                      <w:marLeft w:val="0"/>
                      <w:marRight w:val="0"/>
                      <w:marTop w:val="0"/>
                      <w:marBottom w:val="0"/>
                      <w:divBdr>
                        <w:top w:val="none" w:sz="0" w:space="0" w:color="auto"/>
                        <w:left w:val="none" w:sz="0" w:space="0" w:color="auto"/>
                        <w:bottom w:val="none" w:sz="0" w:space="0" w:color="auto"/>
                        <w:right w:val="none" w:sz="0" w:space="0" w:color="auto"/>
                      </w:divBdr>
                    </w:div>
                  </w:divsChild>
                </w:div>
                <w:div w:id="97529258">
                  <w:marLeft w:val="0"/>
                  <w:marRight w:val="0"/>
                  <w:marTop w:val="0"/>
                  <w:marBottom w:val="0"/>
                  <w:divBdr>
                    <w:top w:val="none" w:sz="0" w:space="0" w:color="auto"/>
                    <w:left w:val="none" w:sz="0" w:space="0" w:color="auto"/>
                    <w:bottom w:val="none" w:sz="0" w:space="0" w:color="auto"/>
                    <w:right w:val="none" w:sz="0" w:space="0" w:color="auto"/>
                  </w:divBdr>
                  <w:divsChild>
                    <w:div w:id="1733893889">
                      <w:marLeft w:val="0"/>
                      <w:marRight w:val="0"/>
                      <w:marTop w:val="0"/>
                      <w:marBottom w:val="0"/>
                      <w:divBdr>
                        <w:top w:val="none" w:sz="0" w:space="0" w:color="auto"/>
                        <w:left w:val="none" w:sz="0" w:space="0" w:color="auto"/>
                        <w:bottom w:val="none" w:sz="0" w:space="0" w:color="auto"/>
                        <w:right w:val="none" w:sz="0" w:space="0" w:color="auto"/>
                      </w:divBdr>
                    </w:div>
                  </w:divsChild>
                </w:div>
                <w:div w:id="1996492390">
                  <w:marLeft w:val="0"/>
                  <w:marRight w:val="0"/>
                  <w:marTop w:val="0"/>
                  <w:marBottom w:val="0"/>
                  <w:divBdr>
                    <w:top w:val="none" w:sz="0" w:space="0" w:color="auto"/>
                    <w:left w:val="none" w:sz="0" w:space="0" w:color="auto"/>
                    <w:bottom w:val="none" w:sz="0" w:space="0" w:color="auto"/>
                    <w:right w:val="none" w:sz="0" w:space="0" w:color="auto"/>
                  </w:divBdr>
                  <w:divsChild>
                    <w:div w:id="1554584247">
                      <w:marLeft w:val="0"/>
                      <w:marRight w:val="0"/>
                      <w:marTop w:val="0"/>
                      <w:marBottom w:val="0"/>
                      <w:divBdr>
                        <w:top w:val="none" w:sz="0" w:space="0" w:color="auto"/>
                        <w:left w:val="none" w:sz="0" w:space="0" w:color="auto"/>
                        <w:bottom w:val="none" w:sz="0" w:space="0" w:color="auto"/>
                        <w:right w:val="none" w:sz="0" w:space="0" w:color="auto"/>
                      </w:divBdr>
                    </w:div>
                  </w:divsChild>
                </w:div>
                <w:div w:id="1736855069">
                  <w:marLeft w:val="0"/>
                  <w:marRight w:val="0"/>
                  <w:marTop w:val="0"/>
                  <w:marBottom w:val="0"/>
                  <w:divBdr>
                    <w:top w:val="none" w:sz="0" w:space="0" w:color="auto"/>
                    <w:left w:val="none" w:sz="0" w:space="0" w:color="auto"/>
                    <w:bottom w:val="none" w:sz="0" w:space="0" w:color="auto"/>
                    <w:right w:val="none" w:sz="0" w:space="0" w:color="auto"/>
                  </w:divBdr>
                  <w:divsChild>
                    <w:div w:id="352003868">
                      <w:marLeft w:val="0"/>
                      <w:marRight w:val="0"/>
                      <w:marTop w:val="0"/>
                      <w:marBottom w:val="0"/>
                      <w:divBdr>
                        <w:top w:val="none" w:sz="0" w:space="0" w:color="auto"/>
                        <w:left w:val="none" w:sz="0" w:space="0" w:color="auto"/>
                        <w:bottom w:val="none" w:sz="0" w:space="0" w:color="auto"/>
                        <w:right w:val="none" w:sz="0" w:space="0" w:color="auto"/>
                      </w:divBdr>
                      <w:divsChild>
                        <w:div w:id="577374065">
                          <w:marLeft w:val="0"/>
                          <w:marRight w:val="0"/>
                          <w:marTop w:val="0"/>
                          <w:marBottom w:val="0"/>
                          <w:divBdr>
                            <w:top w:val="none" w:sz="0" w:space="0" w:color="auto"/>
                            <w:left w:val="none" w:sz="0" w:space="0" w:color="auto"/>
                            <w:bottom w:val="none" w:sz="0" w:space="0" w:color="auto"/>
                            <w:right w:val="none" w:sz="0" w:space="0" w:color="auto"/>
                          </w:divBdr>
                          <w:divsChild>
                            <w:div w:id="1092707296">
                              <w:marLeft w:val="0"/>
                              <w:marRight w:val="0"/>
                              <w:marTop w:val="0"/>
                              <w:marBottom w:val="0"/>
                              <w:divBdr>
                                <w:top w:val="none" w:sz="0" w:space="0" w:color="auto"/>
                                <w:left w:val="none" w:sz="0" w:space="0" w:color="auto"/>
                                <w:bottom w:val="none" w:sz="0" w:space="0" w:color="auto"/>
                                <w:right w:val="none" w:sz="0" w:space="0" w:color="auto"/>
                              </w:divBdr>
                            </w:div>
                            <w:div w:id="80978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93268">
      <w:bodyDiv w:val="1"/>
      <w:marLeft w:val="0"/>
      <w:marRight w:val="0"/>
      <w:marTop w:val="0"/>
      <w:marBottom w:val="0"/>
      <w:divBdr>
        <w:top w:val="none" w:sz="0" w:space="0" w:color="auto"/>
        <w:left w:val="none" w:sz="0" w:space="0" w:color="auto"/>
        <w:bottom w:val="none" w:sz="0" w:space="0" w:color="auto"/>
        <w:right w:val="none" w:sz="0" w:space="0" w:color="auto"/>
      </w:divBdr>
      <w:divsChild>
        <w:div w:id="206243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08358">
          <w:marLeft w:val="0"/>
          <w:marRight w:val="0"/>
          <w:marTop w:val="0"/>
          <w:marBottom w:val="0"/>
          <w:divBdr>
            <w:top w:val="none" w:sz="0" w:space="0" w:color="auto"/>
            <w:left w:val="none" w:sz="0" w:space="0" w:color="auto"/>
            <w:bottom w:val="none" w:sz="0" w:space="0" w:color="auto"/>
            <w:right w:val="none" w:sz="0" w:space="0" w:color="auto"/>
          </w:divBdr>
          <w:divsChild>
            <w:div w:id="9606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7923">
      <w:bodyDiv w:val="1"/>
      <w:marLeft w:val="0"/>
      <w:marRight w:val="0"/>
      <w:marTop w:val="0"/>
      <w:marBottom w:val="0"/>
      <w:divBdr>
        <w:top w:val="none" w:sz="0" w:space="0" w:color="auto"/>
        <w:left w:val="none" w:sz="0" w:space="0" w:color="auto"/>
        <w:bottom w:val="none" w:sz="0" w:space="0" w:color="auto"/>
        <w:right w:val="none" w:sz="0" w:space="0" w:color="auto"/>
      </w:divBdr>
      <w:divsChild>
        <w:div w:id="1762484951">
          <w:marLeft w:val="0"/>
          <w:marRight w:val="0"/>
          <w:marTop w:val="0"/>
          <w:marBottom w:val="0"/>
          <w:divBdr>
            <w:top w:val="none" w:sz="0" w:space="0" w:color="auto"/>
            <w:left w:val="none" w:sz="0" w:space="0" w:color="auto"/>
            <w:bottom w:val="none" w:sz="0" w:space="0" w:color="auto"/>
            <w:right w:val="none" w:sz="0" w:space="0" w:color="auto"/>
          </w:divBdr>
          <w:divsChild>
            <w:div w:id="1821387164">
              <w:marLeft w:val="0"/>
              <w:marRight w:val="0"/>
              <w:marTop w:val="0"/>
              <w:marBottom w:val="0"/>
              <w:divBdr>
                <w:top w:val="none" w:sz="0" w:space="0" w:color="auto"/>
                <w:left w:val="none" w:sz="0" w:space="0" w:color="auto"/>
                <w:bottom w:val="none" w:sz="0" w:space="0" w:color="auto"/>
                <w:right w:val="none" w:sz="0" w:space="0" w:color="auto"/>
              </w:divBdr>
              <w:divsChild>
                <w:div w:id="20933575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08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58705">
                  <w:marLeft w:val="0"/>
                  <w:marRight w:val="0"/>
                  <w:marTop w:val="0"/>
                  <w:marBottom w:val="0"/>
                  <w:divBdr>
                    <w:top w:val="none" w:sz="0" w:space="0" w:color="auto"/>
                    <w:left w:val="none" w:sz="0" w:space="0" w:color="auto"/>
                    <w:bottom w:val="none" w:sz="0" w:space="0" w:color="auto"/>
                    <w:right w:val="none" w:sz="0" w:space="0" w:color="auto"/>
                  </w:divBdr>
                  <w:divsChild>
                    <w:div w:id="1595244277">
                      <w:marLeft w:val="0"/>
                      <w:marRight w:val="0"/>
                      <w:marTop w:val="0"/>
                      <w:marBottom w:val="0"/>
                      <w:divBdr>
                        <w:top w:val="none" w:sz="0" w:space="0" w:color="auto"/>
                        <w:left w:val="none" w:sz="0" w:space="0" w:color="auto"/>
                        <w:bottom w:val="none" w:sz="0" w:space="0" w:color="auto"/>
                        <w:right w:val="none" w:sz="0" w:space="0" w:color="auto"/>
                      </w:divBdr>
                      <w:divsChild>
                        <w:div w:id="1419709743">
                          <w:marLeft w:val="0"/>
                          <w:marRight w:val="0"/>
                          <w:marTop w:val="0"/>
                          <w:marBottom w:val="0"/>
                          <w:divBdr>
                            <w:top w:val="none" w:sz="0" w:space="0" w:color="auto"/>
                            <w:left w:val="none" w:sz="0" w:space="0" w:color="auto"/>
                            <w:bottom w:val="none" w:sz="0" w:space="0" w:color="auto"/>
                            <w:right w:val="none" w:sz="0" w:space="0" w:color="auto"/>
                          </w:divBdr>
                          <w:divsChild>
                            <w:div w:id="539320787">
                              <w:marLeft w:val="0"/>
                              <w:marRight w:val="0"/>
                              <w:marTop w:val="0"/>
                              <w:marBottom w:val="0"/>
                              <w:divBdr>
                                <w:top w:val="none" w:sz="0" w:space="0" w:color="auto"/>
                                <w:left w:val="none" w:sz="0" w:space="0" w:color="auto"/>
                                <w:bottom w:val="none" w:sz="0" w:space="0" w:color="auto"/>
                                <w:right w:val="none" w:sz="0" w:space="0" w:color="auto"/>
                              </w:divBdr>
                            </w:div>
                            <w:div w:id="19984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dc:creator>
  <cp:keywords/>
  <dc:description/>
  <cp:lastModifiedBy>DUNCAN</cp:lastModifiedBy>
  <cp:revision>1</cp:revision>
  <dcterms:created xsi:type="dcterms:W3CDTF">2026-04-28T08:51:00Z</dcterms:created>
  <dcterms:modified xsi:type="dcterms:W3CDTF">2026-04-28T11:31:00Z</dcterms:modified>
</cp:coreProperties>
</file>