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0AA2" w14:textId="77777777" w:rsidR="000B50EC" w:rsidRPr="000B50EC" w:rsidRDefault="000B50EC" w:rsidP="000B50EC">
      <w:pPr>
        <w:jc w:val="center"/>
        <w:rPr>
          <w:rFonts w:ascii="Times New Roman" w:hAnsi="Times New Roman" w:cs="Times New Roman"/>
          <w:b/>
          <w:bCs/>
          <w:lang w:val="en-KE"/>
        </w:rPr>
      </w:pPr>
      <w:r w:rsidRPr="000B50EC">
        <w:rPr>
          <w:rFonts w:ascii="Times New Roman" w:hAnsi="Times New Roman" w:cs="Times New Roman"/>
          <w:b/>
          <w:bCs/>
          <w:lang w:val="en-KE"/>
        </w:rPr>
        <w:t>Group work</w:t>
      </w:r>
    </w:p>
    <w:p w14:paraId="50C5B5D7" w14:textId="24EFB867" w:rsidR="000B50EC" w:rsidRPr="000B50EC" w:rsidRDefault="000B50EC" w:rsidP="000B50EC">
      <w:p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 xml:space="preserve">Group 1: Instruction &amp; Cognitive Strategies </w:t>
      </w:r>
    </w:p>
    <w:p w14:paraId="4BDDEC58" w14:textId="77777777" w:rsidR="000B50EC" w:rsidRPr="000B50EC" w:rsidRDefault="000B50EC" w:rsidP="000B50E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The Physiology of Attention in Technical Training: Research the biological reasons why the "10-to-15-minute rule" in Stimulus Variation is critical for adult learners in a 3-hour workshop session.</w:t>
      </w:r>
    </w:p>
    <w:p w14:paraId="1BC0D3BF" w14:textId="77777777" w:rsidR="000B50EC" w:rsidRPr="000B50EC" w:rsidRDefault="000B50EC" w:rsidP="000B50E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Comparative Analysis of Cognitive Paths: Research when it is most effective to use the Inductive Path versus the Deductive Path when teaching complex engineering formulas.</w:t>
      </w:r>
    </w:p>
    <w:p w14:paraId="4F880FD1" w14:textId="77777777" w:rsidR="000B50EC" w:rsidRPr="000B50EC" w:rsidRDefault="000B50EC" w:rsidP="000B50E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Active Learning in Technical Subjects: Investigate how Stimulus Variation techniques (gestures, movement, sensory shifts) directly correlate with higher pass rates in National Exams (KNEC/TVET CDACC).</w:t>
      </w:r>
    </w:p>
    <w:p w14:paraId="31D39F11" w14:textId="04B5B0BC" w:rsidR="000B50EC" w:rsidRPr="000B50EC" w:rsidRDefault="000B50EC" w:rsidP="000B50EC">
      <w:p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 xml:space="preserve">Group 2: Mentorship &amp; Teacher Development </w:t>
      </w:r>
    </w:p>
    <w:p w14:paraId="1E8A165C" w14:textId="77777777" w:rsidR="000B50EC" w:rsidRPr="000B50EC" w:rsidRDefault="000B50EC" w:rsidP="000B50EC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The Impact of Reflective Practice on Trainer Competence: Conduct a study on how "Reflective Journals" help junior trainers identify their own instructional weaknesses in a laboratory setting.</w:t>
      </w:r>
    </w:p>
    <w:p w14:paraId="32889054" w14:textId="77777777" w:rsidR="000B50EC" w:rsidRPr="000B50EC" w:rsidRDefault="000B50EC" w:rsidP="000B50EC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Mentorship Models in TVET: Research the four mentor roles (Advisor, Coach, Role Model, Sponsor) and determine which role has the greatest impact on a junior trainer's confidence during their first year.</w:t>
      </w:r>
    </w:p>
    <w:p w14:paraId="3C15B63D" w14:textId="2F066DDE" w:rsidR="000B50EC" w:rsidRPr="000B50EC" w:rsidRDefault="000B50EC" w:rsidP="000B50EC">
      <w:p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 xml:space="preserve">Group 3: National Policy &amp; Systems </w:t>
      </w:r>
    </w:p>
    <w:p w14:paraId="27FD2631" w14:textId="77777777" w:rsidR="000B50EC" w:rsidRPr="000B50EC" w:rsidRDefault="000B50EC" w:rsidP="000B50E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Transitioning from 8-4-4 to CBET: A research project on the practical challenges Kenyan trainers face when moving from "Theory-Heavy" teaching to "Competence-Based" instruction.</w:t>
      </w:r>
    </w:p>
    <w:p w14:paraId="35AEEC16" w14:textId="77777777" w:rsidR="000B50EC" w:rsidRPr="000B50EC" w:rsidRDefault="000B50EC" w:rsidP="000B50E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TVET and Vision 2030: Research how the National Goals of Technical Education in Kenya are being met through the current industrial attachment (internship) policies.</w:t>
      </w:r>
    </w:p>
    <w:p w14:paraId="12A3CA02" w14:textId="77777777" w:rsidR="000B50EC" w:rsidRPr="000B50EC" w:rsidRDefault="000B50EC" w:rsidP="000B50E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Socio-Economic Factors in Teaching Method Selection: Research how national issues like "Youth Unemployment" and "Digital Divide" dictate which teaching strategies a trainer chooses for a rural vs. urban TTI.</w:t>
      </w:r>
    </w:p>
    <w:p w14:paraId="3089632D" w14:textId="3AE65B28" w:rsidR="000B50EC" w:rsidRPr="000B50EC" w:rsidRDefault="000B50EC" w:rsidP="000B50EC">
      <w:p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 xml:space="preserve">Group 4: Diverse &amp; Modern Classrooms </w:t>
      </w:r>
    </w:p>
    <w:p w14:paraId="21AE94E2" w14:textId="77777777" w:rsidR="000B50EC" w:rsidRPr="000B50EC" w:rsidRDefault="000B50EC" w:rsidP="000B50EC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Cooperative Learning vs. Traditional Lab Groups: Research the "Social Loafing" effect in technical workshops—why do some students do all the work while others watch, and how can Cooperative Learning principles fix this?</w:t>
      </w:r>
    </w:p>
    <w:p w14:paraId="41926C48" w14:textId="77777777" w:rsidR="000B50EC" w:rsidRPr="000B50EC" w:rsidRDefault="000B50EC" w:rsidP="000B50EC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KE"/>
        </w:rPr>
      </w:pPr>
      <w:r w:rsidRPr="000B50EC">
        <w:rPr>
          <w:rFonts w:ascii="Times New Roman" w:hAnsi="Times New Roman" w:cs="Times New Roman"/>
          <w:lang w:val="en-KE"/>
        </w:rPr>
        <w:t>Universal Design for Learning (UDL) in TVET: Research how to implement Individualized Instruction for learners with different "Cognitive Speeds" without slowing down the progress of the entire class.</w:t>
      </w:r>
    </w:p>
    <w:p w14:paraId="4578FF88" w14:textId="77777777" w:rsidR="002F2A06" w:rsidRPr="000B50EC" w:rsidRDefault="002F2A06" w:rsidP="000B50EC">
      <w:pPr>
        <w:jc w:val="both"/>
        <w:rPr>
          <w:rFonts w:ascii="Times New Roman" w:hAnsi="Times New Roman" w:cs="Times New Roman"/>
          <w:lang w:val="en-KE"/>
        </w:rPr>
      </w:pPr>
    </w:p>
    <w:sectPr w:rsidR="002F2A06" w:rsidRPr="000B5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30CAB"/>
    <w:multiLevelType w:val="multilevel"/>
    <w:tmpl w:val="7A0C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B40EF3"/>
    <w:multiLevelType w:val="multilevel"/>
    <w:tmpl w:val="4A702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C36BF"/>
    <w:multiLevelType w:val="multilevel"/>
    <w:tmpl w:val="EA7053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03C51"/>
    <w:multiLevelType w:val="multilevel"/>
    <w:tmpl w:val="392483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580600">
    <w:abstractNumId w:val="0"/>
  </w:num>
  <w:num w:numId="2" w16cid:durableId="1279531022">
    <w:abstractNumId w:val="1"/>
  </w:num>
  <w:num w:numId="3" w16cid:durableId="1255165899">
    <w:abstractNumId w:val="3"/>
  </w:num>
  <w:num w:numId="4" w16cid:durableId="180068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EC"/>
    <w:rsid w:val="000B50EC"/>
    <w:rsid w:val="002F2A06"/>
    <w:rsid w:val="00440F9C"/>
    <w:rsid w:val="00E53334"/>
    <w:rsid w:val="00FC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ED9E"/>
  <w15:chartTrackingRefBased/>
  <w15:docId w15:val="{26AD08B8-BDB3-4E6A-BFD1-092B44EAA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APOLLO MUOKI MAINGI</dc:creator>
  <cp:keywords/>
  <dc:description/>
  <cp:lastModifiedBy>APOLLO MUOKI MAINGI</cp:lastModifiedBy>
  <cp:revision>1</cp:revision>
  <dcterms:created xsi:type="dcterms:W3CDTF">2026-04-25T08:53:00Z</dcterms:created>
  <dcterms:modified xsi:type="dcterms:W3CDTF">2026-04-25T09:01:00Z</dcterms:modified>
</cp:coreProperties>
</file>