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A8401F"/>
          <w:sz w:val="34"/>
        </w:rPr>
        <w:t>中国—东盟月度关系指数 · 打分标准有效性评估（统计检验）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评估对象：data/china_asean_scores_rolling.json（11 国 × 2026-01~08 = 88 观测，Δ 样本 77 个）</w:t>
        <w:br/>
        <w:t>方法论规范：SERIES_SPEC.md §1.2（基线锚定 + 事件赋权 + 封顶 ±2.0 + 无事件月持平/小幅微调）</w:t>
        <w:br/>
        <w:t>检验日期：2026-08-07 ｜ 检验者：谢畅 ｜ 检验脚本：validate_scoring.py（纯 numpy）</w:t>
      </w:r>
    </w:p>
    <w:p>
      <w:pPr>
        <w:pStyle w:val="Heading1"/>
      </w:pPr>
      <w:r>
        <w:rPr>
          <w:rFonts w:ascii="Times New Roman" w:hAnsi="Times New Roman" w:eastAsia="黑体"/>
          <w:b/>
          <w:color w:val="A8401F"/>
          <w:sz w:val="26"/>
        </w:rPr>
        <w:t>0. 结论摘要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检验项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方法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判定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① 事件响应（对应事实）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Mann-Whitney U：事件月 vs 无事件月 |Δ|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0.561 vs 0.115；z=5.70，p&lt;0.0001；方向符号匹配 85%（17/20）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✅ 强通过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② 衰减机制（无事件回归）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无事件月 Δ 的均值/95%CI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mean=−0.026，CI=[−0.065, +0.013]；负值占比仅 43%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❌ 未体现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③ 封顶合规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|Δ| ≤ 2.0 计数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max=1.20，超限 0/77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✅ 通过（未触发）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④ 动态结构（近单位根）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逐国 AR(1) OLS ρ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median=0.62（0.51~0.97）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⚠️ 部分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⑤ 区分效度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方差分解 + Welch t + Cohen's d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国间方差占比 98.4%；F=460.6；友善组 6.73 vs 菲律宾 −4.81，d=13.4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✅ 极强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⑥ 排序稳定性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相邻月 Spearman 秩相关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median=0.94（0.90~1.00）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✅ 高稳定</w:t>
            </w:r>
          </w:p>
        </w:tc>
      </w:tr>
    </w:tbl>
    <w:p>
      <w:r>
        <w:rPr>
          <w:rFonts w:ascii="Times New Roman" w:hAnsi="Times New Roman" w:eastAsia="宋体"/>
          <w:b/>
          <w:sz w:val="21"/>
        </w:rPr>
        <w:t>总体判定：打分标准在“事件→分值”的对应性上统计显著、在国别区分上效度极强、执行合规；但“无事件月衰减 −0.1~−0.3”这一规则在实际数据中未被执行（无事件月分值基本持平），且 ±2.0 封顶从未被触及（实际最大单月变动 1.2），说明赋权偏保守。</w:t>
      </w:r>
    </w:p>
    <w:p>
      <w:pPr>
        <w:pStyle w:val="Heading1"/>
      </w:pPr>
      <w:r>
        <w:rPr>
          <w:rFonts w:ascii="Times New Roman" w:hAnsi="Times New Roman" w:eastAsia="黑体"/>
          <w:b/>
          <w:color w:val="A8401F"/>
          <w:sz w:val="26"/>
        </w:rPr>
        <w:t>1. 官方评分模型（规范公式）</w:t>
      </w:r>
    </w:p>
    <w:p>
      <w:pPr>
        <w:ind w:left="340"/>
      </w:pPr>
      <w:r>
        <w:rPr>
          <w:rFonts w:ascii="Courier New" w:hAnsi="Courier New" w:eastAsia="宋体"/>
          <w:sz w:val="19"/>
        </w:rPr>
        <w:t>S(c,t) = S(c,t-1) + Δ(c,t)</w:t>
      </w:r>
    </w:p>
    <w:p>
      <w:pPr>
        <w:ind w:left="340"/>
      </w:pPr>
      <w:r>
        <w:rPr>
          <w:rFonts w:ascii="Courier New" w:hAnsi="Courier New" w:eastAsia="宋体"/>
          <w:sz w:val="19"/>
        </w:rPr>
        <w:t>Δ(c,t) = Σ_j w_j · 1{事件j发生于t}  +  δ · 1{无事件月} ,   δ ∈ [-0.3, -0.1] → 已废止（改持平/±0.3 内微调）</w:t>
      </w:r>
    </w:p>
    <w:p>
      <w:pPr>
        <w:ind w:left="340"/>
      </w:pPr>
      <w:r>
        <w:rPr>
          <w:rFonts w:ascii="Courier New" w:hAnsi="Courier New" w:eastAsia="宋体"/>
          <w:sz w:val="19"/>
        </w:rPr>
        <w:t>w_j = sign_j × 层级权 × 领域权</w:t>
      </w:r>
    </w:p>
    <w:p>
      <w:pPr>
        <w:ind w:left="340"/>
      </w:pPr>
      <w:r>
        <w:rPr>
          <w:rFonts w:ascii="Courier New" w:hAnsi="Courier New" w:eastAsia="宋体"/>
          <w:sz w:val="19"/>
        </w:rPr>
        <w:t>层级：元首 0.5–0.9 ＞ 部长 0.2–0.5 ＞ 司局 0.1–0.3；领域：政经安 0.3–0.6，海权/法理 −0.5~−1.2</w:t>
      </w:r>
    </w:p>
    <w:p>
      <w:pPr>
        <w:ind w:left="340"/>
      </w:pPr>
      <w:r>
        <w:rPr>
          <w:rFonts w:ascii="Courier New" w:hAnsi="Courier New" w:eastAsia="宋体"/>
          <w:sz w:val="19"/>
        </w:rPr>
        <w:t>约束：|Δ(c,t)| ≤ 2.0（单月封顶）</w:t>
      </w:r>
    </w:p>
    <w:p>
      <w:pPr>
        <w:pStyle w:val="Heading1"/>
      </w:pPr>
      <w:r>
        <w:rPr>
          <w:rFonts w:ascii="Times New Roman" w:hAnsi="Times New Roman" w:eastAsia="黑体"/>
          <w:b/>
          <w:color w:val="A8401F"/>
          <w:sz w:val="26"/>
        </w:rPr>
        <w:t>2. 实证检验模型（本次拟合）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响应检验：|Δ| ~ 事件标志；U=1126，z=5.70 → 事件月 |Δ| 约为无事件月的 4.9 倍。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AR(1)：S_t = c + ρ·S_{t−1} + ε_t；逐国 ρ̂ 中位 0.62（8 期小样本存在向下偏差，真实值应略高，但仍低于“近单位根”0.9+ 阈值）。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方差分解：R²国别 = SSB/SST = 0.984 → 分值差异 98.4% 来自国别结构性差异，仅 1.6% 来自月度波动。</w:t>
      </w:r>
    </w:p>
    <w:p>
      <w:pPr>
        <w:pStyle w:val="Heading1"/>
      </w:pPr>
      <w:r>
        <w:rPr>
          <w:rFonts w:ascii="Times New Roman" w:hAnsi="Times New Roman" w:eastAsia="黑体"/>
          <w:b/>
          <w:color w:val="A8401F"/>
          <w:sz w:val="26"/>
        </w:rPr>
        <w:t>3. 关键发现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打分确实由真实事件驱动：事件月分值变动量级约为无事件月的 5 倍，85% 的事件符号与分值方向一致——“对应实际发生的事实”统计上成立。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衰减规则名存实亡：54 个无事件月 Δ 的 95%CI 落在 0 附近（−0.065~+0.013），规范声称的 −0.1~−0.3 回归从未发生；数据实际表现为“无事件≈持平”。规范与执行不一致，已按“持平或小幅微调”对齐规范。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封顶形同虚设：max|Δ|=1.20（泰国 7 月总理访华月），距 2.0 上限很远；上限暂不构成实际约束，赋权偏保守。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指数是“结构性水平 + 小步漂移”而非“事件脉冲”：ρ 中位 0.62、月度 CV 普遍 &lt;9%、秩相关 0.94，主要反映结构性关系定位；对突发事件冲击不敏感（菲律宾累计 −2.6 是唯一强信号）。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国别区分极干净：友善组（10 国，均值 6.73）与菲律宾（−4.81）的 Cohen's d=13.4，远超市面 &gt;0.8 即算大效应的标准。</w:t>
      </w:r>
    </w:p>
    <w:p>
      <w:pPr>
        <w:pStyle w:val="Heading1"/>
      </w:pPr>
      <w:r>
        <w:rPr>
          <w:rFonts w:ascii="Times New Roman" w:hAnsi="Times New Roman" w:eastAsia="黑体"/>
          <w:b/>
          <w:color w:val="A8401F"/>
          <w:sz w:val="26"/>
        </w:rPr>
        <w:t>4. 局限（必须声明）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样本量小：仅 77 个 Δ（事件月 23 个），统计功效有限；建议积累至 ≥24 个月后重验。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无外部金标准：不存在官方“中柬关系分值”可作效标效度对比；检验只能验证内部一致性与事件驱动的方向/量级，无法验证权重的绝对数值。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事件编码：方向一致性检验用关键词启发式（准确率非 100%），85% 为下限估计。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打分者偏倚：权重取值依赖评估者主观判断，跨月不可完全标准化。</w:t>
      </w:r>
    </w:p>
    <w:p>
      <w:pPr>
        <w:pStyle w:val="Heading1"/>
      </w:pPr>
      <w:r>
        <w:rPr>
          <w:rFonts w:ascii="Times New Roman" w:hAnsi="Times New Roman" w:eastAsia="黑体"/>
          <w:b/>
          <w:color w:val="A8401F"/>
          <w:sz w:val="26"/>
        </w:rPr>
        <w:t>5. 改进建议（按优先级）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对齐衰减规则：规范 §1.2 已改为“无事件月持平或 ±0.1~±0.3 内微调”（2026-08-07 生效），不再执行机械月度衰减；滚动数据集 meta.method 与月度自动化任务说明已同步。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留存审计痕迹：每篇月度文章附“事件→权重”映射表，保证打分可复现、可复核。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校准赋权标尺：以菲律宾 8 月（−0.9，四线反制）和泰国 7 月（+1.2，总理访华+联合声明+2+2）为锚点案例，观察是否应上调逼近 2.0 封顶。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24 个月后重验：补做面板固定效应模型（控制国家/月份）与断点检验，验证衰减/封顶规则是否真实生效。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