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Duncan P.</w:t>
      </w:r>
    </w:p>
    <w:p w:rsidR="00000000" w:rsidDel="00000000" w:rsidP="00000000" w:rsidRDefault="00000000" w:rsidRPr="00000000">
      <w:pPr>
        <w:contextualSpacing w:val="0"/>
      </w:pPr>
      <w:r w:rsidDel="00000000" w:rsidR="00000000" w:rsidRPr="00000000">
        <w:rPr>
          <w:rtl w:val="0"/>
        </w:rPr>
        <w:t xml:space="preserve">07/11/16</w:t>
      </w:r>
    </w:p>
    <w:p w:rsidR="00000000" w:rsidDel="00000000" w:rsidP="00000000" w:rsidRDefault="00000000" w:rsidRPr="00000000">
      <w:pPr>
        <w:contextualSpacing w:val="0"/>
      </w:pPr>
      <w:r w:rsidDel="00000000" w:rsidR="00000000" w:rsidRPr="00000000">
        <w:rPr>
          <w:rtl w:val="0"/>
        </w:rPr>
        <w:t xml:space="preserve">Comprehension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CPU, Memory, Input and Output Devices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 Devices: Scanner, Keyboard, Mouse. Output Devices: Monitor, Printer, Speakers.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CPU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Hard drive is a permanent and memory is temporary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They all store information. The information in ROM is difficult to change while hard drives and RAM are easily changeable. ROM and hard drives are permanent storage while RAM is quick and temporary.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motherboard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Ports: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Serial Ports: Have been all but replaced by USB and used to connect older mice and input devices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Monitor Ports: Fifteen pin analog ports used for connecting displays or output devices.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Parallel Ports: 25 pin connection used mainly for printers and transmits data at 50-100 Kb/s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Universal Serial Bus (USB) Port: Port now used primarily to connect peripherals. USB 1.1 transmits data at 12 Mb/s and USB 2.0 transmits data at 480 Mb/s.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Firewire: Used with Apple computers and digital camcorders primarily, firewire transmits data at 200 Mb/s to 3.2 Gb/s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PS/2 Port: Developed by IBM, PS/2 ports are used to connect keyboards and mice.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Ethernet Port: Used for fast networking and internet connections. Data moves through at 10 to 1000 Mb/s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power supply.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