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with TA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i w:val="0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4:00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PM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Cavaco-Donia, James Szymanski, Duncan Waugh, Syed Mostaquim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second meeting with the TA to fully understand our goal and plan for the project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our final questions to ensure we fully understand the scope of our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define our goals and plans for the project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the project proposal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more research regarding our task and how to accomplish the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Thoroughly analyze all the resources given by the TA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goal is to optimize the traffic flow of a roundabout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need to compare the results of all human drivers and having one autonomous vehicle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Ali provided more useful resources for code snippets for these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Looking into the experiments regarding an autonomous vehicle in all human driving conditions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out how to implement these conditions using deep Q-learning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the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Fully complete the project proposal and start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