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with TA &amp; Prof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i w:val="0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10:20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M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ACEB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Szymanski, Duncan Waugh, Syed Mostaquim Ali, Mohamed Zaki Hussein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Solidify the Plan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meeting to discuss the progress of the project thus far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quick recap of our design and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questions to the professor and TA regarding the code of the project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more regarding the code given by the TA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 more with tools such as HighwayEnv and Pytorch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majority of the given code can be used for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Pytorch needs to be explored further within the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 need to explore the hyperparameters within our given code with the HighwayEnv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Finish the project progress report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In-class presentation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the progress report and the presentation slideshow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