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r>
              <w:t xml:space="preserve">Major Projects East</w:t>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r>
              <w:t xml:space="preserve">BNA (Gordie Howe) Canadian Bridge Pier 14</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r>
              <w:t xml:space="preserve">Lost Time (mild to severe concussion requiring 4 days away from work)</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r>
                    <w:t xml:space="preserve">The incident occurred at the BNA (Gordie Howe) Canadian Bridge Pier 14 on October 16th, 2024. An electric 2-inch water pump weighing 26lbs fell 18’4” and struck a laborer on the back of the hard hat. The laborer had just descended the ladder to the bottom of the pier tower when the pump struck him. The worker was assigned the task of pumping water out of the pier leg from the inside. </w:t>
                    <w:br/>
                    <w:t xml:space="preserve">The worker did not lose consciousness and remained on his feet. His tool belt hung on the power cord at the top of the ladder and when he reached the bottom, he inadvertently pulled the pump from the concrete platform 18' 4" above him. The pump was located behind a horizontal scaffold tube which was 5 ¾ inches in height. The hard hat involved in the incident was not a BNA issued hard hat but met the code requirements specified in the BNA Safety Plan. </w:t>
                    <w:br/>
                    <w:t xml:space="preserve">The immediate outcome of the incident was that operations were stopped and the scene was frozen for an initial investigation. This resulted in schedule and production delays. The worker was sent to an offsite clinic due to the damage noted on the hard hat as well as the weight of the pump, distance of drop, and the energy created. The worker was diagnosed with a mild to severe concussion and was placed off work until Oct 23, 2004, due to standard concussion protocols. </w:t>
                    <w:br/>
                    <w:t xml:space="preserve">The broader impacts of the incident included potential severe/fatal injuries due to the drop object, potential project shutdown, loss of production, fines, and legislative consequences. This incident also jeopardized our reputation and integrity with the trades, unions, and legislative authorities.</w:t>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r w:rsidRPr="001F194E">
                    <w:t xml:space="preserve">- Equipment tethers were not being utilized at the time of the accident</w:t>
                    <w:br/>
                    <w:t xml:space="preserve">- The water pump was not adequately secured or fastened on the platform pier</w:t>
                    <w:br/>
                    <w:t xml:space="preserve">- False sense of security that the horizontal tube rail 5 ¾ in height was adequate prevention for dropped objects</w:t>
                    <w:br/>
                    <w:t xml:space="preserve">- Additional clutter and tools in an already tight work location</w:t>
                    <w:br/>
                    <w:t xml:space="preserve">- The power cord of the two-inch pump is approximately 2 foot short of the bottom of the pier providing additional tension to the cord</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r w:rsidRPr="001F194E">
              <w:t xml:space="preserve">- Ensure all equipment is properly secured and fastened to prevent potential drop object hazards</w:t>
              <w:br/>
              <w:t xml:space="preserve">- Avoid clutter and unnecessary tools in work locations</w:t>
              <w:br/>
              <w:t xml:space="preserve">- Regularly complete verifications for BNA’s “Safety Absolutes” equivalent to Aecon’s Fatal 8 activity for WAH (PUE- Dropped Object) for compliance</w:t>
              <w:br/>
              <w:t xml:space="preserve">- Ensure all workers wear approved hard hats with chin straps</w:t>
              <w:br/>
              <w:t xml:space="preserve">- Follow and verify all dropped object prevention SOP’s and requirements developed for the project</w:t>
              <w:br/>
              <w:t xml:space="preserve">- Immediately remove unnecessary tools and equipment that are not needed inside the pier towers</w:t>
              <w:br/>
              <w:t xml:space="preserve">- Include a work sequence in the dewatering plan. If a tool or pump is no longer required, have it removed and relocated to a safe location immediately.</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78" w:type="dxa"/>
        <w:tblInd w:w="-714" w:type="dxa"/>
        <w:tblLayout w:type="fixed"/>
        <w:tblLook w:val="04A0" w:firstRow="1" w:lastRow="0" w:firstColumn="1" w:lastColumn="0" w:noHBand="0" w:noVBand="1"/>
      </w:tblPr>
      <w:tblGrid>
        <w:gridCol w:w="5669"/>
        <w:gridCol w:w="282"/>
        <w:gridCol w:w="5527"/>
      </w:tblGrid>
      <w:tr w:rsidR="00867BED" w14:paraId="42C04B02" w14:textId="77777777" w:rsidTr="00862447">
        <w:trPr>
          <w:cantSplit/>
          <w:trHeight w:hRule="exact" w:val="270"/>
        </w:trPr>
        <w:tc>
          <w:tcPr>
            <w:tcW w:w="5669" w:type="dxa"/>
            <w:shd w:val="clear" w:color="auto" w:fill="D9D9D9" w:themeFill="background1" w:themeFillShade="D9"/>
          </w:tcPr>
          <w:p w14:paraId="403FD296" w14:textId="79477A4E" w:rsidR="00867BED" w:rsidRDefault="007F2A6F" w:rsidP="00DE63F4">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2" w:type="dxa"/>
            <w:vMerge w:val="restart"/>
            <w:tcBorders>
              <w:top w:val="single" w:sz="4" w:space="0" w:color="FFFFFF" w:themeColor="background1"/>
            </w:tcBorders>
          </w:tcPr>
          <w:p w14:paraId="6B7E95F0" w14:textId="77777777" w:rsidR="00867BED" w:rsidRDefault="00867BED" w:rsidP="00DE63F4">
            <w:pPr>
              <w:jc w:val="center"/>
            </w:pPr>
          </w:p>
        </w:tc>
        <w:tc>
          <w:tcPr>
            <w:tcW w:w="5527" w:type="dxa"/>
            <w:shd w:val="clear" w:color="auto" w:fill="D9D9D9" w:themeFill="background1" w:themeFillShade="D9"/>
          </w:tcPr>
          <w:p w14:paraId="724B0308" w14:textId="0B017973" w:rsidR="00867BED" w:rsidRDefault="007F2A6F" w:rsidP="00DE63F4">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67BED" w14:paraId="41787C30" w14:textId="77777777" w:rsidTr="00862447">
        <w:trPr>
          <w:cantSplit/>
          <w:trHeight w:hRule="exact" w:val="4971"/>
        </w:trPr>
        <w:tc>
          <w:tcPr>
            <w:tcW w:w="5669" w:type="dxa"/>
          </w:tcPr>
          <w:p w14:paraId="234F04E0" w14:textId="77777777" w:rsidR="00867BED" w:rsidRDefault="00867BED" w:rsidP="00867BED"/>
          <w:p w14:paraId="660A645D" w14:textId="61CD04FF" w:rsidR="00936001" w:rsidRDefault="009B77C9" w:rsidP="008D62E0">
            <w:r w:rsidRPr="009B77C9">
              <w:t xml:space="preserve"/>
            </w:r>
            <w:r>
              <w:drawing>
                <wp:inline xmlns:a="http://schemas.openxmlformats.org/drawingml/2006/main" xmlns:pic="http://schemas.openxmlformats.org/drawingml/2006/picture">
                  <wp:extent cx="2286000" cy="336176"/>
                  <wp:docPr id="1001" name="Picture 1"/>
                  <wp:cNvGraphicFramePr>
                    <a:graphicFrameLocks noChangeAspect="1"/>
                  </wp:cNvGraphicFramePr>
                  <a:graphic>
                    <a:graphicData uri="http://schemas.openxmlformats.org/drawingml/2006/picture">
                      <pic:pic>
                        <pic:nvPicPr>
                          <pic:cNvPr id="0" name="slide1_0.png"/>
                          <pic:cNvPicPr/>
                        </pic:nvPicPr>
                        <pic:blipFill>
                          <a:blip r:embed="rId12"/>
                          <a:stretch>
                            <a:fillRect/>
                          </a:stretch>
                        </pic:blipFill>
                        <pic:spPr>
                          <a:xfrm>
                            <a:off x="0" y="0"/>
                            <a:ext cx="2286000" cy="336176"/>
                          </a:xfrm>
                          <a:prstGeom prst="rect"/>
                        </pic:spPr>
                      </pic:pic>
                    </a:graphicData>
                  </a:graphic>
                </wp:inline>
              </w:drawing>
            </w:r>
            <w:r>
              <w:t xml:space="preserve"/>
            </w:r>
          </w:p>
        </w:tc>
        <w:tc>
          <w:tcPr>
            <w:tcW w:w="282" w:type="dxa"/>
            <w:vMerge/>
            <w:tcBorders>
              <w:bottom w:val="single" w:sz="4" w:space="0" w:color="FFFFFF" w:themeColor="background1"/>
            </w:tcBorders>
          </w:tcPr>
          <w:p w14:paraId="37B93F6B" w14:textId="77777777" w:rsidR="00867BED" w:rsidRDefault="00867BED" w:rsidP="00DE63F4">
            <w:pPr>
              <w:jc w:val="center"/>
            </w:pPr>
          </w:p>
        </w:tc>
        <w:tc>
          <w:tcPr>
            <w:tcW w:w="5527" w:type="dxa"/>
          </w:tcPr>
          <w:p w14:paraId="337D1879" w14:textId="77777777" w:rsidR="00867BED" w:rsidRDefault="00867BED" w:rsidP="00524813"/>
          <w:p w14:paraId="58C2BA78" w14:textId="381843FF" w:rsidR="00FA2012" w:rsidRPr="00FA2012" w:rsidRDefault="009B77C9" w:rsidP="008D62E0">
            <w:pPr>
              <w:rPr>
                <w:rFonts w:asciiTheme="minorHAnsi" w:eastAsia="Arial" w:hAnsiTheme="minorHAnsi" w:cstheme="minorHAnsi"/>
                <w:sz w:val="16"/>
                <w:szCs w:val="16"/>
              </w:rPr>
            </w:pPr>
            <w:r w:rsidRPr="009B77C9">
              <w:rPr>
                <w:rFonts w:asciiTheme="minorHAnsi" w:eastAsia="Arial" w:hAnsiTheme="minorHAnsi" w:cstheme="minorHAnsi"/>
                <w:sz w:val="16"/>
                <w:szCs w:val="16"/>
              </w:rPr>
              <w:t xml:space="preserve"/>
            </w:r>
            <w:r>
              <w:drawing>
                <wp:inline xmlns:a="http://schemas.openxmlformats.org/drawingml/2006/main" xmlns:pic="http://schemas.openxmlformats.org/drawingml/2006/picture">
                  <wp:extent cx="2286000" cy="393044"/>
                  <wp:docPr id="1002" name="Picture 1"/>
                  <wp:cNvGraphicFramePr>
                    <a:graphicFrameLocks noChangeAspect="1"/>
                  </wp:cNvGraphicFramePr>
                  <a:graphic>
                    <a:graphicData uri="http://schemas.openxmlformats.org/drawingml/2006/picture">
                      <pic:pic>
                        <pic:nvPicPr>
                          <pic:cNvPr id="0" name="slide2_1.png"/>
                          <pic:cNvPicPr/>
                        </pic:nvPicPr>
                        <pic:blipFill>
                          <a:blip r:embed="rId13"/>
                          <a:stretch>
                            <a:fillRect/>
                          </a:stretch>
                        </pic:blipFill>
                        <pic:spPr>
                          <a:xfrm>
                            <a:off x="0" y="0"/>
                            <a:ext cx="2286000" cy="393044"/>
                          </a:xfrm>
                          <a:prstGeom prst="rect"/>
                        </pic:spPr>
                      </pic:pic>
                    </a:graphicData>
                  </a:graphic>
                </wp:inline>
              </w:drawing>
            </w:r>
            <w:r>
              <w:t xml:space="preserve"/>
            </w: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48DD4B2F" w:rsidR="008074D4" w:rsidRDefault="009B77C9" w:rsidP="008D62E0">
            <w:r w:rsidRPr="009B77C9">
              <w:t xml:space="preserve"/>
            </w:r>
            <w:r>
              <w:drawing>
                <wp:inline xmlns:a="http://schemas.openxmlformats.org/drawingml/2006/main" xmlns:pic="http://schemas.openxmlformats.org/drawingml/2006/picture">
                  <wp:extent cx="2286000" cy="3064403"/>
                  <wp:docPr id="1003" name="Picture 1"/>
                  <wp:cNvGraphicFramePr>
                    <a:graphicFrameLocks noChangeAspect="1"/>
                  </wp:cNvGraphicFramePr>
                  <a:graphic>
                    <a:graphicData uri="http://schemas.openxmlformats.org/drawingml/2006/picture">
                      <pic:pic>
                        <pic:nvPicPr>
                          <pic:cNvPr id="0" name="slide2_2.png"/>
                          <pic:cNvPicPr/>
                        </pic:nvPicPr>
                        <pic:blipFill>
                          <a:blip r:embed="rId14"/>
                          <a:stretch>
                            <a:fillRect/>
                          </a:stretch>
                        </pic:blipFill>
                        <pic:spPr>
                          <a:xfrm>
                            <a:off x="0" y="0"/>
                            <a:ext cx="2286000" cy="3064403"/>
                          </a:xfrm>
                          <a:prstGeom prst="rect"/>
                        </pic:spPr>
                      </pic:pic>
                    </a:graphicData>
                  </a:graphic>
                </wp:inline>
              </w:drawing>
            </w:r>
            <w:r>
              <w:t xml:space="preserve"/>
            </w:r>
          </w:p>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50E3EBDC" w:rsidR="00936001" w:rsidRDefault="009B77C9" w:rsidP="008D62E0">
            <w:pPr>
              <w:rPr>
                <w:noProof/>
              </w:rPr>
            </w:pPr>
            <w:r w:rsidRPr="009B77C9">
              <w:rPr>
                <w:noProof/>
              </w:rPr>
              <w:t xml:space="preserve"/>
            </w:r>
            <w:r>
              <w:drawing>
                <wp:inline xmlns:a="http://schemas.openxmlformats.org/drawingml/2006/main" xmlns:pic="http://schemas.openxmlformats.org/drawingml/2006/picture">
                  <wp:extent cx="2286000" cy="3030175"/>
                  <wp:docPr id="1004" name="Picture 1"/>
                  <wp:cNvGraphicFramePr>
                    <a:graphicFrameLocks noChangeAspect="1"/>
                  </wp:cNvGraphicFramePr>
                  <a:graphic>
                    <a:graphicData uri="http://schemas.openxmlformats.org/drawingml/2006/picture">
                      <pic:pic>
                        <pic:nvPicPr>
                          <pic:cNvPr id="0" name="slide3_4.png"/>
                          <pic:cNvPicPr/>
                        </pic:nvPicPr>
                        <pic:blipFill>
                          <a:blip r:embed="rId15"/>
                          <a:stretch>
                            <a:fillRect/>
                          </a:stretch>
                        </pic:blipFill>
                        <pic:spPr>
                          <a:xfrm>
                            <a:off x="0" y="0"/>
                            <a:ext cx="2286000" cy="3030175"/>
                          </a:xfrm>
                          <a:prstGeom prst="rect"/>
                        </pic:spPr>
                      </pic:pic>
                    </a:graphicData>
                  </a:graphic>
                </wp:inline>
              </w:drawing>
            </w:r>
            <w:r>
              <w:t xml:space="preserve"/>
            </w: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4B40B" w14:textId="77777777" w:rsidR="005D6D37" w:rsidRDefault="005D6D37" w:rsidP="00AE2B55">
      <w:pPr>
        <w:spacing w:after="0" w:line="240" w:lineRule="auto"/>
      </w:pPr>
      <w:r>
        <w:separator/>
      </w:r>
    </w:p>
  </w:endnote>
  <w:endnote w:type="continuationSeparator" w:id="0">
    <w:p w14:paraId="11D27771" w14:textId="77777777" w:rsidR="005D6D37" w:rsidRDefault="005D6D37"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775F2" w14:textId="77777777" w:rsidR="005D6D37" w:rsidRDefault="005D6D37" w:rsidP="00AE2B55">
      <w:pPr>
        <w:spacing w:after="0" w:line="240" w:lineRule="auto"/>
      </w:pPr>
      <w:r>
        <w:separator/>
      </w:r>
    </w:p>
  </w:footnote>
  <w:footnote w:type="continuationSeparator" w:id="0">
    <w:p w14:paraId="71FA9299" w14:textId="77777777" w:rsidR="005D6D37" w:rsidRDefault="005D6D37"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Oct 16th,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Oct 16th,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A25EAE" w:rsidRDefault="006367A5" w:rsidP="006367A5">
                          <w:pPr>
                            <w:rPr>
                              <w:color w:val="FFFFFF" w:themeColor="background1"/>
                              <w:sz w:val="36"/>
                              <w:szCs w:val="36"/>
                            </w:rPr>
                          </w:pPr>
                          <w:r w:rsidRPr="00A25EAE">
                            <w:rPr>
                              <w:color w:val="FFFFFF" w:themeColor="background1"/>
                              <w:sz w:val="36"/>
                              <w:szCs w:val="36"/>
                            </w:rPr>
                            <w:t xml:space="preserve">Serious Event Review - Drop Object Incident</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A25EAE" w:rsidRDefault="006367A5" w:rsidP="006367A5">
                    <w:pPr>
                      <w:rPr>
                        <w:color w:val="FFFFFF" w:themeColor="background1"/>
                        <w:sz w:val="36"/>
                        <w:szCs w:val="36"/>
                      </w:rPr>
                    </w:pPr>
                    <w:r w:rsidRPr="00A25EAE">
                      <w:rPr>
                        <w:color w:val="FFFFFF" w:themeColor="background1"/>
                        <w:sz w:val="36"/>
                        <w:szCs w:val="36"/>
                      </w:rPr>
                      <w:t xml:space="preserve">Serious Event Review - Drop Object Incident</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A78A1"/>
    <w:rsid w:val="005B0622"/>
    <w:rsid w:val="005B1EA6"/>
    <w:rsid w:val="005B21C0"/>
    <w:rsid w:val="005C544D"/>
    <w:rsid w:val="005C67E4"/>
    <w:rsid w:val="005D143B"/>
    <w:rsid w:val="005D47EA"/>
    <w:rsid w:val="005D6D37"/>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2447"/>
    <w:rsid w:val="00867BED"/>
    <w:rsid w:val="0087236C"/>
    <w:rsid w:val="00887692"/>
    <w:rsid w:val="008926C4"/>
    <w:rsid w:val="00895E88"/>
    <w:rsid w:val="008966E4"/>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B77C9"/>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Pages>
  <Words>72</Words>
  <Characters>394</Characters>
  <Application>Microsoft Office Word</Application>
  <DocSecurity>0</DocSecurity>
  <Lines>56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10</cp:revision>
  <cp:lastPrinted>2025-03-26T16:28:00Z</cp:lastPrinted>
  <dcterms:created xsi:type="dcterms:W3CDTF">2025-04-15T16:39:00Z</dcterms:created>
  <dcterms:modified xsi:type="dcterms:W3CDTF">2025-04-25T19:24:00Z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