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proofErr w:type="gramStart"/>
                  <w:r>
                    <w:t xml:space="preserve">On October 16th, 2024, a serious incident occurred at the BNA (Gordie Howe) Canadian Bridge Pier 14. An electric 2-inch water pump weighing 26lbs fell from a height of 18’4”, striking a laborer on the back of the hard hat. The laborer had just descended the ladder to the bottom of the pier tower when the pump struck him. The worker was assigned the task of pumping water out of the pier leg from the inside. The worker did not lose consciousness and remained on his feet. His tool belt hung on the power cord at the top of the ladder and when he reached the bottom, he inadvertently pulled the pump from the concrete platform 18' 4" above him. The pump was not adequately secured or fastened on the platform pier to prevent a potential drop object hazard.</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proofErr w:type="gramStart"/>
                  <w:r w:rsidRPr="001F194E">
                    <w:t xml:space="preserve">['The contributing factors to the incident include the lack of equipment tethers, inadequate securing of the water pump, and a false sense of security that the horizontal tube rail 5 ¾ in height was adequate prevention and protection for dropped objects.']</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proofErr w:type="gramStart"/>
            <w:r w:rsidRPr="001F194E">
              <w:t xml:space="preserve">['The incident has highlighted the need for a “Process Flow” to prevent dropped objects, regular verifications for BNA’s “Safety Absolutes”, and the importance of wearing approved hard hats. It has also emphasized the need for supervisors and craft to visually assess their task to prevent entanglement with surrounding objects and cords inside the piers, and the immediate removal of unnecessary tools and equipment that are not needed inside the pier towers.']</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7FFA" w14:textId="77777777" w:rsidR="002326C8" w:rsidRDefault="002326C8" w:rsidP="00AE2B55">
      <w:pPr>
        <w:spacing w:after="0" w:line="240" w:lineRule="auto"/>
      </w:pPr>
      <w:r>
        <w:separator/>
      </w:r>
    </w:p>
  </w:endnote>
  <w:endnote w:type="continuationSeparator" w:id="0">
    <w:p w14:paraId="75AE21CF" w14:textId="77777777" w:rsidR="002326C8" w:rsidRDefault="002326C8"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ABE9" w14:textId="77777777" w:rsidR="002326C8" w:rsidRDefault="002326C8" w:rsidP="00AE2B55">
      <w:pPr>
        <w:spacing w:after="0" w:line="240" w:lineRule="auto"/>
      </w:pPr>
      <w:r>
        <w:separator/>
      </w:r>
    </w:p>
  </w:footnote>
  <w:footnote w:type="continuationSeparator" w:id="0">
    <w:p w14:paraId="76BB37BA" w14:textId="77777777" w:rsidR="002326C8" w:rsidRDefault="002326C8"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72</Words>
  <Characters>363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9</cp:revision>
  <cp:lastPrinted>2025-03-26T16:28:00Z</cp:lastPrinted>
  <dcterms:created xsi:type="dcterms:W3CDTF">2025-04-15T16:39:00Z</dcterms:created>
  <dcterms:modified xsi:type="dcterms:W3CDTF">2025-04-25T18:23:00Z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