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764BA2"/>
        </w:rPr>
        <w:t>Formatting Demo - CORRECTED</w:t>
      </w:r>
    </w:p>
    <w:p>
      <w:pPr>
        <w:jc w:val="center"/>
      </w:pPr>
      <w:r>
        <w:rPr>
          <w:color w:val="764BA2"/>
          <w:sz w:val="28"/>
        </w:rPr>
        <w:t>2 Learning Objectives - All Fixes Applied</w:t>
      </w:r>
    </w:p>
    <w:p>
      <w:r>
        <w:br w:type="page"/>
      </w:r>
    </w:p>
    <w:p>
      <w:pPr>
        <w:pStyle w:val="Heading2"/>
      </w:pPr>
      <w:r>
        <w:rPr>
          <w:color w:val="764BA2"/>
          <w:sz w:val="28"/>
        </w:rPr>
        <w:t>1. Describe the mechanisms of action of beta blockers and their clinical uses</w:t>
      </w:r>
    </w:p>
    <w:p>
      <w:pPr>
        <w:spacing w:before="0" w:after="0" w:line="360" w:lineRule="auto"/>
      </w:pPr>
      <w:r>
        <w:rPr>
          <w:rFonts w:ascii="Calibri" w:hAnsi="Calibri"/>
          <w:sz w:val="24"/>
        </w:rPr>
        <w:t>Beta blockers competitively antagonize β-adrenergic receptors, reducing heart rate, contractility, and blood pressure. They are classified as selective (β₁) or non-selective (β₁ and β₂). Clinical uses include hypertension, angina, heart failure, and arrhythmias.</w:t>
      </w:r>
    </w:p>
    <w:p/>
    <w:p>
      <w:pPr>
        <w:pStyle w:val="Heading3"/>
      </w:pPr>
      <w:r>
        <w:t>Selective vs Non-Selective Beta Blockers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B3E5FC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Feature</w:t>
            </w:r>
          </w:p>
        </w:tc>
        <w:tc>
          <w:tcPr>
            <w:tcW w:type="dxa" w:w="3360"/>
            <w:shd w:fill="B3E5FC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Selective (β₁)</w:t>
            </w:r>
          </w:p>
        </w:tc>
        <w:tc>
          <w:tcPr>
            <w:tcW w:type="dxa" w:w="3360"/>
            <w:shd w:fill="B3E5FC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Non-Selective (β₁+β₂)</w:t>
            </w:r>
          </w:p>
        </w:tc>
      </w:tr>
      <w:tr>
        <w:tc>
          <w:tcPr>
            <w:tcW w:type="dxa" w:w="3360"/>
            <w:shd w:fill="E1F5FE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Examples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Metoprolol, Atenolol, Bisoprolol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Propranolol, Nadolol, Timolol</w:t>
            </w:r>
          </w:p>
        </w:tc>
      </w:tr>
      <w:tr>
        <w:tc>
          <w:tcPr>
            <w:tcW w:type="dxa" w:w="3360"/>
            <w:shd w:fill="E1F5FE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Target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β₁ receptors (heart)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β₁ + β₂ receptors</w:t>
            </w:r>
          </w:p>
        </w:tc>
      </w:tr>
      <w:tr>
        <w:tc>
          <w:tcPr>
            <w:tcW w:type="dxa" w:w="3360"/>
            <w:shd w:fill="E1F5FE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Respiratory Effects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Minimal bronchospasm risk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⚠️ Bronchospasm risk</w:t>
            </w:r>
          </w:p>
        </w:tc>
      </w:tr>
    </w:tbl>
    <w:p/>
    <w:p>
      <w:r>
        <w:rPr>
          <w:rFonts w:ascii="Calibri" w:hAnsi="Calibri"/>
          <w:b/>
          <w:sz w:val="24"/>
        </w:rPr>
        <w:t>Clinical Pearls &amp; High-Yield Points:</w:t>
      </w:r>
    </w:p>
    <w:p>
      <w:pPr>
        <w:pStyle w:val="ListBullet"/>
        <w:spacing w:before="0" w:after="0" w:line="360" w:lineRule="auto"/>
        <w:ind w:left="720" w:hanging="360"/>
      </w:pPr>
      <w:r>
        <w:rPr>
          <w:rFonts w:ascii="Calibri" w:hAnsi="Calibri"/>
          <w:sz w:val="24"/>
        </w:rPr>
        <w:t>Beta blockers reduce mortality in heart failure (bisoprolol, carvedilol, metoprolol)</w:t>
      </w:r>
    </w:p>
    <w:p>
      <w:pPr>
        <w:pStyle w:val="ListBullet"/>
        <w:spacing w:before="0" w:after="0" w:line="360" w:lineRule="auto"/>
        <w:ind w:left="720" w:hanging="360"/>
      </w:pPr>
      <w:r>
        <w:rPr>
          <w:rFonts w:ascii="Calibri" w:hAnsi="Calibri"/>
          <w:sz w:val="24"/>
        </w:rPr>
        <w:t>Never stop beta blockers abruptly - risk of rebound tachycardia</w:t>
      </w:r>
    </w:p>
    <w:p>
      <w:pPr>
        <w:pStyle w:val="ListBullet"/>
        <w:spacing w:before="0" w:after="0" w:line="360" w:lineRule="auto"/>
        <w:ind w:left="720" w:hanging="360"/>
      </w:pPr>
      <w:r>
        <w:rPr>
          <w:rFonts w:ascii="Calibri" w:hAnsi="Calibri"/>
          <w:sz w:val="24"/>
        </w:rPr>
        <w:t>Cardioselective agents lose selectivity at high doses</w:t>
      </w:r>
    </w:p>
    <w:p>
      <w:r>
        <w:br w:type="page"/>
      </w:r>
    </w:p>
    <w:p>
      <w:pPr>
        <w:pStyle w:val="Heading2"/>
      </w:pPr>
      <w:r>
        <w:rPr>
          <w:color w:val="764BA2"/>
          <w:sz w:val="28"/>
        </w:rPr>
        <w:t>2. Describe the regulation of digestive motility</w:t>
      </w:r>
    </w:p>
    <w:p>
      <w:pPr>
        <w:spacing w:before="0" w:after="0" w:line="360" w:lineRule="auto"/>
      </w:pPr>
      <w:r>
        <w:rPr>
          <w:rFonts w:ascii="Calibri" w:hAnsi="Calibri"/>
          <w:sz w:val="24"/>
        </w:rPr>
        <w:t>Digestive motility is regulated by three main mechanisms:</w:t>
      </w:r>
    </w:p>
    <w:p>
      <w:pPr>
        <w:spacing w:before="0" w:after="0" w:line="360" w:lineRule="auto"/>
        <w:ind w:left="360" w:hanging="360"/>
      </w:pPr>
      <w:r>
        <w:rPr>
          <w:rFonts w:ascii="Calibri" w:hAnsi="Calibri"/>
          <w:b/>
          <w:sz w:val="24"/>
        </w:rPr>
        <w:t xml:space="preserve">1. </w:t>
      </w:r>
      <w:r>
        <w:rPr>
          <w:rFonts w:ascii="Calibri" w:hAnsi="Calibri"/>
          <w:sz w:val="24"/>
        </w:rPr>
        <w:t>Neural regulation</w:t>
      </w:r>
    </w:p>
    <w:p>
      <w:pPr>
        <w:pStyle w:val="ListBullet"/>
        <w:spacing w:before="0" w:after="0" w:line="360" w:lineRule="auto"/>
        <w:ind w:left="720" w:hanging="360"/>
      </w:pPr>
      <w:r>
        <w:rPr>
          <w:rFonts w:ascii="Calibri" w:hAnsi="Calibri"/>
          <w:sz w:val="24"/>
        </w:rPr>
        <w:t>Parasympathetic (vagus nerve) increases intestinal contraction</w:t>
      </w:r>
    </w:p>
    <w:p>
      <w:pPr>
        <w:pStyle w:val="ListBullet"/>
        <w:spacing w:before="0" w:after="0" w:line="360" w:lineRule="auto"/>
        <w:ind w:left="720" w:hanging="360"/>
      </w:pPr>
      <w:r>
        <w:rPr>
          <w:rFonts w:ascii="Calibri" w:hAnsi="Calibri"/>
          <w:sz w:val="24"/>
        </w:rPr>
        <w:t>Sympathetic nervous system decreases motility during stress</w:t>
      </w:r>
    </w:p>
    <w:p>
      <w:pPr>
        <w:spacing w:before="0" w:after="0" w:line="360" w:lineRule="auto"/>
        <w:ind w:left="360" w:hanging="360"/>
      </w:pPr>
      <w:r>
        <w:rPr>
          <w:rFonts w:ascii="Calibri" w:hAnsi="Calibri"/>
          <w:b/>
          <w:sz w:val="24"/>
        </w:rPr>
        <w:t xml:space="preserve">2. </w:t>
      </w:r>
      <w:r>
        <w:rPr>
          <w:rFonts w:ascii="Calibri" w:hAnsi="Calibri"/>
          <w:sz w:val="24"/>
        </w:rPr>
        <w:t>Hormonal regulation</w:t>
      </w:r>
    </w:p>
    <w:p>
      <w:pPr>
        <w:pStyle w:val="ListBullet"/>
        <w:spacing w:before="0" w:after="0" w:line="360" w:lineRule="auto"/>
        <w:ind w:left="720" w:hanging="360"/>
      </w:pPr>
      <w:r>
        <w:rPr>
          <w:rFonts w:ascii="Calibri" w:hAnsi="Calibri"/>
          <w:sz w:val="24"/>
        </w:rPr>
        <w:t>Secretin stimulates bicarbonate release from pancreas</w:t>
      </w:r>
    </w:p>
    <w:p>
      <w:pPr>
        <w:pStyle w:val="ListBullet"/>
        <w:spacing w:before="0" w:after="0" w:line="360" w:lineRule="auto"/>
        <w:ind w:left="720" w:hanging="360"/>
      </w:pPr>
      <w:r>
        <w:rPr>
          <w:rFonts w:ascii="Calibri" w:hAnsi="Calibri"/>
          <w:sz w:val="24"/>
        </w:rPr>
        <w:t>Cholecystokinin (CCK) stimulates enzyme release and gallbladder contraction</w:t>
      </w:r>
    </w:p>
    <w:p>
      <w:pPr>
        <w:spacing w:before="0" w:after="0" w:line="360" w:lineRule="auto"/>
        <w:ind w:left="360" w:hanging="360"/>
      </w:pPr>
      <w:r>
        <w:rPr>
          <w:rFonts w:ascii="Calibri" w:hAnsi="Calibri"/>
          <w:b/>
          <w:sz w:val="24"/>
        </w:rPr>
        <w:t xml:space="preserve">3. </w:t>
      </w:r>
      <w:r>
        <w:rPr>
          <w:rFonts w:ascii="Calibri" w:hAnsi="Calibri"/>
          <w:sz w:val="24"/>
        </w:rPr>
        <w:t>Mechanical regulation</w:t>
      </w:r>
    </w:p>
    <w:p>
      <w:pPr>
        <w:pStyle w:val="ListBullet"/>
        <w:spacing w:before="0" w:after="0" w:line="360" w:lineRule="auto"/>
        <w:ind w:left="720" w:hanging="360"/>
      </w:pPr>
      <w:r>
        <w:rPr>
          <w:rFonts w:ascii="Calibri" w:hAnsi="Calibri"/>
          <w:sz w:val="24"/>
        </w:rPr>
        <w:t>Distension of intestinal wall triggers stretch reflexes</w:t>
      </w:r>
    </w:p>
    <w:p>
      <w:pPr>
        <w:pStyle w:val="ListBullet"/>
        <w:spacing w:before="0" w:after="0" w:line="360" w:lineRule="auto"/>
        <w:ind w:left="720" w:hanging="360"/>
      </w:pPr>
      <w:r>
        <w:rPr>
          <w:rFonts w:ascii="Calibri" w:hAnsi="Calibri"/>
          <w:sz w:val="24"/>
        </w:rPr>
        <w:t>Smooth muscle contractions propel contents forward</w:t>
      </w:r>
    </w:p>
    <w:p/>
    <w:p>
      <w:pPr>
        <w:pStyle w:val="Heading3"/>
      </w:pPr>
      <w:r>
        <w:t>Neural Regulation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8E6C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Division</w:t>
            </w:r>
          </w:p>
        </w:tc>
        <w:tc>
          <w:tcPr>
            <w:tcW w:type="dxa" w:w="3360"/>
            <w:shd w:fill="C8E6C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Neurotransmitters</w:t>
            </w:r>
          </w:p>
        </w:tc>
        <w:tc>
          <w:tcPr>
            <w:tcW w:type="dxa" w:w="3360"/>
            <w:shd w:fill="C8E6C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Effects</w:t>
            </w:r>
          </w:p>
        </w:tc>
      </w:tr>
      <w:tr>
        <w:tc>
          <w:tcPr>
            <w:tcW w:type="dxa" w:w="3360"/>
            <w:shd w:fill="E8F5E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Parasympathetic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Acetylcholine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• ↑ Motility</w:t>
              <w:br/>
              <w:t>• ↑ Secretion</w:t>
              <w:br/>
              <w:t>• ↑ Blood flow</w:t>
            </w:r>
          </w:p>
        </w:tc>
      </w:tr>
      <w:tr>
        <w:tc>
          <w:tcPr>
            <w:tcW w:type="dxa" w:w="3360"/>
            <w:shd w:fill="E8F5E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Sympathetic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Norepinephrine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• ↓ Motility</w:t>
              <w:br/>
              <w:t>• ↓ Secretion</w:t>
              <w:br/>
              <w:t>• ↓ Blood flow</w:t>
            </w:r>
          </w:p>
        </w:tc>
      </w:tr>
    </w:tbl>
    <w:p/>
    <w:p>
      <w:r>
        <w:rPr>
          <w:rFonts w:ascii="Calibri" w:hAnsi="Calibri"/>
          <w:b/>
          <w:sz w:val="24"/>
        </w:rPr>
        <w:t>Clinical Pearls &amp; High-Yield Points:</w:t>
      </w:r>
    </w:p>
    <w:p>
      <w:pPr>
        <w:pStyle w:val="ListBullet"/>
        <w:spacing w:before="0" w:after="0" w:line="360" w:lineRule="auto"/>
        <w:ind w:left="720" w:hanging="360"/>
      </w:pPr>
      <w:r>
        <w:rPr>
          <w:rFonts w:ascii="Calibri" w:hAnsi="Calibri"/>
          <w:sz w:val="24"/>
        </w:rPr>
        <w:t>Vagal stimulation during eating initiates motility ("rest and digest")</w:t>
      </w:r>
    </w:p>
    <w:p>
      <w:pPr>
        <w:pStyle w:val="ListBullet"/>
        <w:spacing w:before="0" w:after="0" w:line="360" w:lineRule="auto"/>
        <w:ind w:left="720" w:hanging="360"/>
      </w:pPr>
      <w:r>
        <w:rPr>
          <w:rFonts w:ascii="Calibri" w:hAnsi="Calibri"/>
          <w:sz w:val="24"/>
        </w:rPr>
        <w:t>Sympathetic activation during stress shuts down digestion ("fight or flight")</w:t>
      </w:r>
    </w:p>
    <w:p>
      <w:pPr>
        <w:pStyle w:val="ListBullet"/>
        <w:spacing w:before="0" w:after="0" w:line="360" w:lineRule="auto"/>
        <w:ind w:left="720" w:hanging="360"/>
      </w:pPr>
      <w:r>
        <w:rPr>
          <w:rFonts w:ascii="Calibri" w:hAnsi="Calibri"/>
          <w:sz w:val="24"/>
        </w:rPr>
        <w:t>Loss of myenteric plexus → intestinal dysmotility (e.g., Hirschsprung disease)</w:t>
      </w:r>
    </w:p>
    <w:p>
      <w:r>
        <w:br w:type="page"/>
      </w:r>
    </w:p>
    <w:p>
      <w:pPr>
        <w:pStyle w:val="Heading1"/>
      </w:pPr>
      <w:r>
        <w:rPr>
          <w:color w:val="764BA2"/>
        </w:rPr>
        <w:t>Reference Tables</w:t>
      </w:r>
    </w:p>
    <w:p/>
    <w:p>
      <w:pPr>
        <w:pStyle w:val="Heading3"/>
      </w:pPr>
      <w:r>
        <w:t>Beta Blocker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FE0B2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Property</w:t>
            </w:r>
          </w:p>
        </w:tc>
        <w:tc>
          <w:tcPr>
            <w:tcW w:type="dxa" w:w="3360"/>
            <w:shd w:fill="FFE0B2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Cardioselective</w:t>
            </w:r>
          </w:p>
        </w:tc>
        <w:tc>
          <w:tcPr>
            <w:tcW w:type="dxa" w:w="3360"/>
            <w:shd w:fill="FFE0B2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Non-Selective</w:t>
            </w:r>
          </w:p>
        </w:tc>
      </w:tr>
      <w:tr>
        <w:tc>
          <w:tcPr>
            <w:tcW w:type="dxa" w:w="3360"/>
            <w:shd w:fill="FFF3E0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Examples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• Metoprolol</w:t>
              <w:br/>
              <w:t>• Atenolol</w:t>
              <w:br/>
              <w:t>• Bisoprolol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• Propranolol</w:t>
              <w:br/>
              <w:t>• Nadolol</w:t>
              <w:br/>
              <w:t>• Timolol</w:t>
            </w:r>
          </w:p>
        </w:tc>
      </w:tr>
      <w:tr>
        <w:tc>
          <w:tcPr>
            <w:tcW w:type="dxa" w:w="3360"/>
            <w:shd w:fill="FFF3E0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Target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β₁ (heart)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β₁ + β₂</w:t>
            </w:r>
          </w:p>
        </w:tc>
      </w:tr>
      <w:tr>
        <w:tc>
          <w:tcPr>
            <w:tcW w:type="dxa" w:w="3360"/>
            <w:shd w:fill="FFF3E0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Heart Effects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↓ HR, ↓ contractility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↓ HR, ↓ contractility</w:t>
            </w:r>
          </w:p>
        </w:tc>
      </w:tr>
      <w:tr>
        <w:tc>
          <w:tcPr>
            <w:tcW w:type="dxa" w:w="3360"/>
            <w:shd w:fill="FFF3E0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Lung Effects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Minimal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Bronchospasm risk</w:t>
            </w:r>
          </w:p>
        </w:tc>
      </w:tr>
    </w:tbl>
    <w:p/>
    <w:p>
      <w:pPr>
        <w:pStyle w:val="Heading3"/>
      </w:pPr>
      <w:r>
        <w:t>Autonomic Control of Digestion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1C4E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System</w:t>
            </w:r>
          </w:p>
        </w:tc>
        <w:tc>
          <w:tcPr>
            <w:tcW w:type="dxa" w:w="2520"/>
            <w:shd w:fill="D1C4E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Neurotransmitter</w:t>
            </w:r>
          </w:p>
        </w:tc>
        <w:tc>
          <w:tcPr>
            <w:tcW w:type="dxa" w:w="2520"/>
            <w:shd w:fill="D1C4E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Motility</w:t>
            </w:r>
          </w:p>
        </w:tc>
        <w:tc>
          <w:tcPr>
            <w:tcW w:type="dxa" w:w="2520"/>
            <w:shd w:fill="D1C4E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Secretion</w:t>
            </w:r>
          </w:p>
        </w:tc>
      </w:tr>
      <w:tr>
        <w:tc>
          <w:tcPr>
            <w:tcW w:type="dxa" w:w="2520"/>
            <w:shd w:fill="EDE7F6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Parasympathetic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Acetylcholine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↑ Increased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↑ Increased</w:t>
            </w:r>
          </w:p>
        </w:tc>
      </w:tr>
      <w:tr>
        <w:tc>
          <w:tcPr>
            <w:tcW w:type="dxa" w:w="2520"/>
            <w:shd w:fill="EDE7F6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Sympathetic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Norepinephrine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↓ Decreased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4"/>
              </w:rPr>
              <w:t>↓ Decreased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