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4A148C"/>
        </w:rPr>
        <w:t>SECTION 4: High-Yield Summary</w:t>
      </w:r>
    </w:p>
    <w:p>
      <w:pPr>
        <w:pStyle w:val="Heading2"/>
      </w:pPr>
      <w:r>
        <w:rPr>
          <w:color w:val="4A148C"/>
        </w:rPr>
        <w:t>Table of Contents</w:t>
      </w:r>
    </w:p>
    <w:p>
      <w:r>
        <w:t>1. Learning Objectives</w:t>
      </w:r>
    </w:p>
    <w:p>
      <w:r>
        <w:t>2. Key Comparisons</w:t>
      </w:r>
    </w:p>
    <w:p>
      <w:r>
        <w:t>3. Master Chart - All Lipid Management Scenarios</w:t>
      </w:r>
    </w:p>
    <w:p>
      <w:r>
        <w:t>4. High-Yield Summary</w:t>
      </w:r>
    </w:p>
    <w:p>
      <w:r>
        <w:t>---</w:t>
      </w:r>
    </w:p>
    <w:p>
      <w:pPr>
        <w:pStyle w:val="Heading2"/>
      </w:pPr>
      <w:r>
        <w:rPr>
          <w:color w:val="4A148C"/>
        </w:rPr>
        <w:t>Learning Objective #1: Distinguish ASCVD and CVD</w:t>
      </w:r>
    </w:p>
    <w:p>
      <w:r>
        <w:t>**Summary:**</w:t>
      </w:r>
    </w:p>
    <w:p>
      <w:pPr>
        <w:pStyle w:val="ListBullet"/>
      </w:pPr>
      <w:r>
        <w:t>ASCVD (Atherosclerotic Cardiovascular Disease) is used for lipid management guidelines</w:t>
      </w:r>
    </w:p>
    <w:p>
      <w:pPr>
        <w:pStyle w:val="ListBullet"/>
      </w:pPr>
      <w:r>
        <w:t>ASCVD includes: Acute coronary syndrome, MI, stroke, symptomatic peripheral vascular disease (including aortic aneurysm)</w:t>
      </w:r>
    </w:p>
    <w:p>
      <w:pPr>
        <w:pStyle w:val="ListBullet"/>
      </w:pPr>
      <w:r>
        <w:t>CVD (Cardiovascular Disease) is used for hypertension management guidelines</w:t>
      </w:r>
    </w:p>
    <w:p>
      <w:pPr>
        <w:pStyle w:val="ListBullet"/>
      </w:pPr>
      <w:r>
        <w:t>CVD includes all ASCVD conditions PLUS heart failure, arrhythmia, and valve disease</w:t>
      </w:r>
    </w:p>
    <w:p>
      <w:pPr>
        <w:pStyle w:val="Heading3"/>
      </w:pPr>
      <w:r>
        <w:rPr>
          <w:color w:val="4A148C"/>
        </w:rPr>
        <w:t>TABLE: ASCVD vs CVD</w:t>
      </w:r>
    </w:p>
    <w:p>
      <w:r>
        <w:t>---</w:t>
      </w:r>
    </w:p>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**Clinical Pearls &amp; High-Yield Points:**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When prescribing lipid therapy, use ASCVD terminology and risk assessment</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The danger of atherosclerotic plaque is NOT related to size, but to its tendency to rupture</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Plaque rupture → acute thrombotic occlusion → MI or stroke</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Lipid lowering specifically targets atherosclerotic (plaque-forming) conditions</w:t>
              <w:br/>
            </w:r>
          </w:p>
        </w:tc>
      </w:tr>
    </w:tbl>
    <w:p/>
    <w:tbl>
      <w:tblPr>
        <w:tblStyle w:val="TableGrid"/>
        <w:tblW w:type="auto" w:w="0"/>
        <w:tblLook w:firstColumn="1" w:firstRow="1" w:lastColumn="0" w:lastRow="0" w:noHBand="0" w:noVBand="1" w:val="04A0"/>
      </w:tblPr>
      <w:tblGrid>
        <w:gridCol w:w="9936"/>
      </w:tblGrid>
      <w:tr>
        <w:tc>
          <w:tcPr>
            <w:tcW w:type="dxa" w:w="9936"/>
            <w:shd w:fill="E6F3FF"/>
          </w:tcPr>
          <w:p>
            <w:r>
              <w:rPr>
                <w:sz w:val="20"/>
              </w:rPr>
              <w:t>💡 MEMORY TRICKS &amp; MNEMONICS</w:t>
              <w:br/>
              <w:br/>
              <w:t>**Memory Tricks &amp; Mnemonics:**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**"ASCVD = A Smaller CVD"** - ASCVD is a subset of CVD with only atherosclerotic conditions</w:t>
              <w:br/>
            </w:r>
          </w:p>
        </w:tc>
      </w:tr>
    </w:tbl>
    <w:p/>
    <w:tbl>
      <w:tblPr>
        <w:tblStyle w:val="TableGrid"/>
        <w:tblW w:type="auto" w:w="0"/>
        <w:tblLook w:firstColumn="1" w:firstRow="1" w:lastColumn="0" w:lastRow="0" w:noHBand="0" w:noVBand="1" w:val="04A0"/>
      </w:tblPr>
      <w:tblGrid>
        <w:gridCol w:w="9936"/>
      </w:tblGrid>
      <w:tr>
        <w:tc>
          <w:tcPr>
            <w:tcW w:type="dxa" w:w="9936"/>
            <w:shd w:fill="E6F3FF"/>
          </w:tcPr>
          <w:p>
            <w:r>
              <w:rPr>
                <w:sz w:val="20"/>
              </w:rPr>
              <w:t>💡 MEMORY TRICKS &amp; MNEMONICS</w:t>
              <w:br/>
              <w:br/>
              <w:t>• **"Lipids love ASCVD, Blood Pressure loves CVD"** - Remember which term for which management</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**Analogy:**</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ASCVD is like a specific plumbing problem (clogged pipes from buildup) while CVD includes ALL plumbing, electrical, and mechanical problems in the building. You use a specialized pipe-cleaning solution (lipid therapy) for clogged pipes specifically, but need a full maintenance team for all building problems.</w:t>
              <w:br/>
            </w:r>
          </w:p>
        </w:tc>
      </w:tr>
    </w:tbl>
    <w:p>
      <w:pPr>
        <w:pStyle w:val="Heading2"/>
      </w:pPr>
      <w:r>
        <w:rPr>
          <w:color w:val="4A148C"/>
        </w:rPr>
        <w:t>Learning Objective #2: Discuss factors that increase risk for ASCVD</w:t>
      </w:r>
    </w:p>
    <w:p>
      <w:r>
        <w:t>**Summary:**</w:t>
      </w:r>
    </w:p>
    <w:p>
      <w:pPr>
        <w:pStyle w:val="ListBullet"/>
      </w:pPr>
      <w:r>
        <w:t>Major risk factors (used in 10-year risk calculators): Age, sex, hypertension, hyperlipidemia, diabetes, cigarette smoking</w:t>
      </w:r>
    </w:p>
    <w:p>
      <w:pPr>
        <w:pStyle w:val="ListBullet"/>
      </w:pPr>
      <w:r>
        <w:t>Risk-enhancing factors (NOT in calculators): Family history premature ASCVD (M&lt;55, F&lt;65), elevated Lp(a)/ApoB/CRP, TG &gt;175, LDL 160-189, metabolic syndrome, CKD, ABI &lt;0.9, chronic inflammatory diseases, South Asian ancestry, preeclampsia, early menopause &lt;40</w:t>
      </w:r>
    </w:p>
    <w:p>
      <w:pPr>
        <w:pStyle w:val="ListBullet"/>
      </w:pPr>
      <w:r>
        <w:t>Two risk calculators: ASCVD Risk Estimator Plus (lipid management) and PREVENT Calculator (HTN management)</w:t>
      </w:r>
    </w:p>
    <w:p>
      <w:pPr>
        <w:pStyle w:val="ListBullet"/>
      </w:pPr>
      <w:r>
        <w:t>Risk categories based on 10-year ASCVD risk: Low (&lt;5%), Borderline (5-7.4%), Intermediate (7.5-19.9%), High (≥20%)</w:t>
      </w:r>
    </w:p>
    <w:p>
      <w:pPr>
        <w:pStyle w:val="ListBullet"/>
      </w:pPr>
      <w:r>
        <w:t>Cut-off values to remember: 20%, 7.5%, 5%</w:t>
      </w:r>
    </w:p>
    <w:p>
      <w:pPr>
        <w:pStyle w:val="Heading3"/>
      </w:pPr>
      <w:r>
        <w:rPr>
          <w:color w:val="4A148C"/>
        </w:rPr>
        <w:t>TABLE: Risk Categories and Treatment Triggers</w:t>
      </w:r>
    </w:p>
    <w:p>
      <w:r>
        <w:t>---</w:t>
      </w:r>
    </w:p>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**Clinical Pearls &amp; High-Yield Points:**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Risk calculators are ONLY for primary prevention - never use if patient already has ASCVD</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Risk-enhancing factors tip decision-making in borderline cases (5-7.4% risk)</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Premature family history = male relative &lt;55 or female relative &lt;65 with ASCVD</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If calculating risk between 5-20%, presence of risk-enhancing factors may push you toward more aggressive statin therapy</w:t>
              <w:br/>
            </w:r>
          </w:p>
        </w:tc>
      </w:tr>
    </w:tbl>
    <w:p/>
    <w:tbl>
      <w:tblPr>
        <w:tblStyle w:val="TableGrid"/>
        <w:tblW w:type="auto" w:w="0"/>
        <w:tblLook w:firstColumn="1" w:firstRow="1" w:lastColumn="0" w:lastRow="0" w:noHBand="0" w:noVBand="1" w:val="04A0"/>
      </w:tblPr>
      <w:tblGrid>
        <w:gridCol w:w="9936"/>
      </w:tblGrid>
      <w:tr>
        <w:tc>
          <w:tcPr>
            <w:tcW w:type="dxa" w:w="9936"/>
            <w:shd w:fill="E6F3FF"/>
          </w:tcPr>
          <w:p>
            <w:r>
              <w:rPr>
                <w:sz w:val="20"/>
              </w:rPr>
              <w:t>💡 MEMORY TRICKS &amp; MNEMONICS</w:t>
              <w:br/>
              <w:br/>
              <w:t>**Memory Tricks &amp; Mnemonics:**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**"Cut-offs: 20, 7.5, and 5"** for risk stratification</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**"ABCDE of CVD Prevention"** - Assess risk &amp; Antiplatelet/Anticoagulation, Blood pressure &amp; BMI, Cigarettes &amp; Cholesterol, Diet/Diabetes/Dream, Exercise &amp; Economic factors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**Analogy:**</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Think of major risk factors as the main ingredients in a recipe for heart disease (flour, sugar, eggs), while risk-enhancing factors are the spices that make it cook faster (baking powder, salt). The risk calculator measures the main ingredients, but an experienced chef (clinician) knows to adjust for the spices too.</w:t>
              <w:br/>
            </w:r>
          </w:p>
        </w:tc>
      </w:tr>
    </w:tbl>
    <w:p>
      <w:pPr>
        <w:pStyle w:val="Heading2"/>
      </w:pPr>
      <w:r>
        <w:rPr>
          <w:color w:val="4A148C"/>
        </w:rPr>
        <w:t>Learning Objective #3: Discuss the importance of managing lipids to reduce risk of cardiovascular disease</w:t>
      </w:r>
    </w:p>
    <w:p>
      <w:r>
        <w:t>**Summary:**</w:t>
      </w:r>
    </w:p>
    <w:p>
      <w:pPr>
        <w:pStyle w:val="ListBullet"/>
      </w:pPr>
      <w:r>
        <w:t>Ischemic heart disease is #1 cause of death worldwide</w:t>
      </w:r>
    </w:p>
    <w:p>
      <w:pPr>
        <w:pStyle w:val="ListBullet"/>
      </w:pPr>
      <w:r>
        <w:t>Stroke is #1 cause of adult disability and #4 cause of death</w:t>
      </w:r>
    </w:p>
    <w:p>
      <w:pPr>
        <w:pStyle w:val="ListBullet"/>
      </w:pPr>
      <w:r>
        <w:t>Cardiovascular system content represents 11% of PANCE exam</w:t>
      </w:r>
    </w:p>
    <w:p>
      <w:pPr>
        <w:pStyle w:val="ListBullet"/>
      </w:pPr>
      <w:r>
        <w:t>Hyperlipidemia is a modifiable risk factor for ASCVD</w:t>
      </w:r>
    </w:p>
    <w:p>
      <w:pPr>
        <w:pStyle w:val="ListBullet"/>
      </w:pPr>
      <w:r>
        <w:t>LDL cholesterol is the primary target for ASCVD risk reduction</w:t>
      </w:r>
    </w:p>
    <w:p>
      <w:pPr>
        <w:pStyle w:val="ListBullet"/>
      </w:pPr>
      <w:r>
        <w:t>Statins reduce mortality from heart attack and stroke AND stabilize plaques with anti-inflammatory effects</w:t>
      </w:r>
    </w:p>
    <w:p>
      <w:r>
        <w:t>---</w:t>
      </w:r>
    </w:p>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**Clinical Pearls &amp; High-Yield Points:**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LDL infiltrates arterial walls and promotes inflammatory plaque formation</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Plaque instability (not size) determines rupture risk and acute events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Statins work beyond just lowering LDL - they stabilize plaques and have anti-inflammatory properties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Primary prevention = preventing first ASCVD event; Secondary prevention = preventing recurrent events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Tertiary prevention = managing established disease to reduce disability</w:t>
              <w:br/>
            </w:r>
          </w:p>
        </w:tc>
      </w:tr>
    </w:tbl>
    <w:p/>
    <w:tbl>
      <w:tblPr>
        <w:tblStyle w:val="TableGrid"/>
        <w:tblW w:type="auto" w:w="0"/>
        <w:tblLook w:firstColumn="1" w:firstRow="1" w:lastColumn="0" w:lastRow="0" w:noHBand="0" w:noVBand="1" w:val="04A0"/>
      </w:tblPr>
      <w:tblGrid>
        <w:gridCol w:w="9936"/>
      </w:tblGrid>
      <w:tr>
        <w:tc>
          <w:tcPr>
            <w:tcW w:type="dxa" w:w="9936"/>
            <w:shd w:fill="E6F3FF"/>
          </w:tcPr>
          <w:p>
            <w:r>
              <w:rPr>
                <w:sz w:val="20"/>
              </w:rPr>
              <w:t>💡 MEMORY TRICKS &amp; MNEMONICS</w:t>
              <w:br/>
              <w:br/>
              <w:t>**Memory Tricks &amp; Mnemonics:**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**"Ischemic Heart Disease = #1 killer"** - Emphasizes importance of prevention</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**"3 Ps of Prevention"** - Primary (prevent disease), Secondary (prevent recurrence), Tertiary (reduce disability)</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**Analogy:**</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Managing lipids is like maintaining oil levels in your car engine. Just as dirty oil causes buildup and engine failure, high LDL causes plaque buildup and arterial "failure" (heart attack/stroke). Regular oil changes (lipid management) keep the engine running smoothly and prevent catastrophic breakdown.</w:t>
              <w:br/>
            </w:r>
          </w:p>
        </w:tc>
      </w:tr>
    </w:tbl>
    <w:p>
      <w:pPr>
        <w:pStyle w:val="Heading2"/>
      </w:pPr>
      <w:r>
        <w:rPr>
          <w:color w:val="4A148C"/>
        </w:rPr>
        <w:t>Learning Objective #4: List normal lab values for lipids and identify very high LDL</w:t>
      </w:r>
    </w:p>
    <w:p>
      <w:r>
        <w:t>**Summary:**</w:t>
      </w:r>
    </w:p>
    <w:p>
      <w:pPr>
        <w:pStyle w:val="ListBullet"/>
      </w:pPr>
      <w:r>
        <w:t>Lipid panel components: Total cholesterol, LDL, HDL, Triglycerides</w:t>
      </w:r>
    </w:p>
    <w:p>
      <w:pPr>
        <w:pStyle w:val="ListBullet"/>
      </w:pPr>
      <w:r>
        <w:t>Generally requires fasting specimen</w:t>
      </w:r>
    </w:p>
    <w:p>
      <w:pPr>
        <w:pStyle w:val="ListBullet"/>
      </w:pPr>
      <w:r>
        <w:t>LDL is calculated (not directly measured) using Friedewald equation: LDL = Total Chol - HDL - (TG/5)</w:t>
      </w:r>
    </w:p>
    <w:p>
      <w:pPr>
        <w:pStyle w:val="ListBullet"/>
      </w:pPr>
      <w:r>
        <w:t>Friedewald less accurate when LDL is low or TG is high</w:t>
      </w:r>
    </w:p>
    <w:p>
      <w:pPr>
        <w:pStyle w:val="Heading3"/>
      </w:pPr>
      <w:r>
        <w:rPr>
          <w:color w:val="4A148C"/>
        </w:rPr>
        <w:t>TABLE: Normal and Concerning Lipid Values</w:t>
      </w:r>
    </w:p>
    <w:p>
      <w:r>
        <w:t>**Very High: ≥190 mg/dL** |</w:t>
      </w:r>
    </w:p>
    <w:p/>
    <w:tbl>
      <w:tblPr>
        <w:tblStyle w:val="TableGrid"/>
        <w:tblW w:type="auto" w:w="0"/>
        <w:jc w:val="left"/>
        <w:tblLook w:firstColumn="1" w:firstRow="1" w:lastColumn="0" w:lastRow="0" w:noHBand="0" w:noVBand="1" w:val="04A0"/>
      </w:tblPr>
      <w:tblGrid>
        <w:gridCol w:w="3312"/>
        <w:gridCol w:w="3312"/>
        <w:gridCol w:w="3312"/>
      </w:tblGrid>
      <w:tr>
        <w:tc>
          <w:tcPr>
            <w:tcW w:type="dxa" w:w="3312"/>
            <w:shd w:fill="D1C4E9"/>
          </w:tcPr>
          <w:p>
            <w:r>
              <w:rPr>
                <w:b/>
                <w:sz w:val="22"/>
              </w:rPr>
              <w:t>Lipid Parameter</w:t>
            </w:r>
          </w:p>
        </w:tc>
        <w:tc>
          <w:tcPr>
            <w:tcW w:type="dxa" w:w="3312"/>
            <w:shd w:fill="D1C4E9"/>
          </w:tcPr>
          <w:p>
            <w:r>
              <w:rPr>
                <w:b/>
                <w:sz w:val="22"/>
              </w:rPr>
              <w:t>Optimal Value</w:t>
            </w:r>
          </w:p>
        </w:tc>
        <w:tc>
          <w:tcPr>
            <w:tcW w:type="dxa" w:w="3312"/>
            <w:shd w:fill="D1C4E9"/>
          </w:tcPr>
          <w:p>
            <w:r>
              <w:rPr>
                <w:b/>
                <w:sz w:val="22"/>
              </w:rPr>
              <w:t>Concerning/Trigger Level</w:t>
            </w:r>
          </w:p>
        </w:tc>
      </w:tr>
      <w:tr>
        <w:tc>
          <w:tcPr>
            <w:tcW w:type="dxa" w:w="3312"/>
            <w:shd w:fill="EDE7F6"/>
          </w:tcPr>
          <w:p>
            <w:r>
              <w:rPr>
                <w:sz w:val="20"/>
              </w:rPr>
              <w:t>**Total Cholesterol**</w:t>
            </w:r>
          </w:p>
        </w:tc>
        <w:tc>
          <w:tcPr>
            <w:tcW w:type="dxa" w:w="3312"/>
            <w:shd w:fill="EDE7F6"/>
          </w:tcPr>
          <w:p>
            <w:r>
              <w:rPr>
                <w:sz w:val="20"/>
              </w:rPr>
              <w:t>&lt;200 mg/dL</w:t>
            </w:r>
          </w:p>
        </w:tc>
        <w:tc>
          <w:tcPr>
            <w:tcW w:type="dxa" w:w="3312"/>
            <w:shd w:fill="EDE7F6"/>
          </w:tcPr>
          <w:p>
            <w:r>
              <w:rPr>
                <w:sz w:val="20"/>
              </w:rPr>
              <w:t>-</w:t>
            </w:r>
          </w:p>
        </w:tc>
      </w:tr>
      <w:tr>
        <w:tc>
          <w:tcPr>
            <w:tcW w:type="dxa" w:w="3312"/>
            <w:shd w:fill="EDE7F6"/>
          </w:tcPr>
          <w:p>
            <w:r>
              <w:rPr>
                <w:sz w:val="20"/>
              </w:rPr>
              <w:t>**LDL**</w:t>
            </w:r>
          </w:p>
        </w:tc>
        <w:tc>
          <w:tcPr>
            <w:tcW w:type="dxa" w:w="3312"/>
            <w:shd w:fill="EDE7F6"/>
          </w:tcPr>
          <w:p>
            <w:r>
              <w:rPr>
                <w:sz w:val="20"/>
              </w:rPr>
              <w:t>&lt;100 mg/dL</w:t>
            </w:r>
          </w:p>
        </w:tc>
        <w:tc>
          <w:tcPr>
            <w:tcW w:type="dxa" w:w="3312"/>
          </w:tcPr>
          <w:p/>
        </w:tc>
      </w:tr>
    </w:tbl>
    <w:p/>
    <w:tbl>
      <w:tblPr>
        <w:tblStyle w:val="TableGrid"/>
        <w:tblW w:type="auto" w:w="0"/>
        <w:jc w:val="left"/>
        <w:tblLook w:firstColumn="1" w:firstRow="1" w:lastColumn="0" w:lastRow="0" w:noHBand="0" w:noVBand="1" w:val="04A0"/>
      </w:tblPr>
      <w:tblGrid>
        <w:gridCol w:w="9936"/>
      </w:tblGrid>
      <w:tr>
        <w:tc>
          <w:tcPr>
            <w:tcW w:type="dxa" w:w="9936"/>
            <w:shd w:fill="D1C4E9"/>
          </w:tcPr>
          <w:p>
            <w:r>
              <w:rPr>
                <w:b/>
                <w:sz w:val="22"/>
              </w:rPr>
              <w:t>**HDL**</w:t>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50 mg/dL (female) | - |</w:t>
            </w:r>
          </w:p>
        </w:tc>
      </w:tr>
    </w:tbl>
    <w:p>
      <w:pPr>
        <w:pStyle w:val="Heading3"/>
      </w:pPr>
      <w:r>
        <w:rPr>
          <w:color w:val="4A148C"/>
        </w:rPr>
        <w:t>TABLE: Cholesterol Types ("Good" vs "Bad")</w:t>
      </w:r>
    </w:p>
    <w:p>
      <w:r>
        <w:t>---</w:t>
      </w:r>
    </w:p>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**Clinical Pearls &amp; High-Yield Points:**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**LDL ≥190 = automatic high-intensity statin regardless of other risk factors** (major trigger!)</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Triglycerides &gt;500 = risk of pancreatitis, need immediate treatment with fibrates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LDL 160-189 is a risk-enhancing factor that influences statin decisions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Cholesterol is essential to life - found in cell membranes, precursor to steroid hormones (cortisol, estrogen, progesterone, testosterone) and fat-soluble vitamins</w:t>
              <w:br/>
            </w:r>
          </w:p>
        </w:tc>
      </w:tr>
    </w:tbl>
    <w:p/>
    <w:tbl>
      <w:tblPr>
        <w:tblStyle w:val="TableGrid"/>
        <w:tblW w:type="auto" w:w="0"/>
        <w:tblLook w:firstColumn="1" w:firstRow="1" w:lastColumn="0" w:lastRow="0" w:noHBand="0" w:noVBand="1" w:val="04A0"/>
      </w:tblPr>
      <w:tblGrid>
        <w:gridCol w:w="9936"/>
      </w:tblGrid>
      <w:tr>
        <w:tc>
          <w:tcPr>
            <w:tcW w:type="dxa" w:w="9936"/>
            <w:shd w:fill="E6F3FF"/>
          </w:tcPr>
          <w:p>
            <w:r>
              <w:rPr>
                <w:sz w:val="20"/>
              </w:rPr>
              <w:t>💡 MEMORY TRICKS &amp; MNEMONICS</w:t>
              <w:br/>
              <w:br/>
              <w:t>**Memory Tricks &amp; Mnemonics:**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**"H for Healthy, L for Lousy"** - HDL is good, LDL is bad</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**"190 = Go! Go! Go!"** - LDL ≥190 triggers immediate high-intensity statin</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**"Five hundred TG, Five-alarm emergency"** - TG &gt;500 = pancreatitis risk</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**Analogy:**</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Think of HDL as garbage trucks that pick up cholesterol trash from the streets (arteries) and take it to the dump (liver). LDL is like litterers who dump cholesterol trash on the streets, where it piles up and clogs traffic (blood flow).</w:t>
              <w:br/>
            </w:r>
          </w:p>
        </w:tc>
      </w:tr>
    </w:tbl>
    <w:p>
      <w:pPr>
        <w:pStyle w:val="Heading2"/>
      </w:pPr>
      <w:r>
        <w:rPr>
          <w:color w:val="4A148C"/>
        </w:rPr>
        <w:t>Learning Objective #5: Discuss lifestyle recommendations to reduce ASCVD risk</w:t>
      </w:r>
    </w:p>
    <w:p>
      <w:r>
        <w:t>**Summary:**</w:t>
      </w:r>
    </w:p>
    <w:p>
      <w:pPr>
        <w:pStyle w:val="ListBullet"/>
      </w:pPr>
      <w:r>
        <w:t>Tobacco abstinence - critical for all patients</w:t>
      </w:r>
    </w:p>
    <w:p>
      <w:pPr>
        <w:pStyle w:val="ListBullet"/>
      </w:pPr>
      <w:r>
        <w:t>Weight loss if overweight/obese</w:t>
      </w:r>
    </w:p>
    <w:p>
      <w:pPr>
        <w:pStyle w:val="ListBullet"/>
      </w:pPr>
      <w:r>
        <w:t>DASH diet (Dietary Approaches to Stop Hypertension): Prioritize fruits, vegetables, whole grains, beans, nuts, lean meats, fat-free/low-fat dairy; minimize saturated fat, sugar, salt</w:t>
      </w:r>
    </w:p>
    <w:p>
      <w:pPr>
        <w:pStyle w:val="ListBullet"/>
      </w:pPr>
      <w:r>
        <w:t>Minimize or eliminate alcohol</w:t>
      </w:r>
    </w:p>
    <w:p>
      <w:pPr>
        <w:pStyle w:val="ListBullet"/>
      </w:pPr>
      <w:r>
        <w:t>Exercise: 150 minutes moderate physical activity per week</w:t>
      </w:r>
    </w:p>
    <w:p>
      <w:pPr>
        <w:pStyle w:val="ListBullet"/>
      </w:pPr>
      <w:r>
        <w:t>Consider stress management (meditation, breathing exercises)</w:t>
      </w:r>
    </w:p>
    <w:p>
      <w:pPr>
        <w:pStyle w:val="ListBullet"/>
      </w:pPr>
      <w:r>
        <w:t>Address hyperlipidemia and hypertension with medications when indicated</w:t>
      </w:r>
    </w:p>
    <w:p>
      <w:r>
        <w:t>---</w:t>
      </w:r>
    </w:p>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**Clinical Pearls &amp; High-Yield Points:**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Lifestyle modifications are foundation for EVERYONE - with or without medications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DASH diet proven to lower blood pressure AND improve lipid profile</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Exercise recommendation translates to 30 minutes, 5 days per week</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Smoking cessation may be single most impactful intervention for ASCVD risk</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For primary prevention age 40-59 with &gt;10% ASCVD risk: May consider low-dose aspirin if not at bleeding risk (shared decision-making)</w:t>
              <w:br/>
            </w:r>
          </w:p>
        </w:tc>
      </w:tr>
    </w:tbl>
    <w:p/>
    <w:tbl>
      <w:tblPr>
        <w:tblStyle w:val="TableGrid"/>
        <w:tblW w:type="auto" w:w="0"/>
        <w:tblLook w:firstColumn="1" w:firstRow="1" w:lastColumn="0" w:lastRow="0" w:noHBand="0" w:noVBand="1" w:val="04A0"/>
      </w:tblPr>
      <w:tblGrid>
        <w:gridCol w:w="9936"/>
      </w:tblGrid>
      <w:tr>
        <w:tc>
          <w:tcPr>
            <w:tcW w:type="dxa" w:w="9936"/>
            <w:shd w:fill="E6F3FF"/>
          </w:tcPr>
          <w:p>
            <w:r>
              <w:rPr>
                <w:sz w:val="20"/>
              </w:rPr>
              <w:t>💡 MEMORY TRICKS &amp; MNEMONICS</w:t>
              <w:br/>
              <w:br/>
              <w:t>**Memory Tricks &amp; Mnemonics:**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**"DASH away from salt, sugar, and saturated fat"**</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**"150 = 30 x 5"** - 150 minutes/week = 30 minutes for 5 days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**Analogy:**</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Lifestyle modifications are like routine car maintenance (oil changes, tire rotation, regular tune-ups) while medications are like adding premium fuel or engine treatments. You need the basics (maintenance) for the advanced stuff (premium treatments) to work effectively.</w:t>
              <w:br/>
            </w:r>
          </w:p>
        </w:tc>
      </w:tr>
    </w:tbl>
    <w:p>
      <w:pPr>
        <w:pStyle w:val="Heading2"/>
      </w:pPr>
      <w:r>
        <w:rPr>
          <w:color w:val="4A148C"/>
        </w:rPr>
        <w:t>Learning Objective #6: Recognize first-line therapy and triggers for intervention for ASCVD risk reduction, elevated LDL, and elevated triglycerides</w:t>
      </w:r>
    </w:p>
    <w:p>
      <w:r>
        <w:t>**Summary:**</w:t>
      </w:r>
    </w:p>
    <w:p>
      <w:pPr>
        <w:pStyle w:val="ListBullet"/>
      </w:pPr>
      <w:r>
        <w:t>**Statins are first-line for LDL lowering and ASCVD risk reduction**</w:t>
      </w:r>
    </w:p>
    <w:p>
      <w:pPr>
        <w:pStyle w:val="ListBullet"/>
      </w:pPr>
      <w:r>
        <w:t>Statin intensity: High (LDL reduction ≥50%), Moderate (30-50%), Low (&lt;30%)</w:t>
      </w:r>
    </w:p>
    <w:p>
      <w:pPr>
        <w:pStyle w:val="ListBullet"/>
      </w:pPr>
      <w:r>
        <w:t>High-intensity statins: Atorvastatin 40-80mg, Rosuvastatin 20-40mg</w:t>
      </w:r>
    </w:p>
    <w:p>
      <w:pPr>
        <w:pStyle w:val="ListBullet"/>
      </w:pPr>
      <w:r>
        <w:t>**Automatic high-intensity statin triggers: LDL ≥190, ASCVD (secondary prevention)**</w:t>
      </w:r>
    </w:p>
    <w:p>
      <w:pPr>
        <w:pStyle w:val="ListBullet"/>
      </w:pPr>
      <w:r>
        <w:t>For elevated triglycerides: **Fibrates are first-line** (e.g., fenofibrate) especially if TG &gt;500 to prevent pancreatitis</w:t>
      </w:r>
    </w:p>
    <w:p>
      <w:pPr>
        <w:pStyle w:val="ListBullet"/>
      </w:pPr>
      <w:r>
        <w:t>Monitor before starting statins: Lipid panel, TSH, CMP with LFTs, baseline CK</w:t>
      </w:r>
    </w:p>
    <w:p>
      <w:pPr>
        <w:pStyle w:val="ListBullet"/>
      </w:pPr>
      <w:r>
        <w:t>Recheck lipid panel 4-12 weeks after starting medication</w:t>
      </w:r>
    </w:p>
    <w:p>
      <w:pPr>
        <w:pStyle w:val="Heading3"/>
      </w:pPr>
      <w:r>
        <w:rPr>
          <w:color w:val="4A148C"/>
        </w:rPr>
        <w:t>TABLE: Statin Intensity and Examples</w:t>
      </w:r>
    </w:p>
    <w:p>
      <w:r>
        <w:t>**Rosuvastatin** 20-40mg |</w:t>
      </w:r>
    </w:p>
    <w:p>
      <w:r>
        <w:t>Rosuvastatin 5-10mg</w:t>
      </w:r>
    </w:p>
    <w:p>
      <w:r>
        <w:t>Simvastatin 20-40mg</w:t>
      </w:r>
    </w:p>
    <w:p>
      <w:r>
        <w:t>Pravastatin, Lovastatin |</w:t>
      </w:r>
    </w:p>
    <w:p>
      <w:r>
        <w:t>---</w:t>
      </w:r>
    </w:p>
    <w:p/>
    <w:tbl>
      <w:tblPr>
        <w:tblStyle w:val="TableGrid"/>
        <w:tblW w:type="auto" w:w="0"/>
        <w:jc w:val="left"/>
        <w:tblLook w:firstColumn="1" w:firstRow="1" w:lastColumn="0" w:lastRow="0" w:noHBand="0" w:noVBand="1" w:val="04A0"/>
      </w:tblPr>
      <w:tblGrid>
        <w:gridCol w:w="3312"/>
        <w:gridCol w:w="3312"/>
        <w:gridCol w:w="3312"/>
      </w:tblGrid>
      <w:tr>
        <w:tc>
          <w:tcPr>
            <w:tcW w:type="dxa" w:w="3312"/>
            <w:shd w:fill="D1C4E9"/>
          </w:tcPr>
          <w:p>
            <w:r>
              <w:rPr>
                <w:b/>
                <w:sz w:val="22"/>
              </w:rPr>
              <w:t>Intensity</w:t>
            </w:r>
          </w:p>
        </w:tc>
        <w:tc>
          <w:tcPr>
            <w:tcW w:type="dxa" w:w="3312"/>
            <w:shd w:fill="D1C4E9"/>
          </w:tcPr>
          <w:p>
            <w:r>
              <w:rPr>
                <w:b/>
                <w:sz w:val="22"/>
              </w:rPr>
              <w:t>LDL Reduction</w:t>
            </w:r>
          </w:p>
        </w:tc>
        <w:tc>
          <w:tcPr>
            <w:tcW w:type="dxa" w:w="3312"/>
            <w:shd w:fill="D1C4E9"/>
          </w:tcPr>
          <w:p>
            <w:r>
              <w:rPr>
                <w:b/>
                <w:sz w:val="22"/>
              </w:rPr>
              <w:t>High-Yield Statins to Know</w:t>
            </w:r>
          </w:p>
        </w:tc>
      </w:tr>
      <w:tr>
        <w:tc>
          <w:tcPr>
            <w:tcW w:type="dxa" w:w="3312"/>
            <w:shd w:fill="EDE7F6"/>
          </w:tcPr>
          <w:p>
            <w:r>
              <w:rPr>
                <w:sz w:val="20"/>
              </w:rPr>
              <w:t>**High**</w:t>
            </w:r>
          </w:p>
        </w:tc>
        <w:tc>
          <w:tcPr>
            <w:tcW w:type="dxa" w:w="3312"/>
            <w:shd w:fill="EDE7F6"/>
          </w:tcPr>
          <w:p>
            <w:r>
              <w:rPr>
                <w:sz w:val="20"/>
              </w:rPr>
              <w:t>≥50%</w:t>
            </w:r>
          </w:p>
        </w:tc>
        <w:tc>
          <w:tcPr>
            <w:tcW w:type="dxa" w:w="3312"/>
          </w:tcPr>
          <w:p/>
        </w:tc>
      </w:tr>
    </w:tbl>
    <w:p/>
    <w:tbl>
      <w:tblPr>
        <w:tblStyle w:val="TableGrid"/>
        <w:tblW w:type="auto" w:w="0"/>
        <w:jc w:val="left"/>
        <w:tblLook w:firstColumn="1" w:firstRow="1" w:lastColumn="0" w:lastRow="0" w:noHBand="0" w:noVBand="1" w:val="04A0"/>
      </w:tblPr>
      <w:tblGrid>
        <w:gridCol w:w="4968"/>
        <w:gridCol w:w="4968"/>
      </w:tblGrid>
      <w:tr>
        <w:tc>
          <w:tcPr>
            <w:tcW w:type="dxa" w:w="4968"/>
            <w:shd w:fill="D1C4E9"/>
          </w:tcPr>
          <w:p>
            <w:r>
              <w:rPr>
                <w:b/>
                <w:sz w:val="22"/>
              </w:rPr>
              <w:t>**Moderate**</w:t>
            </w:r>
          </w:p>
        </w:tc>
        <w:tc>
          <w:tcPr>
            <w:tcW w:type="dxa" w:w="4968"/>
            <w:shd w:fill="D1C4E9"/>
          </w:tcPr>
          <w:p>
            <w:r>
              <w:rPr>
                <w:b/>
                <w:sz w:val="22"/>
              </w:rPr>
              <w:t>30-50%</w:t>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**Clinical Pearls &amp; High-Yield Points:**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**Know these 2 statins well: Atorvastatin and Rosuvastatin** (most commonly used)</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Statins don't just lower LDL - they **stabilize plaques and have anti-inflammatory effects**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This plaque stabilization is why statins reduce mortality even beyond LDL lowering</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Most common side effect: Myalgia (5% of patients)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Rare but serious: Rhabdomyolysis (requires immediate discontinuation)</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Statins can cause small increase in diabetes risk</w:t>
              <w:br/>
            </w:r>
          </w:p>
        </w:tc>
      </w:tr>
    </w:tbl>
    <w:p/>
    <w:tbl>
      <w:tblPr>
        <w:tblStyle w:val="TableGrid"/>
        <w:tblW w:type="auto" w:w="0"/>
        <w:tblLook w:firstColumn="1" w:firstRow="1" w:lastColumn="0" w:lastRow="0" w:noHBand="0" w:noVBand="1" w:val="04A0"/>
      </w:tblPr>
      <w:tblGrid>
        <w:gridCol w:w="9936"/>
      </w:tblGrid>
      <w:tr>
        <w:tc>
          <w:tcPr>
            <w:tcW w:type="dxa" w:w="9936"/>
            <w:shd w:fill="E6F3FF"/>
          </w:tcPr>
          <w:p>
            <w:r>
              <w:rPr>
                <w:sz w:val="20"/>
              </w:rPr>
              <w:t>💡 MEMORY TRICKS &amp; MNEMONICS</w:t>
              <w:br/>
              <w:br/>
              <w:t>**Memory Tricks &amp; Mnemonics:**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**"A-Rose from the statins"** - **A**torvastatin and **Rose**uvastatin are the high-intensity powerhouses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**"Statins end in -statin"** - Easy to recognize drug class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**"My Legs Hurt"** - **My**algia (muscle pain) is the most common side effect; think of **L**FTs and watch **L**iver; rare **H**abdo (rhabdomyolysis)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**Analogy:**</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Statins are like adding a water softener to your home plumbing - they don't just reduce hard water buildup (LDL), they also prevent existing scale (plaques) from breaking off and clogging pipes. Fibrates are like a grease trap for your kitchen sink - they specifically grab triglyceride-rich fats before they cause problems.</w:t>
              <w:br/>
            </w:r>
          </w:p>
        </w:tc>
      </w:tr>
    </w:tbl>
    <w:p>
      <w:pPr>
        <w:pStyle w:val="Heading2"/>
      </w:pPr>
      <w:r>
        <w:rPr>
          <w:color w:val="4A148C"/>
        </w:rPr>
        <w:t>Learning Objective #7: Consider additional medication options for treatment of ASCVD risk reduction and LDL</w:t>
      </w:r>
    </w:p>
    <w:p>
      <w:r>
        <w:t>**Summary:**</w:t>
      </w:r>
    </w:p>
    <w:p>
      <w:pPr>
        <w:pStyle w:val="ListBullet"/>
      </w:pPr>
      <w:r>
        <w:t>**Ezetimibe**: Blocks NPC1L1 cholesterol absorption in intestine, moderate LDL reduction</w:t>
      </w:r>
    </w:p>
    <w:p>
      <w:pPr>
        <w:pStyle w:val="ListBullet"/>
      </w:pPr>
      <w:r>
        <w:t>**PCSK9 inhibitors** (evolocumab, alirocumab): Block PCSK9 to increase LDL receptor recycling, powerful LDL reduction, expensive ($$), injection, adults only</w:t>
      </w:r>
    </w:p>
    <w:p>
      <w:pPr>
        <w:pStyle w:val="ListBullet"/>
      </w:pPr>
      <w:r>
        <w:t>**Bile acid sequestrants** (cholestyramine): Limit GI lipid absorption, safe in pregnancy</w:t>
      </w:r>
    </w:p>
    <w:p>
      <w:pPr>
        <w:pStyle w:val="ListBullet"/>
      </w:pPr>
      <w:r>
        <w:t>**Fibrates** (fenofibrate): Lower triglycerides primarily, first-line for hypertriglyceridemia</w:t>
      </w:r>
    </w:p>
    <w:p>
      <w:pPr>
        <w:pStyle w:val="ListBullet"/>
      </w:pPr>
      <w:r>
        <w:t>**Niacin**: No longer recommended for LDL lowering due to high side effects</w:t>
      </w:r>
    </w:p>
    <w:p>
      <w:pPr>
        <w:pStyle w:val="ListBullet"/>
      </w:pPr>
      <w:r>
        <w:t>**Bempedoic acid**: Alternative for statin-intolerant patients, works upstream of statins</w:t>
      </w:r>
    </w:p>
    <w:p>
      <w:pPr>
        <w:pStyle w:val="ListBullet"/>
      </w:pPr>
      <w:r>
        <w:t>**Icosapent ethyl** (EPA from fish oil): May reduce CV risk as adjunct to statin in elevated TG; increases AFib risk</w:t>
      </w:r>
    </w:p>
    <w:p>
      <w:pPr>
        <w:pStyle w:val="ListBullet"/>
      </w:pPr>
      <w:r>
        <w:t>Fish oil supplements NOT recommended (lack of evidence)</w:t>
      </w:r>
    </w:p>
    <w:p>
      <w:pPr>
        <w:pStyle w:val="Heading3"/>
      </w:pPr>
      <w:r>
        <w:rPr>
          <w:color w:val="4A148C"/>
        </w:rPr>
        <w:t>TABLE: Lipid-Lowering Medications by Mechanism</w:t>
      </w:r>
    </w:p>
    <w:p>
      <w:r>
        <w:t>---</w:t>
      </w:r>
    </w:p>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**Clinical Pearls &amp; High-Yield Points:**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**Typical escalation for high LDL:** Start high-intensity statin → add ezetimibe → add PCSK9 inhibitor</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Ezetimibe is the usual "add-on" drug when statin alone isn't enough</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PCSK9 inhibitors are reserved for very high-risk or familial hypercholesterolemia due to cost</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For statin-intolerant patients: Try different statin first, then consider ezetimibe, bempedoic acid, or bile acid sequestrant</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Niacin has fallen out of favor - don't recommend for LDL lowering</w:t>
              <w:br/>
            </w:r>
          </w:p>
        </w:tc>
      </w:tr>
    </w:tbl>
    <w:p/>
    <w:tbl>
      <w:tblPr>
        <w:tblStyle w:val="TableGrid"/>
        <w:tblW w:type="auto" w:w="0"/>
        <w:tblLook w:firstColumn="1" w:firstRow="1" w:lastColumn="0" w:lastRow="0" w:noHBand="0" w:noVBand="1" w:val="04A0"/>
      </w:tblPr>
      <w:tblGrid>
        <w:gridCol w:w="9936"/>
      </w:tblGrid>
      <w:tr>
        <w:tc>
          <w:tcPr>
            <w:tcW w:type="dxa" w:w="9936"/>
            <w:shd w:fill="E6F3FF"/>
          </w:tcPr>
          <w:p>
            <w:r>
              <w:rPr>
                <w:sz w:val="20"/>
              </w:rPr>
              <w:t>💡 MEMORY TRICKS &amp; MNEMONICS</w:t>
              <w:br/>
              <w:br/>
              <w:t>**Memory Tricks &amp; Mnemonics:**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**"Eze the Ease"** - Ezetimibe is easy add-on to statins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**"PCSK9 = Pricey but Strong"** - Expensive, powerful LDL reduction</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**"Fibrates for Fat (triglycerides)"** - First-line for hypertriglyceridemia</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**Analogy:**</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Think of lipid lowering like cleaning a dirty swimming pool. Statins are the main pool filter system (removes most debris). Ezetimibe is like a pool skimmer (catches stuff at the surface/intestine before it enters the pool). PCSK9 inhibitors are like adding a second, more powerful filtration system (maximal cleaning). Fibrates are like an oil-removing agent specifically for greasy film (triglycerides) floating on the surface.</w:t>
              <w:br/>
            </w:r>
          </w:p>
        </w:tc>
      </w:tr>
    </w:tbl>
    <w:p>
      <w:pPr>
        <w:pStyle w:val="Heading2"/>
      </w:pPr>
      <w:r>
        <w:rPr>
          <w:color w:val="4A148C"/>
        </w:rPr>
        <w:t>Learning Objective #8: Recognize pharmaceutical limitations for treatment of lipids in pediatric and pregnant patient populations</w:t>
      </w:r>
    </w:p>
    <w:p>
      <w:r>
        <w:t>**Summary:**</w:t>
      </w:r>
    </w:p>
    <w:p>
      <w:pPr>
        <w:pStyle w:val="ListBullet"/>
      </w:pPr>
      <w:r>
        <w:t>**Pregnancy: Discontinue statins, ezetimibe, niacin, fibrates, and PCSK9 inhibitors** before pregnancy and during breastfeeding</w:t>
      </w:r>
    </w:p>
    <w:p>
      <w:pPr>
        <w:pStyle w:val="ListBullet"/>
      </w:pPr>
      <w:r>
        <w:t>**Only safe in pregnancy: Bile acid sequestrants** (cholestyramine, colesevelam)</w:t>
      </w:r>
    </w:p>
    <w:p>
      <w:pPr>
        <w:pStyle w:val="ListBullet"/>
      </w:pPr>
      <w:r>
        <w:t>Drug holiday recommended prior to conception for women on lipid-lowering therapy</w:t>
      </w:r>
    </w:p>
    <w:p>
      <w:pPr>
        <w:pStyle w:val="ListBullet"/>
      </w:pPr>
      <w:r>
        <w:t>**Pediatrics - Statins:** All statins approved at age 10 (two approved at age 8)</w:t>
      </w:r>
    </w:p>
    <w:p>
      <w:pPr>
        <w:pStyle w:val="ListBullet"/>
      </w:pPr>
      <w:r>
        <w:t>**Pediatrics - Other options:** Bile acid sequestrant (colesevelam) approved for ages 10-17, Ezetimibe approved ≥10 years</w:t>
      </w:r>
    </w:p>
    <w:p>
      <w:pPr>
        <w:pStyle w:val="ListBullet"/>
      </w:pPr>
      <w:r>
        <w:t>**PCSK9 inhibitors NOT approved for children**</w:t>
      </w:r>
    </w:p>
    <w:p>
      <w:pPr>
        <w:pStyle w:val="Heading3"/>
      </w:pPr>
      <w:r>
        <w:rPr>
          <w:color w:val="4A148C"/>
        </w:rPr>
        <w:t>TABLE: Lipid Medications in Special Populations</w:t>
      </w:r>
    </w:p>
    <w:p>
      <w:r>
        <w:t>---</w:t>
      </w:r>
    </w:p>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**Clinical Pearls &amp; High-Yield Points:**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**For pregnancy: ONLY bile acid sequestrants are safe** - everything else is contraindicated</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Counsel women of childbearing age about need for drug holiday before pregnancy</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Statins are teratogenic - can cause birth defects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In children with familial hypercholesterolemia and LDL &gt;160 after lifestyle modifications, start therapy at age 10</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Pediatric screening is controversial - may consider at ages 9-11 and 17-19; earlier (1-8 years) if concern for familial hypercholesterolemia</w:t>
              <w:br/>
            </w:r>
          </w:p>
        </w:tc>
      </w:tr>
    </w:tbl>
    <w:p/>
    <w:tbl>
      <w:tblPr>
        <w:tblStyle w:val="TableGrid"/>
        <w:tblW w:type="auto" w:w="0"/>
        <w:tblLook w:firstColumn="1" w:firstRow="1" w:lastColumn="0" w:lastRow="0" w:noHBand="0" w:noVBand="1" w:val="04A0"/>
      </w:tblPr>
      <w:tblGrid>
        <w:gridCol w:w="9936"/>
      </w:tblGrid>
      <w:tr>
        <w:tc>
          <w:tcPr>
            <w:tcW w:type="dxa" w:w="9936"/>
            <w:shd w:fill="E6F3FF"/>
          </w:tcPr>
          <w:p>
            <w:r>
              <w:rPr>
                <w:sz w:val="20"/>
              </w:rPr>
              <w:t>💡 MEMORY TRICKS &amp; MNEMONICS</w:t>
              <w:br/>
              <w:br/>
              <w:t>**Memory Tricks &amp; Mnemonics:**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**"Pregnant? Bile is BEST (and only!)"** - Bile acid sequestrants only safe option</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**"Ten is when"** - Age 10 for most pediatric lipid medications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**"PCSK9 = Pretty Contraindicated for Small Kids"**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**Analogy:**</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Think of medication safety in pregnancy like filtering water for a delicate tropical fish tank. Most chemical treatments (statins, ezetimibe, etc.) are too harsh and will harm the fish (fetus). Bile acid sequestrants are like a simple mechanical filter - they work locally in the intestine without entering the bloodstream significantly, making them safe for the "tank."</w:t>
              <w:br/>
            </w:r>
          </w:p>
        </w:tc>
      </w:tr>
    </w:tbl>
    <w:p>
      <w:pPr>
        <w:pStyle w:val="Heading2"/>
      </w:pPr>
      <w:r>
        <w:rPr>
          <w:color w:val="4A148C"/>
        </w:rPr>
        <w:t>Learning Objective #9: Explain the etiology, prevalence, diagnosis, and treatment recommendations for familial hypercholesterolemia</w:t>
      </w:r>
    </w:p>
    <w:p>
      <w:r>
        <w:t>**Summary:**</w:t>
      </w:r>
    </w:p>
    <w:p>
      <w:pPr>
        <w:pStyle w:val="ListBullet"/>
      </w:pPr>
      <w:r>
        <w:t>Mostly autosomal dominant genetic disorder (mutations in LDL receptor, ApoB100, or PCSK9)</w:t>
      </w:r>
    </w:p>
    <w:p>
      <w:pPr>
        <w:pStyle w:val="ListBullet"/>
      </w:pPr>
      <w:r>
        <w:t>**Heterozygous FH:** 1 in 250 (relatively common!)</w:t>
      </w:r>
    </w:p>
    <w:p>
      <w:pPr>
        <w:pStyle w:val="ListBullet"/>
      </w:pPr>
      <w:r>
        <w:t>**Homozygous FH:** 1 in 500,000 (very rare, severe disease)</w:t>
      </w:r>
    </w:p>
    <w:p>
      <w:pPr>
        <w:pStyle w:val="ListBullet"/>
      </w:pPr>
      <w:r>
        <w:t>Diagnostic criteria: Extensor tendon xanthomas + LDL &gt;190, OR LDL &gt;160 (children) or &gt;190 (adults) + first-degree relative with premature CAD (&lt;55 men/&lt;65 women) or positive genetic testing</w:t>
      </w:r>
    </w:p>
    <w:p>
      <w:pPr>
        <w:pStyle w:val="ListBullet"/>
      </w:pPr>
      <w:r>
        <w:t>Physical findings: Xanthomas (tendon, eyelids), xanthelasmas, arcus lipoides (corneal arcus) if &lt;50 years old</w:t>
      </w:r>
    </w:p>
    <w:p>
      <w:pPr>
        <w:pStyle w:val="ListBullet"/>
      </w:pPr>
      <w:r>
        <w:t>Must rule out secondary causes of elevated LDL</w:t>
      </w:r>
    </w:p>
    <w:p>
      <w:pPr>
        <w:pStyle w:val="ListBullet"/>
      </w:pPr>
      <w:r>
        <w:t>**Treatment goal: LDL &lt;100 mg/dL** (more aggressive than general population)</w:t>
      </w:r>
    </w:p>
    <w:p>
      <w:pPr>
        <w:pStyle w:val="ListBullet"/>
      </w:pPr>
      <w:r>
        <w:t>Treatment: High-intensity statin → add ezetimibe if needed → add PCSK9 inhibitor if still not at goal</w:t>
      </w:r>
    </w:p>
    <w:p>
      <w:pPr>
        <w:pStyle w:val="ListBullet"/>
      </w:pPr>
      <w:r>
        <w:t>Lipoprotein apheresis for severe cases uncontrolled with meds</w:t>
      </w:r>
    </w:p>
    <w:p>
      <w:pPr>
        <w:pStyle w:val="Heading3"/>
      </w:pPr>
      <w:r>
        <w:rPr>
          <w:color w:val="4A148C"/>
        </w:rPr>
        <w:t>TABLE: Familial Hypercholesterolemia Key Features</w:t>
      </w:r>
    </w:p>
    <w:p>
      <w:r>
        <w:t>Homozygous: 1 in 500,000 |</w:t>
      </w:r>
    </w:p>
    <w:p>
      <w:r>
        <w:t>Homozygous: 400 to &gt;1000 mg/dL |</w:t>
      </w:r>
    </w:p>
    <w:p>
      <w:r>
        <w:t>• Xanthelasma (eyelids)</w:t>
      </w:r>
    </w:p>
    <w:p>
      <w:r>
        <w:t>• Arcus lipoides if &lt;50 yo |</w:t>
      </w:r>
    </w:p>
    <w:p>
      <w:r>
        <w:t>OR</w:t>
      </w:r>
    </w:p>
    <w:p>
      <w:r>
        <w:t>LDL &gt;160 (child) or &gt;190 (adult) + family history premature CAD or genetic test |</w:t>
      </w:r>
    </w:p>
    <w:p>
      <w:r>
        <w:t>---</w:t>
      </w:r>
    </w:p>
    <w:p/>
    <w:tbl>
      <w:tblPr>
        <w:tblStyle w:val="TableGrid"/>
        <w:tblW w:type="auto" w:w="0"/>
        <w:jc w:val="left"/>
        <w:tblLook w:firstColumn="1" w:firstRow="1" w:lastColumn="0" w:lastRow="0" w:noHBand="0" w:noVBand="1" w:val="04A0"/>
      </w:tblPr>
      <w:tblGrid>
        <w:gridCol w:w="4968"/>
        <w:gridCol w:w="4968"/>
      </w:tblGrid>
      <w:tr>
        <w:tc>
          <w:tcPr>
            <w:tcW w:type="dxa" w:w="4968"/>
            <w:shd w:fill="D1C4E9"/>
          </w:tcPr>
          <w:p>
            <w:r>
              <w:rPr>
                <w:b/>
                <w:sz w:val="22"/>
              </w:rPr>
              <w:t>Feature</w:t>
            </w:r>
          </w:p>
        </w:tc>
        <w:tc>
          <w:tcPr>
            <w:tcW w:type="dxa" w:w="4968"/>
            <w:shd w:fill="D1C4E9"/>
          </w:tcPr>
          <w:p>
            <w:r>
              <w:rPr>
                <w:b/>
                <w:sz w:val="22"/>
              </w:rPr>
              <w:t>Details</w:t>
            </w:r>
          </w:p>
        </w:tc>
      </w:tr>
      <w:tr>
        <w:tc>
          <w:tcPr>
            <w:tcW w:type="dxa" w:w="4968"/>
            <w:shd w:fill="EDE7F6"/>
          </w:tcPr>
          <w:p>
            <w:r>
              <w:rPr>
                <w:sz w:val="20"/>
              </w:rPr>
              <w:t>**Inheritance**</w:t>
            </w:r>
          </w:p>
        </w:tc>
        <w:tc>
          <w:tcPr>
            <w:tcW w:type="dxa" w:w="4968"/>
            <w:shd w:fill="EDE7F6"/>
          </w:tcPr>
          <w:p>
            <w:r>
              <w:rPr>
                <w:sz w:val="20"/>
              </w:rPr>
              <w:t>Mostly autosomal dominant</w:t>
            </w:r>
          </w:p>
        </w:tc>
      </w:tr>
      <w:tr>
        <w:tc>
          <w:tcPr>
            <w:tcW w:type="dxa" w:w="4968"/>
            <w:shd w:fill="EDE7F6"/>
          </w:tcPr>
          <w:p>
            <w:r>
              <w:rPr>
                <w:sz w:val="20"/>
              </w:rPr>
              <w:t>**Prevalence**</w:t>
            </w:r>
          </w:p>
        </w:tc>
        <w:tc>
          <w:tcPr>
            <w:tcW w:type="dxa" w:w="4968"/>
          </w:tcPr>
          <w:p/>
        </w:tc>
      </w:tr>
    </w:tbl>
    <w:p/>
    <w:tbl>
      <w:tblPr>
        <w:tblStyle w:val="TableGrid"/>
        <w:tblW w:type="auto" w:w="0"/>
        <w:jc w:val="left"/>
        <w:tblLook w:firstColumn="1" w:firstRow="1" w:lastColumn="0" w:lastRow="0" w:noHBand="0" w:noVBand="1" w:val="04A0"/>
      </w:tblPr>
      <w:tblGrid>
        <w:gridCol w:w="9936"/>
      </w:tblGrid>
      <w:tr>
        <w:tc>
          <w:tcPr>
            <w:tcW w:type="dxa" w:w="9936"/>
            <w:shd w:fill="D1C4E9"/>
          </w:tcPr>
          <w:p>
            <w:r>
              <w:rPr>
                <w:b/>
                <w:sz w:val="22"/>
              </w:rPr>
              <w:t>**LDL Levels**</w:t>
            </w:r>
          </w:p>
        </w:tc>
      </w:tr>
    </w:tbl>
    <w:p/>
    <w:tbl>
      <w:tblPr>
        <w:tblStyle w:val="TableGrid"/>
        <w:tblW w:type="auto" w:w="0"/>
        <w:jc w:val="left"/>
        <w:tblLook w:firstColumn="1" w:firstRow="1" w:lastColumn="0" w:lastRow="0" w:noHBand="0" w:noVBand="1" w:val="04A0"/>
      </w:tblPr>
      <w:tblGrid>
        <w:gridCol w:w="9936"/>
      </w:tblGrid>
      <w:tr>
        <w:tc>
          <w:tcPr>
            <w:tcW w:type="dxa" w:w="9936"/>
            <w:shd w:fill="D1C4E9"/>
          </w:tcPr>
          <w:p>
            <w:r>
              <w:rPr>
                <w:b/>
                <w:sz w:val="22"/>
              </w:rPr>
              <w:t>**Physical Findings**</w:t>
            </w:r>
          </w:p>
        </w:tc>
      </w:tr>
    </w:tbl>
    <w:p/>
    <w:tbl>
      <w:tblPr>
        <w:tblStyle w:val="TableGrid"/>
        <w:tblW w:type="auto" w:w="0"/>
        <w:jc w:val="left"/>
        <w:tblLook w:firstColumn="1" w:firstRow="1" w:lastColumn="0" w:lastRow="0" w:noHBand="0" w:noVBand="1" w:val="04A0"/>
      </w:tblPr>
      <w:tblGrid>
        <w:gridCol w:w="9936"/>
      </w:tblGrid>
      <w:tr>
        <w:tc>
          <w:tcPr>
            <w:tcW w:type="dxa" w:w="9936"/>
            <w:shd w:fill="D1C4E9"/>
          </w:tcPr>
          <w:p>
            <w:r>
              <w:rPr>
                <w:b/>
                <w:sz w:val="22"/>
              </w:rPr>
              <w:t>**Diagnosis**</w:t>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**Clinical Pearls &amp; High-Yield Points:**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**If you see LDL ≥190, think genetic disorder** (especially familial hypercholesterolemia)</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Tendon xanthomas are pathognomonic - lipid deposits visible in Achilles tendons, finger extensors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Arcus lipoides (corneal arcus) is only significant if patient is &lt;50 years old (common in elderly)</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These patients are at very high risk for premature coronary artery disease</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Genetic testing can confirm diagnosis but cannot rule it out (some mutations not yet discovered)</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Always rule out secondary causes: hypothyroidism, liver disease, kidney disease, nephrotic syndrome, medications</w:t>
              <w:br/>
            </w:r>
          </w:p>
        </w:tc>
      </w:tr>
    </w:tbl>
    <w:p/>
    <w:tbl>
      <w:tblPr>
        <w:tblStyle w:val="TableGrid"/>
        <w:tblW w:type="auto" w:w="0"/>
        <w:tblLook w:firstColumn="1" w:firstRow="1" w:lastColumn="0" w:lastRow="0" w:noHBand="0" w:noVBand="1" w:val="04A0"/>
      </w:tblPr>
      <w:tblGrid>
        <w:gridCol w:w="9936"/>
      </w:tblGrid>
      <w:tr>
        <w:tc>
          <w:tcPr>
            <w:tcW w:type="dxa" w:w="9936"/>
            <w:shd w:fill="E6F3FF"/>
          </w:tcPr>
          <w:p>
            <w:r>
              <w:rPr>
                <w:sz w:val="20"/>
              </w:rPr>
              <w:t>💡 MEMORY TRICKS &amp; MNEMONICS</w:t>
              <w:br/>
              <w:br/>
              <w:t>**Memory Tricks &amp; Mnemonics:**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**"FH = Find High cholesterol"** - Screen family members when one is diagnosed</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**"1 in 250"** - Surprisingly common! You'll see this in practice</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**"Xanthomas = eXtreme cholesterol"** - Physical finding of severe hypercholesterolemia</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**"Tendon lumps and eye bumps"** - Tendon xanthomas and xanthelasmas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**Analogy:**</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Familial hypercholesterolemia is like having a recycling center (LDL receptors) with broken sorting machines. Most people's recycling centers can pull cholesterol "bottles" out of the bloodstream efficiently. In FH, the machines are broken (mutated receptors), so bottles pile up in the streets (blood vessels), eventually blocking traffic (causing heart attacks) at a young age.</w:t>
              <w:br/>
            </w:r>
          </w:p>
        </w:tc>
      </w:tr>
    </w:tbl>
    <w:p>
      <w:pPr>
        <w:pStyle w:val="Heading2"/>
      </w:pPr>
      <w:r>
        <w:rPr>
          <w:color w:val="4A148C"/>
        </w:rPr>
        <w:t>Learning Objective #10: Compare treatment recommendations for LDL reduction in different patient populations</w:t>
      </w:r>
    </w:p>
    <w:p>
      <w:r>
        <w:t>**Summary:**</w:t>
      </w:r>
    </w:p>
    <w:p>
      <w:pPr>
        <w:pStyle w:val="ListBullet"/>
      </w:pPr>
      <w:r>
        <w:t>Treatment varies by patient category: calculated 10-year ASCVD risk, diabetes, familial hypercholesterolemia, existing ASCVD, and ASCVD with very high risk</w:t>
      </w:r>
    </w:p>
    <w:p>
      <w:pPr>
        <w:pStyle w:val="ListBullet"/>
      </w:pPr>
      <w:r>
        <w:t>**LDL ≥190 (age 20-75):** High-intensity statin regardless of risk calculation</w:t>
      </w:r>
    </w:p>
    <w:p>
      <w:pPr>
        <w:pStyle w:val="ListBullet"/>
      </w:pPr>
      <w:r>
        <w:t>**Calculated risk 5-7.4%:** Consider moderate-intensity statin if risk-enhancing factors present</w:t>
      </w:r>
    </w:p>
    <w:p>
      <w:pPr>
        <w:pStyle w:val="ListBullet"/>
      </w:pPr>
      <w:r>
        <w:t>**Calculated risk 7.5-19.9%:** Moderate to high-intensity statin</w:t>
      </w:r>
    </w:p>
    <w:p>
      <w:pPr>
        <w:pStyle w:val="ListBullet"/>
      </w:pPr>
      <w:r>
        <w:t>**Calculated risk ≥20%:** High-intensity statin</w:t>
      </w:r>
    </w:p>
    <w:p>
      <w:pPr>
        <w:pStyle w:val="ListBullet"/>
      </w:pPr>
      <w:r>
        <w:t>**Diabetes (age 40-75):** At least moderate-intensity statin regardless of LDL; escalate based on other factors</w:t>
      </w:r>
    </w:p>
    <w:p>
      <w:pPr>
        <w:pStyle w:val="ListBullet"/>
      </w:pPr>
      <w:r>
        <w:t>**ASCVD (secondary prevention):** High-intensity statin</w:t>
      </w:r>
    </w:p>
    <w:p>
      <w:pPr>
        <w:pStyle w:val="ListBullet"/>
      </w:pPr>
      <w:r>
        <w:t>**ASCVD + very high risk:** Goal LDL &lt;70 mg/dL; escalate with ezetimibe then PCSK9 inhibitor</w:t>
      </w:r>
    </w:p>
    <w:p>
      <w:pPr>
        <w:pStyle w:val="ListBullet"/>
      </w:pPr>
      <w:r>
        <w:t>**Familial hypercholesterolemia:** Goal LDL &lt;100 mg/dL; high-intensity statin → ezetimibe → PCSK9 inhibitor</w:t>
      </w:r>
    </w:p>
    <w:p>
      <w:pPr>
        <w:pStyle w:val="Heading3"/>
      </w:pPr>
      <w:r>
        <w:rPr>
          <w:color w:val="4A148C"/>
        </w:rPr>
        <w:t>TABLE: ASCVD Very High Risk Criteria</w:t>
      </w:r>
    </w:p>
    <w:p>
      <w:r>
        <w:t>• History of MI</w:t>
      </w:r>
    </w:p>
    <w:p>
      <w:r>
        <w:t>• History of ischemic stroke</w:t>
      </w:r>
    </w:p>
    <w:p>
      <w:r>
        <w:t>• Symptomatic PAD (claudication, ABI &lt;0.85, revascularization, amputation, aortic aneurysm) |</w:t>
      </w:r>
    </w:p>
    <w:p>
      <w:r>
        <w:t>• Familial hypercholesterolemia</w:t>
      </w:r>
    </w:p>
    <w:p>
      <w:r>
        <w:t>• History of cardiac stents or bypass</w:t>
      </w:r>
    </w:p>
    <w:p>
      <w:r>
        <w:t>• Diabetes, HTN, or CKD</w:t>
      </w:r>
    </w:p>
    <w:p>
      <w:r>
        <w:t>• Current smoking</w:t>
      </w:r>
    </w:p>
    <w:p>
      <w:r>
        <w:t>• History of heart failure</w:t>
      </w:r>
    </w:p>
    <w:p>
      <w:r>
        <w:t>• LDL &gt;100 on maximal statin + ezetimibe |</w:t>
      </w:r>
    </w:p>
    <w:p>
      <w:r>
        <w:t>OR</w:t>
      </w:r>
    </w:p>
    <w:p>
      <w:r>
        <w:t>**1 Major ASCVD + ≥1 High-Risk Condition** |</w:t>
      </w:r>
    </w:p>
    <w:p/>
    <w:tbl>
      <w:tblPr>
        <w:tblStyle w:val="TableGrid"/>
        <w:tblW w:type="auto" w:w="0"/>
        <w:jc w:val="left"/>
        <w:tblLook w:firstColumn="1" w:firstRow="1" w:lastColumn="0" w:lastRow="0" w:noHBand="0" w:noVBand="1" w:val="04A0"/>
      </w:tblPr>
      <w:tblGrid>
        <w:gridCol w:w="4968"/>
        <w:gridCol w:w="4968"/>
      </w:tblGrid>
      <w:tr>
        <w:tc>
          <w:tcPr>
            <w:tcW w:type="dxa" w:w="4968"/>
            <w:shd w:fill="D1C4E9"/>
          </w:tcPr>
          <w:p>
            <w:r>
              <w:rPr>
                <w:b/>
                <w:sz w:val="22"/>
              </w:rPr>
              <w:t>Category</w:t>
            </w:r>
          </w:p>
        </w:tc>
        <w:tc>
          <w:tcPr>
            <w:tcW w:type="dxa" w:w="4968"/>
            <w:shd w:fill="D1C4E9"/>
          </w:tcPr>
          <w:p>
            <w:r>
              <w:rPr>
                <w:b/>
                <w:sz w:val="22"/>
              </w:rPr>
              <w:t>Criteria</w:t>
            </w:r>
          </w:p>
        </w:tc>
      </w:tr>
      <w:tr>
        <w:tc>
          <w:tcPr>
            <w:tcW w:type="dxa" w:w="4968"/>
            <w:shd w:fill="EDE7F6"/>
          </w:tcPr>
          <w:p>
            <w:r>
              <w:rPr>
                <w:sz w:val="20"/>
              </w:rPr>
              <w:t>**Major ASCVD Events**</w:t>
            </w:r>
          </w:p>
        </w:tc>
        <w:tc>
          <w:tcPr>
            <w:tcW w:type="dxa" w:w="4968"/>
          </w:tcPr>
          <w:p/>
        </w:tc>
      </w:tr>
    </w:tbl>
    <w:p/>
    <w:tbl>
      <w:tblPr>
        <w:tblStyle w:val="TableGrid"/>
        <w:tblW w:type="auto" w:w="0"/>
        <w:jc w:val="left"/>
        <w:tblLook w:firstColumn="1" w:firstRow="1" w:lastColumn="0" w:lastRow="0" w:noHBand="0" w:noVBand="1" w:val="04A0"/>
      </w:tblPr>
      <w:tblGrid>
        <w:gridCol w:w="9936"/>
      </w:tblGrid>
      <w:tr>
        <w:tc>
          <w:tcPr>
            <w:tcW w:type="dxa" w:w="9936"/>
            <w:shd w:fill="D1C4E9"/>
          </w:tcPr>
          <w:p>
            <w:r>
              <w:rPr>
                <w:b/>
                <w:sz w:val="22"/>
              </w:rPr>
              <w:t>**High-Risk Conditions**</w:t>
            </w:r>
          </w:p>
        </w:tc>
      </w:tr>
    </w:tbl>
    <w:p/>
    <w:tbl>
      <w:tblPr>
        <w:tblStyle w:val="TableGrid"/>
        <w:tblW w:type="auto" w:w="0"/>
        <w:jc w:val="left"/>
        <w:tblLook w:firstColumn="1" w:firstRow="1" w:lastColumn="0" w:lastRow="0" w:noHBand="0" w:noVBand="1" w:val="04A0"/>
      </w:tblPr>
      <w:tblGrid>
        <w:gridCol w:w="9936"/>
      </w:tblGrid>
      <w:tr>
        <w:tc>
          <w:tcPr>
            <w:tcW w:type="dxa" w:w="9936"/>
            <w:shd w:fill="D1C4E9"/>
          </w:tcPr>
          <w:p>
            <w:r>
              <w:rPr>
                <w:b/>
                <w:sz w:val="22"/>
              </w:rPr>
              <w:t>**Very High Risk Definition**</w:t>
            </w:r>
          </w:p>
        </w:tc>
      </w:tr>
    </w:tbl>
    <w:p>
      <w:pPr>
        <w:pStyle w:val="Heading3"/>
      </w:pPr>
      <w:r>
        <w:rPr>
          <w:color w:val="4A148C"/>
        </w:rPr>
        <w:t>TABLE: Treatment Comparison by Patient Category</w:t>
      </w:r>
    </w:p>
    <w:p>
      <w:r>
        <w:t>---</w:t>
      </w:r>
    </w:p>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**Clinical Pearls &amp; High-Yield Points:**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**Two automatic "start high-intensity statin NOW" triggers: LDL ≥190 or existing ASCVD**</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Don't use risk calculators for patients with known ASCVD - they're automatically in secondary prevention</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Diabetes earns at least moderate-intensity statin even with low calculated risk</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Very high-risk ASCVD patients get most aggressive targets (LDL &lt;70) because they're at highest risk for recurrent events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If patient has ASCVD, next question is: "Are they very high risk?" This determines if you need LDL &lt;70 goal</w:t>
              <w:br/>
            </w:r>
          </w:p>
        </w:tc>
      </w:tr>
    </w:tbl>
    <w:p/>
    <w:tbl>
      <w:tblPr>
        <w:tblStyle w:val="TableGrid"/>
        <w:tblW w:type="auto" w:w="0"/>
        <w:tblLook w:firstColumn="1" w:firstRow="1" w:lastColumn="0" w:lastRow="0" w:noHBand="0" w:noVBand="1" w:val="04A0"/>
      </w:tblPr>
      <w:tblGrid>
        <w:gridCol w:w="9936"/>
      </w:tblGrid>
      <w:tr>
        <w:tc>
          <w:tcPr>
            <w:tcW w:type="dxa" w:w="9936"/>
            <w:shd w:fill="E6F3FF"/>
          </w:tcPr>
          <w:p>
            <w:r>
              <w:rPr>
                <w:sz w:val="20"/>
              </w:rPr>
              <w:t>💡 MEMORY TRICKS &amp; MNEMONICS</w:t>
              <w:br/>
              <w:br/>
              <w:t>**Memory Tricks &amp; Mnemonics:**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**"190 = Go, Go, Go!"** - Start high-intensity statin immediately</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**"70 is Heaven"** - LDL goal &lt;70 for very high-risk ASCVD patients</w:t>
              <w:br/>
            </w:r>
          </w:p>
        </w:tc>
      </w:tr>
    </w:tbl>
    <w:p/>
    <w:tbl>
      <w:tblPr>
        <w:tblStyle w:val="TableGrid"/>
        <w:tblW w:type="auto" w:w="0"/>
        <w:tblLook w:firstColumn="1" w:firstRow="1" w:lastColumn="0" w:lastRow="0" w:noHBand="0" w:noVBand="1" w:val="04A0"/>
      </w:tblPr>
      <w:tblGrid>
        <w:gridCol w:w="9936"/>
      </w:tblGrid>
      <w:tr>
        <w:tc>
          <w:tcPr>
            <w:tcW w:type="dxa" w:w="9936"/>
            <w:shd w:fill="E6F3FF"/>
          </w:tcPr>
          <w:p>
            <w:r>
              <w:rPr>
                <w:sz w:val="20"/>
              </w:rPr>
              <w:t>💡 MEMORY TRICKS &amp; MNEMONICS</w:t>
              <w:br/>
              <w:br/>
              <w:t>• **"100 for FH, 70 for Very High"** - Remember the two special LDL goals</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 **"Diabetes = At least Moderate"** - Minimum statin intensity for diabetics age 40-75</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**Analogy:**</w:t>
              <w:br/>
            </w:r>
          </w:p>
        </w:tc>
      </w:tr>
    </w:tbl>
    <w:p/>
    <w:tbl>
      <w:tblPr>
        <w:tblStyle w:val="TableGrid"/>
        <w:tblW w:type="auto" w:w="0"/>
        <w:tblLook w:firstColumn="1" w:firstRow="1" w:lastColumn="0" w:lastRow="0" w:noHBand="0" w:noVBand="1" w:val="04A0"/>
      </w:tblPr>
      <w:tblGrid>
        <w:gridCol w:w="9936"/>
      </w:tblGrid>
      <w:tr>
        <w:tc>
          <w:tcPr>
            <w:tcW w:type="dxa" w:w="9936"/>
            <w:shd w:fill="E8F5E9"/>
          </w:tcPr>
          <w:p>
            <w:r>
              <w:rPr>
                <w:sz w:val="20"/>
              </w:rPr>
              <w:t>📋 CLINICAL PEARLS</w:t>
              <w:br/>
              <w:br/>
              <w:t>Think of ASCVD risk management like fire prevention strategies. Low-risk people need smoke detectors (lifestyle). Moderate-risk need sprinklers (moderate statin). High-risk need fire department on speed dial (high-intensity statin). People who've already had fires (ASCVD) need the fire truck parked outside (secondary prevention, high-intensity). Those who've had multiple fires or have a building full of flammable material (very high risk) need the whole fire brigade with backup water tankers (LDL &lt;70 goal with multiple medications).</w:t>
              <w:br/>
            </w:r>
          </w:p>
        </w:tc>
      </w:tr>
    </w:tbl>
    <w:p>
      <w:pPr>
        <w:pStyle w:val="Heading2"/>
      </w:pPr>
      <w:r>
        <w:rPr>
          <w:color w:val="4A148C"/>
        </w:rPr>
        <w:t>Primary vs Secondary Prevention</w:t>
      </w:r>
    </w:p>
    <w:p>
      <w:pPr>
        <w:pStyle w:val="Heading2"/>
      </w:pPr>
      <w:r>
        <w:rPr>
          <w:color w:val="4A148C"/>
        </w:rPr>
        <w:t>Statin Intensity Comparison</w:t>
      </w:r>
    </w:p>
    <w:p>
      <w:r>
        <w:t>(LDL ↓ ≥50%) | Moderate Intensity</w:t>
      </w:r>
    </w:p>
    <w:p>
      <w:r>
        <w:t>(LDL ↓ 30-49%) | Low Intensity</w:t>
      </w:r>
    </w:p>
    <w:p>
      <w:r>
        <w:t>(LDL ↓ &lt;30%) |</w:t>
      </w:r>
    </w:p>
    <w:p/>
    <w:tbl>
      <w:tblPr>
        <w:tblStyle w:val="TableGrid"/>
        <w:tblW w:type="auto" w:w="0"/>
        <w:jc w:val="left"/>
        <w:tblLook w:firstColumn="1" w:firstRow="1" w:lastColumn="0" w:lastRow="0" w:noHBand="0" w:noVBand="1" w:val="04A0"/>
      </w:tblPr>
      <w:tblGrid>
        <w:gridCol w:w="9936"/>
      </w:tblGrid>
      <w:tr>
        <w:tc>
          <w:tcPr>
            <w:tcW w:type="dxa" w:w="9936"/>
            <w:shd w:fill="D1C4E9"/>
          </w:tcPr>
          <w:p>
            <w:r>
              <w:rPr>
                <w:b/>
                <w:sz w:val="22"/>
              </w:rPr>
              <w:t>Statin</w:t>
            </w:r>
          </w:p>
        </w:tc>
      </w:tr>
    </w:tbl>
    <w:p>
      <w:pPr>
        <w:pStyle w:val="Heading2"/>
      </w:pPr>
      <w:r>
        <w:rPr>
          <w:color w:val="4A148C"/>
        </w:rPr>
        <w:t>Lipid-Lowering Medication Mechanisms</w:t>
      </w:r>
    </w:p>
    <w:p>
      <w:pPr>
        <w:pStyle w:val="Heading2"/>
      </w:pPr>
      <w:r>
        <w:rPr>
          <w:color w:val="4A148C"/>
        </w:rPr>
        <w:t>ASCVD vs CVD Conditions</w:t>
      </w:r>
    </w:p>
    <w:p>
      <w:r>
        <w:t>---</w:t>
      </w:r>
    </w:p>
    <w:p>
      <w:r>
        <w:t>---</w:t>
      </w:r>
    </w:p>
    <w:p>
      <w:r>
        <w:t>---</w:t>
      </w:r>
    </w:p>
    <w:p>
      <w:pPr>
        <w:pStyle w:val="Heading2"/>
      </w:pPr>
      <w:r>
        <w:rPr>
          <w:color w:val="4A148C"/>
        </w:rPr>
        <w:t>Monitoring Summary</w:t>
      </w:r>
    </w:p>
    <w:p>
      <w:r>
        <w:t>**Before starting statin therapy:**</w:t>
      </w:r>
    </w:p>
    <w:p>
      <w:pPr>
        <w:pStyle w:val="ListBullet"/>
      </w:pPr>
      <w:r>
        <w:t>Lipid panel</w:t>
      </w:r>
    </w:p>
    <w:p>
      <w:pPr>
        <w:pStyle w:val="ListBullet"/>
      </w:pPr>
      <w:r>
        <w:t>TSH</w:t>
      </w:r>
    </w:p>
    <w:p>
      <w:pPr>
        <w:pStyle w:val="ListBullet"/>
      </w:pPr>
      <w:r>
        <w:t>CMP including LFTs</w:t>
      </w:r>
    </w:p>
    <w:p>
      <w:pPr>
        <w:pStyle w:val="ListBullet"/>
      </w:pPr>
      <w:r>
        <w:t>Baseline CK (creatinine kinase)</w:t>
      </w:r>
    </w:p>
    <w:p>
      <w:r>
        <w:t>**Follow-up:**</w:t>
      </w:r>
    </w:p>
    <w:p>
      <w:pPr>
        <w:pStyle w:val="ListBullet"/>
      </w:pPr>
      <w:r>
        <w:t>Repeat lipid panel 4-12 weeks after medication start</w:t>
      </w:r>
    </w:p>
    <w:p>
      <w:pPr>
        <w:pStyle w:val="ListBullet"/>
      </w:pPr>
      <w:r>
        <w:t>Yearly screening for stable patients on therapy</w:t>
      </w:r>
    </w:p>
    <w:p>
      <w:r>
        <w:t>---</w:t>
      </w:r>
    </w:p>
    <w:p>
      <w:pPr>
        <w:pStyle w:val="Heading2"/>
      </w:pPr>
      <w:r>
        <w:rPr>
          <w:color w:val="4A148C"/>
        </w:rPr>
        <w:t>Screening Recommendations</w:t>
      </w:r>
    </w:p>
    <w:p>
      <w:r>
        <w:t>**Adults average risk:**</w:t>
      </w:r>
    </w:p>
    <w:p>
      <w:pPr>
        <w:pStyle w:val="ListBullet"/>
      </w:pPr>
      <w:r>
        <w:t>Age 20: Initial lipid panel</w:t>
      </w:r>
    </w:p>
    <w:p>
      <w:pPr>
        <w:pStyle w:val="ListBullet"/>
      </w:pPr>
      <w:r>
        <w:t>Age 40: Repeat if risk remains low</w:t>
      </w:r>
    </w:p>
    <w:p>
      <w:pPr>
        <w:pStyle w:val="ListBullet"/>
      </w:pPr>
      <w:r>
        <w:t>Every 5 years until age 78</w:t>
      </w:r>
    </w:p>
    <w:p>
      <w:r>
        <w:t>**Children:**</w:t>
      </w:r>
    </w:p>
    <w:p>
      <w:pPr>
        <w:pStyle w:val="ListBullet"/>
      </w:pPr>
      <w:r>
        <w:t>Controversial</w:t>
      </w:r>
    </w:p>
    <w:p>
      <w:pPr>
        <w:pStyle w:val="ListBullet"/>
      </w:pPr>
      <w:r>
        <w:t>May consider screening age 9-11 and 17-19</w:t>
      </w:r>
    </w:p>
    <w:p>
      <w:pPr>
        <w:pStyle w:val="ListBullet"/>
      </w:pPr>
      <w:r>
        <w:t>If concern for familial hypercholesterolemia: Consider age 1-8</w:t>
      </w:r>
    </w:p>
    <w:p>
      <w:r>
        <w:t>---</w:t>
      </w:r>
    </w:p>
    <w:p>
      <w:r>
        <w:t>**Study Guide Complete!**</w:t>
      </w:r>
    </w:p>
    <w:p>
      <w:r>
        <w:t>*This guide covers all learning objectives from the Lipids lecture on ASCVD risk assessment and management. Use the sections to study systematically, focusing on the High-Yield Summary for rapid review before exams.*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