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2563EB"/>
          <w:sz w:val="56"/>
          <w:szCs w:val="56"/>
        </w:rPr>
        <w:t xml:space="preserve">LABLINK</w:t>
      </w:r>
    </w:p>
    <w:p>
      <w:pPr>
        <w:spacing w:after="40"/>
        <w:jc w:val="center"/>
      </w:pPr>
      <w:r>
        <w:rPr>
          <w:b/>
          <w:bCs/>
          <w:color w:val="1F3B63"/>
          <w:sz w:val="40"/>
          <w:szCs w:val="40"/>
        </w:rPr>
        <w:t xml:space="preserve">ĐẶC TẢ NGHIỆP VỤ HỆ THỐNG</w:t>
      </w:r>
    </w:p>
    <w:p>
      <w:pPr>
        <w:spacing w:after="500"/>
        <w:jc w:val="center"/>
      </w:pPr>
      <w:r>
        <w:rPr>
          <w:color w:val="5B6B85"/>
          <w:sz w:val="26"/>
          <w:szCs w:val="26"/>
        </w:rPr>
        <w:t xml:space="preserve">Luồng nghiệp vụ &amp; Chức năng xử lý</w:t>
      </w:r>
    </w:p>
    <w:p>
      <w:pPr>
        <w:jc w:val="center"/>
      </w:pPr>
      <w:r>
        <w:rPr>
          <w:i/>
          <w:iCs/>
          <w:color w:val="5B6B85"/>
        </w:rPr>
        <w:t xml:space="preserve">Hệ thống đặt · chốt giá · duyệt &amp; trả kết quả xét nghiệm</w:t>
      </w:r>
    </w:p>
    <w:p>
      <w:pPr>
        <w:spacing w:before="900"/>
        <w:jc w:val="center"/>
      </w:pPr>
      <w:r>
        <w:rPr>
          <w:color w:val="5B6B85"/>
        </w:rPr>
        <w:t xml:space="preserve">Phiên bản 1.0</w:t>
      </w:r>
    </w:p>
    <w:p>
      <w:r>
        <w:br w:type="page"/>
      </w:r>
    </w:p>
    <w:p>
      <w:pPr>
        <w:pStyle w:val="Heading1"/>
        <w:spacing w:before="260" w:after="120"/>
      </w:pPr>
      <w:r>
        <w:rPr>
          <w:color w:val="1F3B63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60" w:after="120"/>
      </w:pPr>
      <w:r>
        <w:rPr>
          <w:color w:val="1F3B63"/>
        </w:rPr>
        <w:t xml:space="preserve">1. Giới thiệu</w:t>
      </w:r>
    </w:p>
    <w:p>
      <w:pPr>
        <w:pStyle w:val="Heading2"/>
        <w:spacing w:before="200" w:after="90"/>
      </w:pPr>
      <w:r>
        <w:rPr>
          <w:color w:val="1F3B63"/>
        </w:rPr>
        <w:t xml:space="preserve">1.1 Mục đích</w:t>
      </w:r>
    </w:p>
    <w:p>
      <w:pPr>
        <w:spacing w:after="100"/>
      </w:pPr>
      <w:r>
        <w:t xml:space="preserve">Tài liệu mô tả luồng nghiệp vụ và chức năng xử lý của hệ thống LabLink — nền tảng phối hợp giữa phòng khám/bác sĩ, khách lẻ và phòng xét nghiệm trong quy trình đặt, chốt giá, lấy/gửi/nhận mẫu và trả kết quả xét nghiệm. Tài liệu dùng làm cơ sở thống nhất nghiệp vụ, kiểm thử và bàn giao.</w:t>
      </w:r>
    </w:p>
    <w:p>
      <w:pPr>
        <w:pStyle w:val="Heading2"/>
        <w:spacing w:before="200" w:after="90"/>
      </w:pPr>
      <w:r>
        <w:rPr>
          <w:color w:val="1F3B63"/>
        </w:rPr>
        <w:t xml:space="preserve">1.2 Phạm 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Chốt giá xét nghiệm giữa phòng khám và phòng xét nghiệm.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Chỉ định / đặt xét nghiệm cho bệnh nhân, sinh mã mẫu (SID) và mã bệnh nhân.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Luồng xử lý mẫu: lấy — gửi — nhận — đánh giá chất lượng — chạy — trả kết quả.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Quản trị người dùng, phân quyền, báo cáo và nhật ký hoạt động.</w:t>
      </w:r>
    </w:p>
    <w:p>
      <w:pPr>
        <w:pStyle w:val="Heading2"/>
        <w:spacing w:before="200" w:after="90"/>
      </w:pPr>
      <w:r>
        <w:rPr>
          <w:color w:val="1F3B63"/>
        </w:rPr>
        <w:t xml:space="preserve">1.3 Vai trò tham gia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00"/>
      </w:tblGrid>
      <w:tr>
        <w:trPr>
          <w:tblHeader/>
        </w:trPr>
        <w:tc>
          <w:tcPr>
            <w:tcW w:type="dxa" w:w="26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Vai trò</w:t>
            </w:r>
          </w:p>
        </w:tc>
        <w:tc>
          <w:tcPr>
            <w:tcW w:type="dxa" w:w="14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Mã</w:t>
            </w:r>
          </w:p>
        </w:tc>
        <w:tc>
          <w:tcPr>
            <w:tcW w:type="dxa" w:w="50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Trách nhiệm chính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Quản trị hệ thống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admin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Quản lý người dùng, phân quyền, báo cáo, nhật ký.</w:t>
            </w:r>
          </w:p>
        </w:tc>
      </w:tr>
      <w:tr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Bác sĩ / Phòng khám</w:t>
            </w:r>
          </w:p>
        </w:tc>
        <w:tc>
          <w:tcPr>
            <w:tcW w:type="dxa" w:w="1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doctor</w:t>
            </w:r>
          </w:p>
        </w:tc>
        <w:tc>
          <w:tcPr>
            <w:tcW w:type="dxa" w:w="5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Chốt giá, chỉ định bệnh nhân, tự soạn &amp; gửi mẫu, theo dõi kết quả.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Phòng xét nghiệm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lab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Duyệt giá, cử NV lấy mẫu (khách lẻ), nhận &amp; QC, chạy &amp; trả kết quả.</w:t>
            </w:r>
          </w:p>
        </w:tc>
      </w:tr>
      <w:tr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Khách lẻ</w:t>
            </w:r>
          </w:p>
        </w:tc>
        <w:tc>
          <w:tcPr>
            <w:tcW w:type="dxa" w:w="1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retail</w:t>
            </w:r>
          </w:p>
        </w:tc>
        <w:tc>
          <w:tcPr>
            <w:tcW w:type="dxa" w:w="5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Tự đặt xét nghiệm, theo dõi và tải kết quả.</w:t>
            </w:r>
          </w:p>
        </w:tc>
      </w:tr>
    </w:tbl>
    <w:p>
      <w:r>
        <w:br w:type="page"/>
      </w:r>
    </w:p>
    <w:p>
      <w:pPr>
        <w:pStyle w:val="Heading1"/>
        <w:spacing w:before="260" w:after="120"/>
      </w:pPr>
      <w:r>
        <w:rPr>
          <w:color w:val="1F3B63"/>
        </w:rPr>
        <w:t xml:space="preserve">2. Luồng nghiệp vụ</w:t>
      </w:r>
    </w:p>
    <w:p>
      <w:pPr>
        <w:pStyle w:val="Heading2"/>
        <w:spacing w:before="200" w:after="90"/>
      </w:pPr>
      <w:r>
        <w:rPr>
          <w:color w:val="1F3B63"/>
        </w:rPr>
        <w:t xml:space="preserve">2.1 Vòng đời phiếu xét nghiệm</w:t>
      </w:r>
    </w:p>
    <w:p>
      <w:pPr>
        <w:spacing w:after="100"/>
      </w:pPr>
      <w:r>
        <w:t xml:space="preserve">Mỗi phiếu đi qua sáu trạng thái. Hai luồng đầu vào (khách lẻ và bác sĩ) khác nhau ở giai đoạn lấy/gửi mẫu, sau đó hợp lưu tại trạng thái “Đã nhận”.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50"/>
        <w:gridCol w:w="2600"/>
        <w:gridCol w:w="1700"/>
        <w:gridCol w:w="1650"/>
      </w:tblGrid>
      <w:tr>
        <w:trPr>
          <w:tblHeader/>
        </w:trPr>
        <w:tc>
          <w:tcPr>
            <w:tcW w:type="dxa" w:w="17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135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Enum</w:t>
            </w:r>
          </w:p>
        </w:tc>
        <w:tc>
          <w:tcPr>
            <w:tcW w:type="dxa" w:w="26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  <w:tc>
          <w:tcPr>
            <w:tcW w:type="dxa" w:w="17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Người chuyển</w:t>
            </w:r>
          </w:p>
        </w:tc>
        <w:tc>
          <w:tcPr>
            <w:tcW w:type="dxa" w:w="165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Dữ liệu kèm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Chờ lấy mẫu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Ordered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Phiếu khách lẻ vừa đặt, chưa lấy mẫu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Hệ thống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Đã soạn mẫu</w:t>
            </w:r>
          </w:p>
        </w:tc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Collected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Mẫu đã lấy/soạn, đã sinh SID</w:t>
            </w:r>
          </w:p>
        </w:tc>
        <w:tc>
          <w:tcPr>
            <w:tcW w:type="dxa" w:w="1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Bác sĩ / PXN</w:t>
            </w:r>
          </w:p>
        </w:tc>
        <w:tc>
          <w:tcPr>
            <w:tcW w:type="dxa" w:w="16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NV lấy mẫu (khách lẻ)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Đã gửi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Sent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Phòng khám đã gửi mẫu đi PXN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Phòng khám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Hình thức gửi + mã vận đơn</w:t>
            </w:r>
          </w:p>
        </w:tc>
      </w:tr>
      <w:tr>
        <w:tc>
          <w:tcPr>
            <w:tcW w:type="dxa" w:w="1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Đã nhận</w:t>
            </w:r>
          </w:p>
        </w:tc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Received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PXN đã nhận mẫu + đánh giá QC</w:t>
            </w:r>
          </w:p>
        </w:tc>
        <w:tc>
          <w:tcPr>
            <w:tcW w:type="dxa" w:w="1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PXN</w:t>
            </w:r>
          </w:p>
        </w:tc>
        <w:tc>
          <w:tcPr>
            <w:tcW w:type="dxa" w:w="16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Người nhận, giờ, QC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Đang chạy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Running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Mẫu đang được phân tích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PXN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Có kết quả</w:t>
            </w:r>
          </w:p>
        </w:tc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Resulted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Đã trả kết quả (có file)</w:t>
            </w:r>
          </w:p>
        </w:tc>
        <w:tc>
          <w:tcPr>
            <w:tcW w:type="dxa" w:w="1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Tự động (khi upload)</w:t>
            </w:r>
          </w:p>
        </w:tc>
        <w:tc>
          <w:tcPr>
            <w:tcW w:type="dxa" w:w="16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File kết quả</w:t>
            </w:r>
          </w:p>
        </w:tc>
      </w:tr>
    </w:tbl>
    <w:p>
      <w:pPr>
        <w:pStyle w:val="Heading2"/>
        <w:spacing w:before="200" w:after="90"/>
      </w:pPr>
      <w:r>
        <w:rPr>
          <w:color w:val="1F3B63"/>
        </w:rPr>
        <w:t xml:space="preserve">2.2 Luồng Khách lẻ</w:t>
      </w:r>
    </w:p>
    <w:p>
      <w:pPr>
        <w:spacing w:after="100"/>
      </w:pPr>
      <w:r>
        <w:t xml:space="preserve">Khách không tự đem mẫu đi — phòng xét nghiệm chủ động cử nhân viên đến tận nơi lấy mẫu.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Khách đặt xét nghiệm → phiếu ở trạng thái Chờ lấy mẫu (chưa sinh SID).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PXN “Phân công NV lấy mẫu” → sinh SID + chuyển Đã soạn mẫu (in tem cho NV mang đi).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NV lấy mẫu tại chỗ khách và mang về → PXN nhận → Đã nhận.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PXN QC → Đang chạy → trả kết quả → Có kết quả.</w:t>
      </w:r>
    </w:p>
    <w:p>
      <w:pPr>
        <w:pStyle w:val="Heading2"/>
        <w:spacing w:before="200" w:after="90"/>
      </w:pPr>
      <w:r>
        <w:rPr>
          <w:color w:val="1F3B63"/>
        </w:rPr>
        <w:t xml:space="preserve">2.3 Luồng Bác sĩ / Phòng khám</w:t>
      </w:r>
    </w:p>
    <w:p>
      <w:pPr>
        <w:spacing w:after="100"/>
      </w:pPr>
      <w:r>
        <w:t xml:space="preserve">Phòng khám tự soạn mẫu và tự gửi mẫu về PXN.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Bác sĩ chỉ định → sinh SID ngay → phiếu ở Đã soạn mẫu.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Phòng khám “Gửi mẫu” (chọn hình thức: Trực tiếp / Nhà xe / Grab + mã vận đơn) → Đã gửi.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Mẫu chuyển tới PXN → PXN nhận → Đã nhận → QC → Đang chạy → Có kết quả.</w:t>
      </w:r>
    </w:p>
    <w:p>
      <w:pPr>
        <w:pStyle w:val="Heading2"/>
        <w:spacing w:before="200" w:after="90"/>
      </w:pPr>
      <w:r>
        <w:rPr>
          <w:color w:val="1F3B63"/>
        </w:rPr>
        <w:t xml:space="preserve">2.4 Luồng Chốt giá (deal)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Bác sĩ tìm xét nghiệm, đề nghị mức giá riêng cho từng dòng, gửi PXN (gói đề nghị).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PXN duyệt: Chốt hoặc Từ chối từng dòng, hoặc chốt/từ chối cả gói.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Giá đã chốt (Approved) sẽ được tự áp dụng khi bác sĩ đó chỉ định xét nghiệm tương ứng.</w:t>
      </w:r>
    </w:p>
    <w:p>
      <w:pPr>
        <w:pStyle w:val="Heading2"/>
        <w:spacing w:before="200" w:after="90"/>
      </w:pPr>
      <w:r>
        <w:rPr>
          <w:color w:val="1F3B63"/>
        </w:rPr>
        <w:t xml:space="preserve">2.5 Luồng Trả kết quả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PXN tải file kết quả lên phiếu → phiếu tự chuyển Có kết quả.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Bác sĩ / khách lẻ (chủ phiếu) và PXN tải được file; mỗi lần tải đều ghi nhật ký.</w:t>
      </w:r>
    </w:p>
    <w:p>
      <w:r>
        <w:br w:type="page"/>
      </w:r>
    </w:p>
    <w:p>
      <w:pPr>
        <w:pStyle w:val="Heading1"/>
        <w:spacing w:before="260" w:after="120"/>
      </w:pPr>
      <w:r>
        <w:rPr>
          <w:color w:val="1F3B63"/>
        </w:rPr>
        <w:t xml:space="preserve">3. Chức năng xử lý</w:t>
      </w:r>
    </w:p>
    <w:p>
      <w:pPr>
        <w:spacing w:after="100"/>
      </w:pPr>
      <w:r>
        <w:t xml:space="preserve">Mỗi chức năng mô tả theo cấu trúc: vai trò sử dụng, đầu vào, các bước xử lý và kết quả.</w:t>
      </w:r>
    </w:p>
    <w:p>
      <w:pPr>
        <w:pStyle w:val="Heading3"/>
        <w:spacing w:before="150" w:after="60"/>
      </w:pPr>
      <w:r>
        <w:rPr>
          <w:color w:val="2563EB"/>
        </w:rPr>
        <w:t xml:space="preserve">3.1 Đăng nhập &amp; phân quyền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Tất cả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Email + mật khẩu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Xác thực email/mật khẩu (mật khẩu băm BCrypt).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Nếu đúng và tài khoản đang Hoạt động → cấp JWT chứa vai trò và danh sách quyền.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Menu và nút hành động hiển thị theo quyền; server kiểm tra quyền lại trên mỗi endpoint.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Phiên đăng nhập (JWT) + hồ sơ người dùng; ghi nhật ký auth.login.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Tài khoản bị Khoá/Đã nghỉ không đăng nhập được.</w:t>
      </w:r>
    </w:p>
    <w:p>
      <w:pPr>
        <w:pStyle w:val="Heading3"/>
        <w:spacing w:before="150" w:after="60"/>
      </w:pPr>
      <w:r>
        <w:rPr>
          <w:color w:val="2563EB"/>
        </w:rPr>
        <w:t xml:space="preserve">3.2 Quản trị người dùng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Quản trị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Thông tin người dùng, nhóm, mật khẩu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Thêm người dùng (họ tên, email duy nhất, mật khẩu, phòng ban, nhóm).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Sửa nhóm; Khoá / Mở khoá (chặn/mở đăng nhập); Đặt lại mật khẩu.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Mọi thao tác ghi nhật ký.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Tài khoản được tạo/cập nhật; trạng thái và nhóm thay đổi.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Email trùng bị từ chối; nhóm Quản trị luôn đủ quyền.</w:t>
      </w:r>
    </w:p>
    <w:p>
      <w:pPr>
        <w:pStyle w:val="Heading3"/>
        <w:spacing w:before="150" w:after="60"/>
      </w:pPr>
      <w:r>
        <w:rPr>
          <w:color w:val="2563EB"/>
        </w:rPr>
        <w:t xml:space="preserve">3.3 Vai trò &amp; phân quyền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Quản trị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Ma trận nhóm × quyền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Hiển thị từng nhóm cùng tập quyền theo đối tượng.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 / bỏ tick quyền và lưu cho từng nhóm.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Quyền được kiểm tra ở server theo từng key permission.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Tập quyền của nhóm được cập nhật, áp dụng ngay cho phiên đăng nhập mới.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Nhóm Quản trị không chỉnh (luôn đủ quyền).</w:t>
      </w:r>
    </w:p>
    <w:p>
      <w:pPr>
        <w:pStyle w:val="Heading3"/>
        <w:spacing w:before="150" w:after="60"/>
      </w:pPr>
      <w:r>
        <w:rPr>
          <w:color w:val="2563EB"/>
        </w:rPr>
        <w:t xml:space="preserve">3.4 Báo cáo &amp; Nhật ký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Quản trị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Khoảng thời gian (mặc định 30 ngày)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Báo cáo: tổng phiếu, doanh thu, phiếu theo trạng thái, tồn đọng theo tuổi, doanh thu theo ngày.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Nhật ký: liệt kê ai làm gì, lúc nào (đăng nhập, duyệt giá, tạo user, đổi trạng thái, in tem, tải kết quả…).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Bảng số liệu tổng hợp và danh sách nhật ký có phân trang.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Chỉ nhóm có quyền report.read / audit.read xem được.</w:t>
      </w:r>
    </w:p>
    <w:p>
      <w:pPr>
        <w:pStyle w:val="Heading3"/>
        <w:spacing w:before="150" w:after="60"/>
      </w:pPr>
      <w:r>
        <w:rPr>
          <w:color w:val="2563EB"/>
        </w:rPr>
        <w:t xml:space="preserve">3.5 Danh mục xét nghiệm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PXN (tra cứu); Bác sĩ/Khách (khi chọn XN)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Từ khoá, nhóm, nhà cung cấp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 cứu danh mục (~1.184 mục) theo tên/mã.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Lọc theo nhóm chuyên môn và nhà cung cấp; phân trang.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Trả về mã, tên, nhóm, loại mẫu, giá niêm yết.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Danh sách xét nghiệm phù hợp bộ lọc.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Cần quyền catalog.read.</w:t>
      </w:r>
    </w:p>
    <w:p>
      <w:pPr>
        <w:pStyle w:val="Heading3"/>
        <w:spacing w:before="150" w:after="60"/>
      </w:pPr>
      <w:r>
        <w:rPr>
          <w:color w:val="2563EB"/>
        </w:rPr>
        <w:t xml:space="preserve">3.6 Chốt giá — Đề nghị &amp; Duyệt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Bác sĩ (đề nghị); PXN (duyệt)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Danh sách XN + giá đề nghị; quyết định duyệt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Bác sĩ thêm XN, nhập giá đề nghị, gửi gói cho PXN (trạng thái Chờ duyệt).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PXN xem giá niêm yết / đề nghị / chênh lệch; Chốt hoặc Từ chối từng dòng hoặc cả gói.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Ghi nhật ký deal.create / deal.approve / deal.reject.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Trạng thái từng dòng: Chờ duyệt → Đã chốt / Từ chối. Giá đã chốt dùng khi chỉ định.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Bác sĩ cần deal.create; PXN cần deal.approve.</w:t>
      </w:r>
    </w:p>
    <w:p>
      <w:pPr>
        <w:pStyle w:val="Heading3"/>
        <w:spacing w:before="150" w:after="60"/>
      </w:pPr>
      <w:r>
        <w:rPr>
          <w:color w:val="2563EB"/>
        </w:rPr>
        <w:t xml:space="preserve">3.7 Chỉ định cho bệnh nhân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Bác sĩ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Hồ sơ bệnh nhân + danh sách xét nghiệm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Nhập hồ sơ (gõ tay, quét QR CCCD, hoặc tìm bệnh nhân cũ).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Chọn xét nghiệm bằng tìm nhanh hoặc combo dựng sẵn; đặt loại mẫu, số lượng.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Validate → sinh mã bệnh nhân (nếu trống) → sinh SID → tạo phiếu (Đã soạn mẫu).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Phiếu chỉ định kèm SID và tổng tiền (theo giá đã chốt nếu có).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Bắt buộc họ tên và ≥1 xét nghiệm; email nếu nhập phải đúng định dạng.</w:t>
      </w:r>
    </w:p>
    <w:p>
      <w:pPr>
        <w:pStyle w:val="Heading3"/>
        <w:spacing w:before="150" w:after="60"/>
      </w:pPr>
      <w:r>
        <w:rPr>
          <w:color w:val="2563EB"/>
        </w:rPr>
        <w:t xml:space="preserve">3.8 Đặt xét nghiệm (Khách lẻ)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Khách lẻ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Thông tin cá nhân + danh sách xét nghiệm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Nhập thông tin (có thể quét QR CCCD).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Chọn xét nghiệm (tìm nhanh / combo).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Tạo phiếu ở trạng thái Chờ lấy mẫu (chưa sinh SID); giá theo niêm yết.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Phiếu đặt xét nghiệm chờ PXN cử NV đến lấy mẫu.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Bắt buộc họ tên và ≥1 xét nghiệm.</w:t>
      </w:r>
    </w:p>
    <w:p>
      <w:pPr>
        <w:pStyle w:val="Heading3"/>
        <w:spacing w:before="150" w:after="60"/>
      </w:pPr>
      <w:r>
        <w:rPr>
          <w:color w:val="2563EB"/>
        </w:rPr>
        <w:t xml:space="preserve">3.9 Phân công NV lấy mẫu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PXN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Nhân viên lấy mẫu, giờ hẹn, nơi lấy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Áp dụng cho phiếu khách lẻ đang Chờ lấy mẫu.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Sinh SID cho phiếu, ghi nhận NV/giờ/nơi lấy.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Chuyển phiếu sang Đã soạn mẫu.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Phiếu có SID để in tem, sẵn sàng cho NV đi lấy mẫu.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Cần quyền sample.collect; chỉ áp dụng phiếu khách lẻ ở Chờ lấy mẫu.</w:t>
      </w:r>
    </w:p>
    <w:p>
      <w:pPr>
        <w:pStyle w:val="Heading3"/>
        <w:spacing w:before="150" w:after="60"/>
      </w:pPr>
      <w:r>
        <w:rPr>
          <w:color w:val="2563EB"/>
        </w:rPr>
        <w:t xml:space="preserve">3.10 Gửi mẫu (Phòng khám)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Bác sĩ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Hình thức gửi + mã vận đơn + shipper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Áp dụng cho phiếu của chính bác sĩ đang Đã soạn mẫu.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Ghi hình thức gửi (Trực tiếp / Nhà xe / Grab), mã vận đơn, giờ gửi.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Chuyển phiếu sang Đã gửi.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Phiếu chuyển Đã gửi, chờ PXN nhận.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Cần quyền sample.send; chỉ phiếu của mình, ở trạng thái Đã soạn mẫu.</w:t>
      </w:r>
    </w:p>
    <w:p>
      <w:pPr>
        <w:pStyle w:val="Heading3"/>
        <w:spacing w:before="150" w:after="60"/>
      </w:pPr>
      <w:r>
        <w:rPr>
          <w:color w:val="2563EB"/>
        </w:rPr>
        <w:t xml:space="preserve">3.11 Nhận mẫu &amp; Đánh giá chất lượng (QC)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PXN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Quyết định trạng thái &amp; chất lượng mẫu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Chuyển trạng thái phiếu qua các bước (Đã nhận, Đang chạy…).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Đánh giá từng mẫu Đạt / Không đạt.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Ghi nhật ký order.stage / sample.qc.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Trạng thái phiếu và chất lượng từng mẫu được cập nhật.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Cần quyền sample.receive / sample.qc.</w:t>
      </w:r>
    </w:p>
    <w:p>
      <w:pPr>
        <w:pStyle w:val="Heading3"/>
        <w:spacing w:before="150" w:after="60"/>
      </w:pPr>
      <w:r>
        <w:rPr>
          <w:color w:val="2563EB"/>
        </w:rPr>
        <w:t xml:space="preserve">3.12 Cập nhật tiến trình mẫu chi tiết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PXN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Thông tin lấy — gửi — nhận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Ghi nơi/người/giờ lấy; hình thức gửi + mã vận đơn + shipper; nơi/người/giờ nhận; dự kiến có kết quả.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Lưu tiến trình vào phiếu.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Nhật ký logistics đầy đủ trên phiếu.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Cần quyền sample.receive.</w:t>
      </w:r>
    </w:p>
    <w:p>
      <w:pPr>
        <w:pStyle w:val="Heading3"/>
        <w:spacing w:before="150" w:after="60"/>
      </w:pPr>
      <w:r>
        <w:rPr>
          <w:color w:val="2563EB"/>
        </w:rPr>
        <w:t xml:space="preserve">3.13 In tem SID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Bác sĩ; PXN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Chọn SID + số bản in (1–99)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Chọn 'Tất cả SID' hoặc một SID cụ thể; nhập số bản 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Sinh tem gồm mã SID + mã vạch Code128 + thông tin bệnh nhân/loại mẫu.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Mỗi SID được lặp đúng số bản in — không sinh SID mới.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Tem mã vạch để dán ống mẫu / khay / giấy chỉ định.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Cần quyền sid.print.</w:t>
      </w:r>
    </w:p>
    <w:p>
      <w:pPr>
        <w:pStyle w:val="Heading3"/>
        <w:spacing w:before="150" w:after="60"/>
      </w:pPr>
      <w:r>
        <w:rPr>
          <w:color w:val="2563EB"/>
        </w:rPr>
        <w:t xml:space="preserve">3.14 Trả kết quả &amp; Tải kết quả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PXN (trả); Bác sĩ/Khách/PXN (tải)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File kết quả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PXN tải file kết quả lên phiếu → phiếu tự chuyển Có kết quả.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Chủ phiếu và PXN tải file về; mỗi lần tải ghi nhật ký result.download.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Kết quả được lưu có kiểm soát truy cập; người liên quan tải được.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Trả cần result.upload; tải cần result.read và đúng phạm vi phiếu.</w:t>
      </w:r>
    </w:p>
    <w:p>
      <w:pPr>
        <w:pStyle w:val="Heading3"/>
        <w:spacing w:before="150" w:after="60"/>
      </w:pPr>
      <w:r>
        <w:rPr>
          <w:color w:val="2563EB"/>
        </w:rPr>
        <w:t xml:space="preserve">3.15 Theo dõi phiếu</w:t>
      </w:r>
    </w:p>
    <w:p>
      <w:pPr>
        <w:spacing w:after="60"/>
      </w:pPr>
      <w:r>
        <w:rPr>
          <w:b/>
          <w:bCs/>
          <w:color w:val="1F3B63"/>
        </w:rPr>
        <w:t xml:space="preserve">Vai trò: </w:t>
      </w:r>
      <w:r>
        <w:t xml:space="preserve">Bác sĩ; Khách lẻ; PXN</w:t>
      </w:r>
    </w:p>
    <w:p>
      <w:pPr>
        <w:spacing w:after="60"/>
      </w:pPr>
      <w:r>
        <w:rPr>
          <w:b/>
          <w:bCs/>
          <w:color w:val="1F3B63"/>
        </w:rPr>
        <w:t xml:space="preserve">Đầu vào: </w:t>
      </w:r>
      <w:r>
        <w:t xml:space="preserve">Từ khoá, trạng thái</w:t>
      </w:r>
    </w:p>
    <w:p>
      <w:pPr>
        <w:spacing w:after="40"/>
      </w:pPr>
      <w:r>
        <w:rPr>
          <w:b/>
          <w:bCs/>
          <w:color w:val="1F3B63"/>
        </w:rPr>
        <w:t xml:space="preserve">Xử lý: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Tìm/lọc phiếu theo mã phiếu, tên/mã BN, SID, tên xét nghiệm, trạng thái.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Mở chi tiết: xét nghiệm, SID, tổng tiền, tiến trình.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Phạm vi: PXN thấy tất cả; bác sĩ/khách chỉ thấy phiếu của mình.</w:t>
      </w:r>
    </w:p>
    <w:p>
      <w:pPr>
        <w:spacing w:after="60"/>
      </w:pPr>
      <w:r>
        <w:rPr>
          <w:b/>
          <w:bCs/>
          <w:color w:val="1F3B63"/>
        </w:rPr>
        <w:t xml:space="preserve">Kết quả: </w:t>
      </w:r>
      <w:r>
        <w:t xml:space="preserve">Danh sách và chi tiết phiếu theo phạm vi quyền.</w:t>
      </w:r>
    </w:p>
    <w:p>
      <w:pPr>
        <w:spacing w:after="60"/>
      </w:pPr>
      <w:r>
        <w:rPr>
          <w:b/>
          <w:bCs/>
          <w:color w:val="1F3B63"/>
        </w:rPr>
        <w:t xml:space="preserve">Ràng buộc: </w:t>
      </w:r>
      <w:r>
        <w:t xml:space="preserve">Cần quyền order.read.</w:t>
      </w:r>
    </w:p>
    <w:p>
      <w:r>
        <w:br w:type="page"/>
      </w:r>
    </w:p>
    <w:p>
      <w:pPr>
        <w:pStyle w:val="Heading1"/>
        <w:spacing w:before="260" w:after="120"/>
      </w:pPr>
      <w:r>
        <w:rPr>
          <w:color w:val="1F3B63"/>
        </w:rPr>
        <w:t xml:space="preserve">4. Quy tắc nghiệp vụ cốt lõi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Quy tắc</w:t>
            </w:r>
          </w:p>
        </w:tc>
        <w:tc>
          <w:tcPr>
            <w:tcW w:type="dxa" w:w="68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Sinh SID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Định dạng DDMMYY-#### (4 số). 1 loại mẫu = 1 SID. Sinh atomic phía server (chống trùng khi nhiều điểm in). Bác sĩ: sinh khi chỉ định; Khách lẻ: sinh khi PXN phân công lấy mẫu.</w:t>
            </w:r>
          </w:p>
        </w:tc>
      </w:tr>
      <w:tr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Sinh mã bệnh nhân</w:t>
            </w:r>
          </w:p>
        </w:tc>
        <w:tc>
          <w:tcPr>
            <w:tcW w:type="dxa" w:w="6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Định dạng MMYY####; tự sinh khi bác sĩ để trống.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Mã phiếu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Định dạng O-&lt;số thứ tự tăng dần&gt;.</w:t>
            </w:r>
          </w:p>
        </w:tc>
      </w:tr>
      <w:tr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Gom mẫu</w:t>
            </w:r>
          </w:p>
        </w:tc>
        <w:tc>
          <w:tcPr>
            <w:tcW w:type="dxa" w:w="6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Các xét nghiệm cùng loại mẫu gộp thành 1 mẫu (1 SID).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Tính tiền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Mỗi dòng = số lượng × đơn giá. Đơn giá = giá đã chốt (deal) nếu có, ngược lại giá niêm yết. Tổng = tổng các dòng.</w:t>
            </w:r>
          </w:p>
        </w:tc>
      </w:tr>
      <w:tr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Chuyển trạng thái</w:t>
            </w:r>
          </w:p>
        </w:tc>
        <w:tc>
          <w:tcPr>
            <w:tcW w:type="dxa" w:w="6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Các hành động chỉ hợp lệ ở đúng trạng thái trước (vd Gửi mẫu chỉ khi Đã soạn mẫu). Trả kết quả tự chuyển Có kết quả.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Validate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Bắt buộc họ tên; ≥1 xét nghiệm; số lượng ≥1; số bản in 1–99; email (nếu nhập) đúng định dạng.</w:t>
            </w:r>
          </w:p>
        </w:tc>
      </w:tr>
    </w:tbl>
    <w:p>
      <w:r>
        <w:br w:type="page"/>
      </w:r>
    </w:p>
    <w:p>
      <w:pPr>
        <w:pStyle w:val="Heading1"/>
        <w:spacing w:before="260" w:after="120"/>
      </w:pPr>
      <w:r>
        <w:rPr>
          <w:color w:val="1F3B63"/>
        </w:rPr>
        <w:t xml:space="preserve">5. Ma trận phân quyền theo chức năng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38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Chức năng</w:t>
            </w:r>
          </w:p>
        </w:tc>
        <w:tc>
          <w:tcPr>
            <w:tcW w:type="dxa" w:w="13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Bác sĩ</w:t>
            </w:r>
          </w:p>
        </w:tc>
        <w:tc>
          <w:tcPr>
            <w:tcW w:type="dxa" w:w="13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Khách lẻ</w:t>
            </w:r>
          </w:p>
        </w:tc>
        <w:tc>
          <w:tcPr>
            <w:tcW w:type="dxa" w:w="13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PXN</w:t>
            </w:r>
          </w:p>
        </w:tc>
        <w:tc>
          <w:tcPr>
            <w:tcW w:type="dxa" w:w="1300"/>
            <w:shd w:fill="1F3B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Quản trị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Chốt giá (đề nghị)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Duyệt giá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Chỉ định / Đặt xét nghiệm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Phân công NV lấy mẫu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Gửi mẫu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Nhận mẫu / QC / đổi trạng thái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 tem SID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Trả kết quả (upload)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Tải kết quả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8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Quản trị user / role / báo cáo / nhật ký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  <w:tc>
          <w:tcPr>
            <w:tcW w:type="dxa" w:w="13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✓</w:t>
            </w:r>
          </w:p>
        </w:tc>
      </w:tr>
    </w:tbl>
    <w:p>
      <w:pPr>
        <w:spacing w:before="80"/>
      </w:pPr>
      <w:r>
        <w:t xml:space="preserve">Ghi chú: “✓” = được phép; “–” = không. Phạm vi dữ liệu: PXN thấy mọi phiếu; bác sĩ/khách lẻ chỉ thấy phiếu của mình.</w:t>
      </w:r>
    </w:p>
    <w:p>
      <w:pPr>
        <w:pStyle w:val="Heading1"/>
        <w:spacing w:before="260" w:after="120"/>
      </w:pPr>
      <w:r>
        <w:rPr>
          <w:color w:val="1F3B63"/>
        </w:rPr>
        <w:t xml:space="preserve">6. Ghi chú &amp; giới hạn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Quyền được kiểm tra ở server trên mỗi endpoint; giao diện chỉ ẩn/hiện theo quyền.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Mọi hành động nhạy cảm (duyệt giá, đổi trạng thái, in tem, tải/nộp kết quả, thay đổi user/role) đều ghi nhật ký.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Kết quả xét nghiệm lưu có kiểm soát truy cập; mỗi lần tải đều được log.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Ràng buộc chất lượng nâng cao (vd bắt buộc QC Đạt mới cho Đang chạy) có thể bổ sung ở giai đoạn sau.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bCs/>
      <w:color w:val="1F3B63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2563E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2026-08-30T06:54:16.720Z</dcterms:created>
  <dcterms:modified xsi:type="dcterms:W3CDTF">2026-08-30T06:54:16.724Z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