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1C0" w:rsidRDefault="0077758D">
      <w:r>
        <w:fldChar w:fldCharType="begin"/>
      </w:r>
      <w:r>
        <w:instrText xml:space="preserve"> HYPERLINK "https://en.etsmtl.ca/en/Prospective-Students/Academic-Programs/Ph-D-Program/3014" </w:instrText>
      </w:r>
      <w:r>
        <w:fldChar w:fldCharType="separate"/>
      </w:r>
      <w:r w:rsidRPr="0077758D">
        <w:rPr>
          <w:rStyle w:val="Hyperlink"/>
        </w:rPr>
        <w:t>https://en.etsmtl.ca/en/Prospective-Students/Academic-Programs/Ph-D-Program/3014</w:t>
      </w:r>
      <w:r>
        <w:fldChar w:fldCharType="end"/>
      </w:r>
    </w:p>
    <w:p w:rsidR="0077758D" w:rsidRDefault="0077758D"/>
    <w:p w:rsidR="0077758D" w:rsidRPr="0077758D" w:rsidRDefault="0077758D" w:rsidP="0077758D">
      <w:pPr>
        <w:shd w:val="clear" w:color="auto" w:fill="FFFFFF"/>
        <w:spacing w:after="30" w:line="240" w:lineRule="auto"/>
        <w:textAlignment w:val="baseline"/>
        <w:rPr>
          <w:rFonts w:ascii="Arial" w:eastAsia="Times New Roman" w:hAnsi="Arial" w:cs="Arial"/>
          <w:b/>
          <w:bCs/>
          <w:color w:val="3A3B3D"/>
          <w:sz w:val="29"/>
          <w:szCs w:val="29"/>
        </w:rPr>
      </w:pPr>
      <w:r w:rsidRPr="0077758D">
        <w:rPr>
          <w:rFonts w:ascii="Arial" w:eastAsia="Times New Roman" w:hAnsi="Arial" w:cs="Arial"/>
          <w:b/>
          <w:bCs/>
          <w:color w:val="3A3B3D"/>
          <w:sz w:val="29"/>
          <w:szCs w:val="29"/>
        </w:rPr>
        <w:t>Structure of the program</w:t>
      </w:r>
    </w:p>
    <w:p w:rsidR="0077758D" w:rsidRPr="0077758D" w:rsidRDefault="0077758D" w:rsidP="0077758D">
      <w:pPr>
        <w:spacing w:after="0" w:line="240" w:lineRule="auto"/>
        <w:rPr>
          <w:rFonts w:ascii="Times New Roman" w:eastAsia="Times New Roman" w:hAnsi="Times New Roman" w:cs="Times New Roman"/>
          <w:sz w:val="24"/>
          <w:szCs w:val="24"/>
        </w:rPr>
      </w:pPr>
      <w:r w:rsidRPr="0077758D">
        <w:rPr>
          <w:rFonts w:ascii="Arial" w:eastAsia="Times New Roman" w:hAnsi="Arial" w:cs="Arial"/>
          <w:color w:val="3A3B3D"/>
          <w:sz w:val="19"/>
          <w:szCs w:val="19"/>
        </w:rPr>
        <w:br/>
      </w:r>
      <w:r w:rsidRPr="0077758D">
        <w:rPr>
          <w:rFonts w:ascii="Arial" w:eastAsia="Times New Roman" w:hAnsi="Arial" w:cs="Arial"/>
          <w:color w:val="3A3B3D"/>
          <w:sz w:val="19"/>
          <w:szCs w:val="19"/>
          <w:shd w:val="clear" w:color="auto" w:fill="FFFFFF"/>
        </w:rPr>
        <w:t>The Ph.D. in Engineering comprises 90 credits which comprises 15 academic credits and 75 thesis credits. </w:t>
      </w:r>
      <w:r w:rsidRPr="0077758D">
        <w:rPr>
          <w:rFonts w:ascii="Arial" w:eastAsia="Times New Roman" w:hAnsi="Arial" w:cs="Arial"/>
          <w:color w:val="3A3B3D"/>
          <w:sz w:val="19"/>
          <w:szCs w:val="19"/>
        </w:rPr>
        <w:br/>
      </w:r>
      <w:r w:rsidRPr="0077758D">
        <w:rPr>
          <w:rFonts w:ascii="Arial" w:eastAsia="Times New Roman" w:hAnsi="Arial" w:cs="Arial"/>
          <w:color w:val="3A3B3D"/>
          <w:sz w:val="19"/>
          <w:szCs w:val="19"/>
        </w:rPr>
        <w:br/>
      </w:r>
      <w:r w:rsidRPr="0077758D">
        <w:rPr>
          <w:rFonts w:ascii="inherit" w:eastAsia="Times New Roman" w:hAnsi="inherit" w:cs="Arial"/>
          <w:b/>
          <w:bCs/>
          <w:color w:val="3366FF"/>
          <w:sz w:val="19"/>
          <w:szCs w:val="19"/>
          <w:bdr w:val="none" w:sz="0" w:space="0" w:color="auto" w:frame="1"/>
          <w:shd w:val="clear" w:color="auto" w:fill="FFFFFF"/>
        </w:rPr>
        <w:t>Applied Research profile (3014)</w:t>
      </w:r>
      <w:r w:rsidRPr="0077758D">
        <w:rPr>
          <w:rFonts w:ascii="Arial" w:eastAsia="Times New Roman" w:hAnsi="Arial" w:cs="Arial"/>
          <w:color w:val="3A3B3D"/>
          <w:sz w:val="19"/>
          <w:szCs w:val="19"/>
          <w:shd w:val="clear" w:color="auto" w:fill="FFFFFF"/>
        </w:rPr>
        <w:t> </w:t>
      </w:r>
      <w:r w:rsidRPr="0077758D">
        <w:rPr>
          <w:rFonts w:ascii="Arial" w:eastAsia="Times New Roman" w:hAnsi="Arial" w:cs="Arial"/>
          <w:b/>
          <w:bCs/>
          <w:color w:val="3A3B3D"/>
          <w:sz w:val="19"/>
          <w:szCs w:val="19"/>
          <w:bdr w:val="none" w:sz="0" w:space="0" w:color="auto" w:frame="1"/>
          <w:shd w:val="clear" w:color="auto" w:fill="FFFFFF"/>
        </w:rPr>
        <w:t>(profile offered in French or in English)</w:t>
      </w:r>
      <w:r w:rsidRPr="0077758D">
        <w:rPr>
          <w:rFonts w:ascii="Arial" w:eastAsia="Times New Roman" w:hAnsi="Arial" w:cs="Arial"/>
          <w:color w:val="3A3B3D"/>
          <w:sz w:val="19"/>
          <w:szCs w:val="19"/>
        </w:rPr>
        <w:br/>
      </w:r>
      <w:r w:rsidRPr="0077758D">
        <w:rPr>
          <w:rFonts w:ascii="Arial" w:eastAsia="Times New Roman" w:hAnsi="Arial" w:cs="Arial"/>
          <w:color w:val="3A3B3D"/>
          <w:sz w:val="19"/>
          <w:szCs w:val="19"/>
        </w:rPr>
        <w:br/>
      </w:r>
      <w:r w:rsidRPr="0077758D">
        <w:rPr>
          <w:rFonts w:ascii="Times New Roman" w:eastAsia="Times New Roman" w:hAnsi="Times New Roman" w:cs="Times New Roman"/>
          <w:noProof/>
          <w:sz w:val="24"/>
          <w:szCs w:val="24"/>
        </w:rPr>
        <w:drawing>
          <wp:inline distT="0" distB="0" distL="0" distR="0">
            <wp:extent cx="84455" cy="84455"/>
            <wp:effectExtent l="0" t="0" r="0" b="0"/>
            <wp:docPr id="1" name="Picture 1" descr="https://en.etsmtl.ca/ETS/media/ImagesETS/Icone/Fleche/fl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etsmtl.ca/ETS/media/ImagesETS/Icone/Fleche/fl_noi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77758D">
        <w:rPr>
          <w:rFonts w:ascii="Arial" w:eastAsia="Times New Roman" w:hAnsi="Arial" w:cs="Arial"/>
          <w:color w:val="3A3B3D"/>
          <w:sz w:val="19"/>
          <w:szCs w:val="19"/>
          <w:shd w:val="clear" w:color="auto" w:fill="FFFFFF"/>
        </w:rPr>
        <w:t> </w:t>
      </w:r>
      <w:r w:rsidRPr="000C272E">
        <w:rPr>
          <w:rFonts w:ascii="Arial" w:eastAsia="Times New Roman" w:hAnsi="Arial" w:cs="Arial"/>
          <w:b/>
          <w:bCs/>
          <w:color w:val="3A3B3D"/>
          <w:sz w:val="19"/>
          <w:szCs w:val="19"/>
          <w:highlight w:val="yellow"/>
          <w:bdr w:val="none" w:sz="0" w:space="0" w:color="auto" w:frame="1"/>
          <w:shd w:val="clear" w:color="auto" w:fill="FFFFFF"/>
        </w:rPr>
        <w:t>2 optional courses (6 cr.)</w:t>
      </w:r>
      <w:r w:rsidRPr="0077758D">
        <w:rPr>
          <w:rFonts w:ascii="Arial" w:eastAsia="Times New Roman" w:hAnsi="Arial" w:cs="Arial"/>
          <w:b/>
          <w:bCs/>
          <w:color w:val="3A3B3D"/>
          <w:sz w:val="19"/>
          <w:szCs w:val="19"/>
          <w:bdr w:val="none" w:sz="0" w:space="0" w:color="auto" w:frame="1"/>
          <w:shd w:val="clear" w:color="auto" w:fill="FFFFFF"/>
        </w:rPr>
        <w:t xml:space="preserve"> chosen from among the bank of graduate and Ph.D. level engineering courses available at ÉTS*, with the exception of MTR871</w:t>
      </w:r>
      <w:r w:rsidRPr="0077758D">
        <w:rPr>
          <w:rFonts w:ascii="Arial" w:eastAsia="Times New Roman" w:hAnsi="Arial" w:cs="Arial"/>
          <w:b/>
          <w:bCs/>
          <w:color w:val="3A3B3D"/>
          <w:sz w:val="19"/>
          <w:szCs w:val="19"/>
          <w:bdr w:val="none" w:sz="0" w:space="0" w:color="auto" w:frame="1"/>
          <w:shd w:val="clear" w:color="auto" w:fill="FFFFFF"/>
        </w:rPr>
        <w:br/>
        <w:t>AND</w:t>
      </w:r>
    </w:p>
    <w:p w:rsidR="0077758D" w:rsidRPr="0077758D" w:rsidRDefault="0077758D" w:rsidP="0077758D">
      <w:pPr>
        <w:spacing w:after="0" w:line="240" w:lineRule="auto"/>
        <w:textAlignment w:val="baseline"/>
        <w:rPr>
          <w:rFonts w:ascii="inherit" w:eastAsia="Times New Roman" w:hAnsi="inherit" w:cs="Arial"/>
          <w:color w:val="3A3B3D"/>
          <w:sz w:val="19"/>
          <w:szCs w:val="19"/>
        </w:rPr>
      </w:pPr>
      <w:r w:rsidRPr="0077758D">
        <w:rPr>
          <w:rFonts w:ascii="inherit" w:eastAsia="Times New Roman" w:hAnsi="inherit" w:cs="Arial"/>
          <w:b/>
          <w:bCs/>
          <w:color w:val="3A3B3D"/>
          <w:sz w:val="19"/>
          <w:szCs w:val="19"/>
          <w:bdr w:val="none" w:sz="0" w:space="0" w:color="auto" w:frame="1"/>
        </w:rPr>
        <w:t>DGA1030 – Doctoral Exam</w:t>
      </w:r>
      <w:r w:rsidRPr="0077758D">
        <w:rPr>
          <w:rFonts w:ascii="inherit" w:eastAsia="Times New Roman" w:hAnsi="inherit" w:cs="Arial"/>
          <w:color w:val="3A3B3D"/>
          <w:sz w:val="19"/>
          <w:szCs w:val="19"/>
        </w:rPr>
        <w:t> (</w:t>
      </w:r>
      <w:r w:rsidRPr="0077758D">
        <w:rPr>
          <w:rFonts w:ascii="inherit" w:eastAsia="Times New Roman" w:hAnsi="inherit" w:cs="Arial"/>
          <w:b/>
          <w:color w:val="3A3B3D"/>
          <w:sz w:val="19"/>
          <w:szCs w:val="19"/>
        </w:rPr>
        <w:t>9 cr</w:t>
      </w:r>
      <w:r w:rsidRPr="0077758D">
        <w:rPr>
          <w:rFonts w:ascii="inherit" w:eastAsia="Times New Roman" w:hAnsi="inherit" w:cs="Arial"/>
          <w:color w:val="3A3B3D"/>
          <w:sz w:val="19"/>
          <w:szCs w:val="19"/>
        </w:rPr>
        <w:t>.)</w:t>
      </w:r>
    </w:p>
    <w:p w:rsidR="0077758D" w:rsidRPr="0077758D" w:rsidRDefault="0077758D" w:rsidP="0077758D">
      <w:pPr>
        <w:shd w:val="clear" w:color="auto" w:fill="FFFFFF"/>
        <w:spacing w:after="0" w:line="240" w:lineRule="auto"/>
        <w:textAlignment w:val="baseline"/>
        <w:rPr>
          <w:rFonts w:ascii="inherit" w:eastAsia="Times New Roman" w:hAnsi="inherit" w:cs="Arial"/>
          <w:color w:val="3A3B3D"/>
          <w:sz w:val="19"/>
          <w:szCs w:val="19"/>
        </w:rPr>
      </w:pPr>
      <w:r w:rsidRPr="0077758D">
        <w:rPr>
          <w:rFonts w:ascii="inherit" w:eastAsia="Times New Roman" w:hAnsi="inherit" w:cs="Arial"/>
          <w:color w:val="3A3B3D"/>
          <w:sz w:val="19"/>
          <w:szCs w:val="19"/>
        </w:rPr>
        <w:t>DGA1031 Research problematics</w:t>
      </w:r>
      <w:r w:rsidRPr="0077758D">
        <w:rPr>
          <w:rFonts w:ascii="inherit" w:eastAsia="Times New Roman" w:hAnsi="inherit" w:cs="Arial"/>
          <w:color w:val="3A3B3D"/>
          <w:sz w:val="19"/>
          <w:szCs w:val="19"/>
        </w:rPr>
        <w:br/>
        <w:t>DGA1032 Written exam</w:t>
      </w:r>
      <w:r w:rsidRPr="0077758D">
        <w:rPr>
          <w:rFonts w:ascii="inherit" w:eastAsia="Times New Roman" w:hAnsi="inherit" w:cs="Arial"/>
          <w:color w:val="3A3B3D"/>
          <w:sz w:val="19"/>
          <w:szCs w:val="19"/>
        </w:rPr>
        <w:br/>
        <w:t>DGA1033 Oral exam</w:t>
      </w:r>
      <w:r w:rsidRPr="0077758D">
        <w:rPr>
          <w:rFonts w:ascii="inherit" w:eastAsia="Times New Roman" w:hAnsi="inherit" w:cs="Arial"/>
          <w:color w:val="3A3B3D"/>
          <w:sz w:val="19"/>
          <w:szCs w:val="19"/>
        </w:rPr>
        <w:br/>
      </w:r>
      <w:r w:rsidRPr="0077758D">
        <w:rPr>
          <w:rFonts w:ascii="inherit" w:eastAsia="Times New Roman" w:hAnsi="inherit" w:cs="Arial"/>
          <w:color w:val="3A3B3D"/>
          <w:sz w:val="19"/>
          <w:szCs w:val="19"/>
        </w:rPr>
        <w:br/>
      </w:r>
      <w:proofErr w:type="gramStart"/>
      <w:r w:rsidRPr="0077758D">
        <w:rPr>
          <w:rFonts w:ascii="inherit" w:eastAsia="Times New Roman" w:hAnsi="inherit" w:cs="Arial"/>
          <w:color w:val="3A3B3D"/>
          <w:sz w:val="19"/>
          <w:szCs w:val="19"/>
        </w:rPr>
        <w:t>Evaluate</w:t>
      </w:r>
      <w:proofErr w:type="gramEnd"/>
      <w:r w:rsidRPr="0077758D">
        <w:rPr>
          <w:rFonts w:ascii="inherit" w:eastAsia="Times New Roman" w:hAnsi="inherit" w:cs="Arial"/>
          <w:color w:val="3A3B3D"/>
          <w:sz w:val="19"/>
          <w:szCs w:val="19"/>
        </w:rPr>
        <w:t xml:space="preserve"> the research project, along with the student’s acquired knowledge and ability to carry out the research leading up to the thesis. The objective of this activity is to ensure that the student possesses a wide range of knowledge in the various engineering disciplines with a view to incorporating this knowledge into the design process. The activity comprises three steps, which must be carried out in the following order: research problematics, a written exam, and an oral exam before a panel of examiners.</w:t>
      </w:r>
    </w:p>
    <w:p w:rsidR="0077758D" w:rsidRPr="0077758D" w:rsidRDefault="0077758D" w:rsidP="0077758D">
      <w:pPr>
        <w:spacing w:after="0" w:line="240" w:lineRule="auto"/>
        <w:textAlignment w:val="baseline"/>
        <w:rPr>
          <w:rFonts w:ascii="inherit" w:eastAsia="Times New Roman" w:hAnsi="inherit" w:cs="Arial"/>
          <w:color w:val="3A3B3D"/>
          <w:sz w:val="19"/>
          <w:szCs w:val="19"/>
        </w:rPr>
      </w:pPr>
      <w:r w:rsidRPr="0077758D">
        <w:rPr>
          <w:rFonts w:ascii="inherit" w:eastAsia="Times New Roman" w:hAnsi="inherit" w:cs="Arial"/>
          <w:b/>
          <w:bCs/>
          <w:color w:val="3A3B3D"/>
          <w:sz w:val="19"/>
          <w:szCs w:val="19"/>
          <w:bdr w:val="none" w:sz="0" w:space="0" w:color="auto" w:frame="1"/>
        </w:rPr>
        <w:t>DGA1095 – Doctoral thesis – Applied Research profile</w:t>
      </w:r>
      <w:r w:rsidRPr="0077758D">
        <w:rPr>
          <w:rFonts w:ascii="inherit" w:eastAsia="Times New Roman" w:hAnsi="inherit" w:cs="Arial"/>
          <w:color w:val="3A3B3D"/>
          <w:sz w:val="19"/>
          <w:szCs w:val="19"/>
        </w:rPr>
        <w:t> (</w:t>
      </w:r>
      <w:r w:rsidRPr="0077758D">
        <w:rPr>
          <w:rFonts w:ascii="inherit" w:eastAsia="Times New Roman" w:hAnsi="inherit" w:cs="Arial"/>
          <w:b/>
          <w:color w:val="3A3B3D"/>
          <w:sz w:val="19"/>
          <w:szCs w:val="19"/>
        </w:rPr>
        <w:t>75 cr</w:t>
      </w:r>
      <w:r w:rsidRPr="0077758D">
        <w:rPr>
          <w:rFonts w:ascii="inherit" w:eastAsia="Times New Roman" w:hAnsi="inherit" w:cs="Arial"/>
          <w:color w:val="3A3B3D"/>
          <w:sz w:val="19"/>
          <w:szCs w:val="19"/>
        </w:rPr>
        <w:t>.)</w:t>
      </w:r>
    </w:p>
    <w:p w:rsidR="0077758D" w:rsidRPr="0077758D" w:rsidRDefault="0077758D" w:rsidP="0077758D">
      <w:pPr>
        <w:shd w:val="clear" w:color="auto" w:fill="FFFFFF"/>
        <w:spacing w:after="0" w:line="240" w:lineRule="auto"/>
        <w:textAlignment w:val="baseline"/>
        <w:rPr>
          <w:rFonts w:ascii="inherit" w:eastAsia="Times New Roman" w:hAnsi="inherit" w:cs="Arial"/>
          <w:color w:val="3A3B3D"/>
          <w:sz w:val="19"/>
          <w:szCs w:val="19"/>
        </w:rPr>
      </w:pPr>
      <w:r w:rsidRPr="0077758D">
        <w:rPr>
          <w:rFonts w:ascii="inherit" w:eastAsia="Times New Roman" w:hAnsi="inherit" w:cs="Arial"/>
          <w:color w:val="3A3B3D"/>
          <w:sz w:val="19"/>
          <w:szCs w:val="19"/>
        </w:rPr>
        <w:t>The doctoral thesis comprises an original research project with a defined or undefined subject that is carried out within the context of a joint project in industry. The work must lead to the advancement of knowledge in the engineering field. ÉTS encourages carrying out research projects within a company setting.</w:t>
      </w:r>
    </w:p>
    <w:p w:rsidR="0077758D" w:rsidRPr="0077758D" w:rsidRDefault="0077758D" w:rsidP="0077758D">
      <w:pPr>
        <w:shd w:val="clear" w:color="auto" w:fill="FFFFFF"/>
        <w:spacing w:after="0" w:line="240" w:lineRule="auto"/>
        <w:textAlignment w:val="baseline"/>
        <w:rPr>
          <w:rFonts w:ascii="Arial" w:eastAsia="Times New Roman" w:hAnsi="Arial" w:cs="Arial"/>
          <w:color w:val="3A3B3D"/>
          <w:sz w:val="19"/>
          <w:szCs w:val="19"/>
        </w:rPr>
      </w:pPr>
      <w:r w:rsidRPr="0077758D">
        <w:rPr>
          <w:rFonts w:ascii="Arial" w:eastAsia="Times New Roman" w:hAnsi="Arial" w:cs="Arial"/>
          <w:color w:val="3A3B3D"/>
          <w:sz w:val="19"/>
          <w:szCs w:val="19"/>
        </w:rPr>
        <w:br/>
        <w:t xml:space="preserve">* </w:t>
      </w:r>
      <w:r w:rsidRPr="0077758D">
        <w:rPr>
          <w:rFonts w:ascii="Arial" w:eastAsia="Times New Roman" w:hAnsi="Arial" w:cs="Arial"/>
          <w:b/>
          <w:color w:val="3A3B3D"/>
          <w:sz w:val="19"/>
          <w:szCs w:val="19"/>
          <w:highlight w:val="yellow"/>
        </w:rPr>
        <w:t>Up to 6 course credits can be earned in another educational institution, following approval</w:t>
      </w:r>
      <w:r w:rsidRPr="0077758D">
        <w:rPr>
          <w:rFonts w:ascii="Arial" w:eastAsia="Times New Roman" w:hAnsi="Arial" w:cs="Arial"/>
          <w:b/>
          <w:color w:val="3A3B3D"/>
          <w:sz w:val="19"/>
          <w:szCs w:val="19"/>
        </w:rPr>
        <w:t>.</w:t>
      </w:r>
      <w:r w:rsidRPr="0077758D">
        <w:rPr>
          <w:rFonts w:ascii="Arial" w:eastAsia="Times New Roman" w:hAnsi="Arial" w:cs="Arial"/>
          <w:color w:val="3A3B3D"/>
          <w:sz w:val="19"/>
          <w:szCs w:val="19"/>
        </w:rPr>
        <w:t> </w:t>
      </w:r>
      <w:r w:rsidRPr="0077758D">
        <w:rPr>
          <w:rFonts w:ascii="Arial" w:eastAsia="Times New Roman" w:hAnsi="Arial" w:cs="Arial"/>
          <w:color w:val="3A3B3D"/>
          <w:sz w:val="19"/>
          <w:szCs w:val="19"/>
        </w:rPr>
        <w:br/>
      </w:r>
      <w:r w:rsidRPr="0077758D">
        <w:rPr>
          <w:rFonts w:ascii="Arial" w:eastAsia="Times New Roman" w:hAnsi="Arial" w:cs="Arial"/>
          <w:color w:val="3A3B3D"/>
          <w:sz w:val="19"/>
          <w:szCs w:val="19"/>
        </w:rPr>
        <w:br/>
        <w:t>Students who intend to pursue a career in higher education can take courses in Teaching for Higher Education from the Graduate Studies Short Program offered by UQAM as credit courses.</w:t>
      </w:r>
    </w:p>
    <w:p w:rsidR="0077758D" w:rsidRDefault="0077758D">
      <w:pPr>
        <w:pBdr>
          <w:bottom w:val="single" w:sz="6" w:space="1" w:color="auto"/>
        </w:pBdr>
      </w:pPr>
    </w:p>
    <w:p w:rsidR="00167558" w:rsidRDefault="00167558">
      <w:r>
        <w:t>Authorization to transfer credits</w:t>
      </w:r>
    </w:p>
    <w:p w:rsidR="00167558" w:rsidRDefault="005E0579">
      <w:hyperlink r:id="rId5" w:history="1">
        <w:r w:rsidR="00167558" w:rsidRPr="00167558">
          <w:rPr>
            <w:rStyle w:val="Hyperlink"/>
          </w:rPr>
          <w:t>https://mobilite-cours.crepuq.qc.ca/4DSTATIC/ENAccueil.html</w:t>
        </w:r>
      </w:hyperlink>
    </w:p>
    <w:p w:rsidR="000F56FE" w:rsidRDefault="000F56FE"/>
    <w:p w:rsidR="000F56FE" w:rsidRDefault="005E0579">
      <w:pPr>
        <w:pBdr>
          <w:bottom w:val="single" w:sz="6" w:space="1" w:color="auto"/>
        </w:pBdr>
      </w:pPr>
      <w:hyperlink r:id="rId6" w:anchor="course-descriptions" w:tgtFrame="_blank" w:history="1">
        <w:r w:rsidR="000F56FE">
          <w:rPr>
            <w:rStyle w:val="Hyperlink"/>
            <w:rFonts w:ascii="Arial" w:hAnsi="Arial" w:cs="Arial"/>
            <w:color w:val="1155CC"/>
            <w:sz w:val="19"/>
            <w:szCs w:val="19"/>
            <w:shd w:val="clear" w:color="auto" w:fill="FFFFFF"/>
          </w:rPr>
          <w:t>http://www.concordia.ca/academics/graduate/calendar/current/encs/compsoen.html#course-descriptions</w:t>
        </w:r>
      </w:hyperlink>
    </w:p>
    <w:p w:rsidR="005E0579" w:rsidRDefault="005E0579">
      <w:pPr>
        <w:rPr>
          <w:b/>
        </w:rPr>
      </w:pPr>
      <w:proofErr w:type="spellStart"/>
      <w:r w:rsidRPr="005E0579">
        <w:rPr>
          <w:b/>
        </w:rPr>
        <w:t>Cheminot</w:t>
      </w:r>
      <w:proofErr w:type="spellEnd"/>
    </w:p>
    <w:p w:rsidR="005E0579" w:rsidRPr="005E0579" w:rsidRDefault="005E0579">
      <w:pPr>
        <w:rPr>
          <w:b/>
        </w:rPr>
      </w:pPr>
      <w:r>
        <w:rPr>
          <w:noProof/>
        </w:rPr>
        <w:lastRenderedPageBreak/>
        <w:drawing>
          <wp:inline distT="0" distB="0" distL="0" distR="0" wp14:anchorId="4A1D3484" wp14:editId="3FC63CEE">
            <wp:extent cx="4124325" cy="437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4371975"/>
                    </a:xfrm>
                    <a:prstGeom prst="rect">
                      <a:avLst/>
                    </a:prstGeom>
                  </pic:spPr>
                </pic:pic>
              </a:graphicData>
            </a:graphic>
          </wp:inline>
        </w:drawing>
      </w:r>
      <w:bookmarkStart w:id="0" w:name="_GoBack"/>
      <w:bookmarkEnd w:id="0"/>
    </w:p>
    <w:sectPr w:rsidR="005E0579" w:rsidRPr="005E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8D"/>
    <w:rsid w:val="000A51C0"/>
    <w:rsid w:val="000C272E"/>
    <w:rsid w:val="000F56FE"/>
    <w:rsid w:val="00167558"/>
    <w:rsid w:val="005E0579"/>
    <w:rsid w:val="0077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CA349-6419-4712-9A40-10B1D928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58D"/>
    <w:rPr>
      <w:color w:val="0563C1" w:themeColor="hyperlink"/>
      <w:u w:val="single"/>
    </w:rPr>
  </w:style>
  <w:style w:type="character" w:styleId="Strong">
    <w:name w:val="Strong"/>
    <w:basedOn w:val="DefaultParagraphFont"/>
    <w:uiPriority w:val="22"/>
    <w:qFormat/>
    <w:rsid w:val="00777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989688">
      <w:bodyDiv w:val="1"/>
      <w:marLeft w:val="0"/>
      <w:marRight w:val="0"/>
      <w:marTop w:val="0"/>
      <w:marBottom w:val="0"/>
      <w:divBdr>
        <w:top w:val="none" w:sz="0" w:space="0" w:color="auto"/>
        <w:left w:val="none" w:sz="0" w:space="0" w:color="auto"/>
        <w:bottom w:val="none" w:sz="0" w:space="0" w:color="auto"/>
        <w:right w:val="none" w:sz="0" w:space="0" w:color="auto"/>
      </w:divBdr>
      <w:divsChild>
        <w:div w:id="1346177320">
          <w:marLeft w:val="0"/>
          <w:marRight w:val="0"/>
          <w:marTop w:val="450"/>
          <w:marBottom w:val="30"/>
          <w:divBdr>
            <w:top w:val="none" w:sz="0" w:space="0" w:color="auto"/>
            <w:left w:val="none" w:sz="0" w:space="0" w:color="auto"/>
            <w:bottom w:val="none" w:sz="0" w:space="0" w:color="auto"/>
            <w:right w:val="none" w:sz="0" w:space="0" w:color="auto"/>
          </w:divBdr>
        </w:div>
        <w:div w:id="1367488876">
          <w:marLeft w:val="0"/>
          <w:marRight w:val="0"/>
          <w:marTop w:val="0"/>
          <w:marBottom w:val="0"/>
          <w:divBdr>
            <w:top w:val="none" w:sz="0" w:space="0" w:color="auto"/>
            <w:left w:val="none" w:sz="0" w:space="0" w:color="auto"/>
            <w:bottom w:val="none" w:sz="0" w:space="0" w:color="auto"/>
            <w:right w:val="none" w:sz="0" w:space="0" w:color="auto"/>
          </w:divBdr>
        </w:div>
        <w:div w:id="2028093769">
          <w:marLeft w:val="0"/>
          <w:marRight w:val="0"/>
          <w:marTop w:val="0"/>
          <w:marBottom w:val="0"/>
          <w:divBdr>
            <w:top w:val="none" w:sz="0" w:space="0" w:color="auto"/>
            <w:left w:val="none" w:sz="0" w:space="0" w:color="auto"/>
            <w:bottom w:val="none" w:sz="0" w:space="0" w:color="auto"/>
            <w:right w:val="none" w:sz="0" w:space="0" w:color="auto"/>
          </w:divBdr>
        </w:div>
        <w:div w:id="586495659">
          <w:marLeft w:val="0"/>
          <w:marRight w:val="0"/>
          <w:marTop w:val="0"/>
          <w:marBottom w:val="0"/>
          <w:divBdr>
            <w:top w:val="none" w:sz="0" w:space="0" w:color="auto"/>
            <w:left w:val="none" w:sz="0" w:space="0" w:color="auto"/>
            <w:bottom w:val="none" w:sz="0" w:space="0" w:color="auto"/>
            <w:right w:val="none" w:sz="0" w:space="0" w:color="auto"/>
          </w:divBdr>
        </w:div>
        <w:div w:id="174741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cordia.ca/academics/graduate/calendar/current/encs/compsoen.html" TargetMode="External"/><Relationship Id="rId5" Type="http://schemas.openxmlformats.org/officeDocument/2006/relationships/hyperlink" Target="https://mobilite-cours.crepuq.qc.ca/4DSTATIC/ENAccueil.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Hajj</dc:creator>
  <cp:keywords/>
  <dc:description/>
  <cp:lastModifiedBy>Fadi Hajj</cp:lastModifiedBy>
  <cp:revision>5</cp:revision>
  <dcterms:created xsi:type="dcterms:W3CDTF">2018-02-26T21:03:00Z</dcterms:created>
  <dcterms:modified xsi:type="dcterms:W3CDTF">2018-02-26T21:16:00Z</dcterms:modified>
</cp:coreProperties>
</file>