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B8A" w:rsidRPr="00224B8A" w:rsidRDefault="00224B8A" w:rsidP="00224B8A">
      <w:pPr>
        <w:widowControl w:val="0"/>
        <w:jc w:val="center"/>
        <w:rPr>
          <w:b/>
          <w:sz w:val="26"/>
          <w:szCs w:val="26"/>
        </w:rPr>
      </w:pPr>
      <w:r w:rsidRPr="00224B8A">
        <w:rPr>
          <w:b/>
          <w:sz w:val="26"/>
          <w:szCs w:val="26"/>
        </w:rPr>
        <w:t>NGHIÊN CỨU THÀNH PHẦN HÓA HỌC VÀ HOẠT TÍNH</w:t>
      </w:r>
      <w:r w:rsidRPr="00224B8A">
        <w:rPr>
          <w:b/>
          <w:sz w:val="26"/>
          <w:szCs w:val="26"/>
        </w:rPr>
        <w:br/>
        <w:t>SINH HỌC CỦA TINH DẦU CÂY GIỔI XANH</w:t>
      </w:r>
      <w:r w:rsidRPr="00224B8A">
        <w:rPr>
          <w:b/>
          <w:sz w:val="26"/>
          <w:szCs w:val="26"/>
        </w:rPr>
        <w:br/>
        <w:t>(</w:t>
      </w:r>
      <w:r w:rsidRPr="00224B8A">
        <w:rPr>
          <w:b/>
          <w:i/>
          <w:sz w:val="26"/>
          <w:szCs w:val="26"/>
        </w:rPr>
        <w:t>MICHELIA MEDIOCRIS</w:t>
      </w:r>
      <w:r w:rsidRPr="00224B8A">
        <w:rPr>
          <w:b/>
          <w:sz w:val="26"/>
          <w:szCs w:val="26"/>
        </w:rPr>
        <w:t>) Ở TỈNH QUẢNG BÌNH</w:t>
      </w:r>
    </w:p>
    <w:p w:rsidR="00224B8A" w:rsidRPr="00224B8A" w:rsidRDefault="00224B8A" w:rsidP="00224B8A">
      <w:pPr>
        <w:widowControl w:val="0"/>
        <w:jc w:val="center"/>
        <w:rPr>
          <w:b/>
          <w:sz w:val="24"/>
          <w:szCs w:val="26"/>
        </w:rPr>
      </w:pPr>
    </w:p>
    <w:p w:rsidR="00224B8A" w:rsidRPr="00224B8A" w:rsidRDefault="00224B8A" w:rsidP="00224B8A">
      <w:pPr>
        <w:jc w:val="center"/>
        <w:rPr>
          <w:b/>
          <w:sz w:val="24"/>
          <w:szCs w:val="24"/>
        </w:rPr>
      </w:pPr>
      <w:r w:rsidRPr="00224B8A">
        <w:rPr>
          <w:b/>
          <w:sz w:val="24"/>
          <w:szCs w:val="24"/>
        </w:rPr>
        <w:t>Lý Thị Thu Hoài</w:t>
      </w:r>
      <w:r w:rsidRPr="00224B8A">
        <w:rPr>
          <w:b/>
          <w:sz w:val="24"/>
          <w:szCs w:val="24"/>
          <w:vertAlign w:val="superscript"/>
        </w:rPr>
        <w:t>1</w:t>
      </w:r>
      <w:r w:rsidRPr="00224B8A">
        <w:rPr>
          <w:b/>
          <w:sz w:val="24"/>
          <w:szCs w:val="24"/>
        </w:rPr>
        <w:t>, Phạm Mỹ Chinh</w:t>
      </w:r>
      <w:r w:rsidRPr="00224B8A">
        <w:rPr>
          <w:b/>
          <w:sz w:val="24"/>
          <w:szCs w:val="24"/>
          <w:vertAlign w:val="superscript"/>
        </w:rPr>
        <w:t>1</w:t>
      </w:r>
      <w:r w:rsidRPr="00224B8A">
        <w:rPr>
          <w:b/>
          <w:sz w:val="24"/>
          <w:szCs w:val="24"/>
        </w:rPr>
        <w:t>, Đỗ Quỳnh Như</w:t>
      </w:r>
      <w:r w:rsidRPr="00224B8A">
        <w:rPr>
          <w:b/>
          <w:sz w:val="24"/>
          <w:szCs w:val="24"/>
          <w:vertAlign w:val="superscript"/>
        </w:rPr>
        <w:t>1</w:t>
      </w:r>
      <w:r w:rsidRPr="00224B8A">
        <w:rPr>
          <w:b/>
          <w:sz w:val="24"/>
          <w:szCs w:val="24"/>
        </w:rPr>
        <w:t>, Trần Thị Phương Thảo</w:t>
      </w:r>
      <w:r w:rsidRPr="00224B8A">
        <w:rPr>
          <w:b/>
          <w:sz w:val="24"/>
          <w:szCs w:val="24"/>
          <w:vertAlign w:val="superscript"/>
        </w:rPr>
        <w:t xml:space="preserve">2 </w:t>
      </w:r>
    </w:p>
    <w:p w:rsidR="00224B8A" w:rsidRPr="00224B8A" w:rsidRDefault="00224B8A" w:rsidP="00224B8A">
      <w:pPr>
        <w:spacing w:before="120"/>
        <w:jc w:val="center"/>
        <w:rPr>
          <w:i/>
          <w:sz w:val="24"/>
          <w:szCs w:val="24"/>
        </w:rPr>
      </w:pPr>
      <w:r w:rsidRPr="00224B8A">
        <w:rPr>
          <w:i/>
          <w:sz w:val="24"/>
          <w:szCs w:val="24"/>
          <w:vertAlign w:val="superscript"/>
        </w:rPr>
        <w:t>1</w:t>
      </w:r>
      <w:r w:rsidRPr="00224B8A">
        <w:rPr>
          <w:i/>
          <w:sz w:val="24"/>
          <w:szCs w:val="24"/>
        </w:rPr>
        <w:t>Trường Đại học Quảng Bình</w:t>
      </w:r>
    </w:p>
    <w:p w:rsidR="00224B8A" w:rsidRPr="00224B8A" w:rsidRDefault="00224B8A" w:rsidP="00224B8A">
      <w:pPr>
        <w:ind w:firstLine="567"/>
        <w:jc w:val="center"/>
        <w:rPr>
          <w:i/>
          <w:sz w:val="24"/>
          <w:szCs w:val="24"/>
        </w:rPr>
      </w:pPr>
      <w:r w:rsidRPr="00224B8A">
        <w:rPr>
          <w:sz w:val="24"/>
          <w:szCs w:val="24"/>
          <w:vertAlign w:val="superscript"/>
        </w:rPr>
        <w:t>2</w:t>
      </w:r>
      <w:r w:rsidRPr="00224B8A">
        <w:rPr>
          <w:i/>
          <w:sz w:val="24"/>
          <w:szCs w:val="24"/>
        </w:rPr>
        <w:t>Viện Hóa học, Viện Hàn lâm Khoa học và Công nghệ Việt Nam</w:t>
      </w:r>
    </w:p>
    <w:p w:rsidR="00224B8A" w:rsidRPr="00224B8A" w:rsidRDefault="00224B8A" w:rsidP="00224B8A">
      <w:pPr>
        <w:ind w:firstLine="567"/>
        <w:jc w:val="center"/>
        <w:rPr>
          <w:i/>
          <w:sz w:val="24"/>
          <w:szCs w:val="24"/>
        </w:rPr>
      </w:pPr>
    </w:p>
    <w:p w:rsidR="00224B8A" w:rsidRPr="00224B8A" w:rsidRDefault="00224B8A" w:rsidP="00224B8A">
      <w:pPr>
        <w:spacing w:line="288" w:lineRule="auto"/>
        <w:ind w:firstLine="567"/>
        <w:jc w:val="both"/>
        <w:rPr>
          <w:i/>
          <w:sz w:val="22"/>
          <w:szCs w:val="22"/>
        </w:rPr>
      </w:pPr>
      <w:r w:rsidRPr="00224B8A">
        <w:rPr>
          <w:b/>
          <w:i/>
          <w:sz w:val="22"/>
          <w:szCs w:val="22"/>
        </w:rPr>
        <w:t xml:space="preserve">Tóm tắt. </w:t>
      </w:r>
      <w:r w:rsidRPr="00224B8A">
        <w:rPr>
          <w:i/>
          <w:sz w:val="22"/>
          <w:szCs w:val="22"/>
        </w:rPr>
        <w:t xml:space="preserve">Thành phần hóa học tinh dầu lá cây giổi xanh (Michelia Mediocris Dandy) ở Quảng Bình được phân tích bằng phương pháp GC/MS cho thấy  thành phần chính là các hợp chất thuộc loại terpenoid. Trong đó, một số hợp chất có hàm lượng tương đối lớn đã được xác định như: β-pinene (15,86%), Caryophyllene oxide (9,43%), α-pinene (4,92%), (E)-caryophylene (β-caryophylene; (4,40%)... Kết quả thử hoạt tính sinh học của tinh dầu cành cây giổi xanh cho thấy, mẫu tinh dầu có hoạt tính kháng khuẩn chọn lọc đối với chủng vi khuẩn Bacillus subtilis. Đặc biệt, mẫu tinh dầu cành và lá cây giổi xanh đều có hoạt tính cao trên cả hai dòng tế bào ung thư KB (ung thư biểu mô) và Hep-G2 (ung thư gan). </w:t>
      </w:r>
    </w:p>
    <w:p w:rsidR="00224B8A" w:rsidRPr="00224B8A" w:rsidRDefault="00224B8A" w:rsidP="00224B8A">
      <w:pPr>
        <w:spacing w:line="288" w:lineRule="auto"/>
        <w:ind w:firstLine="567"/>
        <w:jc w:val="both"/>
        <w:rPr>
          <w:sz w:val="18"/>
          <w:szCs w:val="22"/>
        </w:rPr>
      </w:pPr>
    </w:p>
    <w:p w:rsidR="00224B8A" w:rsidRPr="00224B8A" w:rsidRDefault="00224B8A" w:rsidP="00224B8A">
      <w:pPr>
        <w:widowControl w:val="0"/>
        <w:ind w:firstLine="567"/>
        <w:jc w:val="both"/>
        <w:rPr>
          <w:b/>
          <w:i/>
          <w:sz w:val="22"/>
          <w:szCs w:val="22"/>
        </w:rPr>
      </w:pPr>
      <w:r w:rsidRPr="00224B8A">
        <w:rPr>
          <w:b/>
          <w:i/>
          <w:sz w:val="22"/>
          <w:szCs w:val="22"/>
        </w:rPr>
        <w:t xml:space="preserve">Từ khóa: </w:t>
      </w:r>
      <w:r w:rsidRPr="00224B8A">
        <w:rPr>
          <w:i/>
          <w:sz w:val="22"/>
          <w:szCs w:val="22"/>
        </w:rPr>
        <w:t>Cây giổi xanh, michelia mediocris, tinh dầu, terpen</w:t>
      </w:r>
    </w:p>
    <w:p w:rsidR="009B3F6D" w:rsidRPr="000121E3" w:rsidRDefault="009B3F6D" w:rsidP="00596CDF">
      <w:pPr>
        <w:widowControl w:val="0"/>
        <w:jc w:val="both"/>
        <w:rPr>
          <w:b/>
          <w:sz w:val="26"/>
          <w:szCs w:val="26"/>
        </w:rPr>
      </w:pPr>
    </w:p>
    <w:p w:rsidR="00596CDF" w:rsidRPr="000121E3" w:rsidRDefault="00596CDF" w:rsidP="00286F2C">
      <w:pPr>
        <w:widowControl w:val="0"/>
        <w:spacing w:before="120" w:after="120"/>
        <w:jc w:val="both"/>
        <w:rPr>
          <w:b/>
          <w:sz w:val="24"/>
          <w:szCs w:val="26"/>
        </w:rPr>
        <w:sectPr w:rsidR="00596CDF" w:rsidRPr="000121E3" w:rsidSect="00E05CDD">
          <w:footerReference w:type="even" r:id="rId8"/>
          <w:footerReference w:type="default" r:id="rId9"/>
          <w:pgSz w:w="10773" w:h="15309" w:code="9"/>
          <w:pgMar w:top="1134" w:right="1134" w:bottom="1134" w:left="1134" w:header="720" w:footer="505" w:gutter="0"/>
          <w:cols w:space="720"/>
          <w:docGrid w:linePitch="6827"/>
        </w:sectPr>
      </w:pPr>
    </w:p>
    <w:p w:rsidR="004B6553" w:rsidRPr="000121E3" w:rsidRDefault="00315771" w:rsidP="00286F2C">
      <w:pPr>
        <w:widowControl w:val="0"/>
        <w:spacing w:before="120" w:after="120"/>
        <w:jc w:val="both"/>
        <w:rPr>
          <w:b/>
          <w:sz w:val="24"/>
          <w:szCs w:val="24"/>
        </w:rPr>
      </w:pPr>
      <w:r w:rsidRPr="000121E3">
        <w:rPr>
          <w:b/>
          <w:sz w:val="26"/>
          <w:szCs w:val="26"/>
        </w:rPr>
        <w:lastRenderedPageBreak/>
        <w:t>1</w:t>
      </w:r>
      <w:r w:rsidR="00D17B9D" w:rsidRPr="000121E3">
        <w:rPr>
          <w:b/>
          <w:sz w:val="24"/>
          <w:szCs w:val="24"/>
        </w:rPr>
        <w:t xml:space="preserve">. </w:t>
      </w:r>
      <w:r w:rsidR="00880F74" w:rsidRPr="000121E3">
        <w:rPr>
          <w:b/>
          <w:sz w:val="24"/>
          <w:szCs w:val="24"/>
        </w:rPr>
        <w:t>MỞ ĐẦU</w:t>
      </w:r>
    </w:p>
    <w:p w:rsidR="00F7110F" w:rsidRPr="000121E3" w:rsidRDefault="00F7110F" w:rsidP="00B21429">
      <w:pPr>
        <w:pStyle w:val="NormalWeb"/>
        <w:shd w:val="clear" w:color="auto" w:fill="FFFFFF"/>
        <w:spacing w:before="0" w:beforeAutospacing="0" w:after="0" w:afterAutospacing="0" w:line="288" w:lineRule="auto"/>
        <w:ind w:firstLine="567"/>
        <w:jc w:val="both"/>
        <w:rPr>
          <w:lang w:val="en-US"/>
        </w:rPr>
      </w:pPr>
      <w:r w:rsidRPr="000121E3">
        <w:t xml:space="preserve">Cây </w:t>
      </w:r>
      <w:r w:rsidRPr="000121E3">
        <w:rPr>
          <w:lang w:val="en-US"/>
        </w:rPr>
        <w:t xml:space="preserve">giổi xanh thuộc </w:t>
      </w:r>
      <w:r w:rsidR="00C82806" w:rsidRPr="000121E3">
        <w:rPr>
          <w:lang w:val="en-US"/>
        </w:rPr>
        <w:t>chi g</w:t>
      </w:r>
      <w:r w:rsidR="008D0391" w:rsidRPr="000121E3">
        <w:rPr>
          <w:lang w:val="en-US"/>
        </w:rPr>
        <w:t>iổi (</w:t>
      </w:r>
      <w:r w:rsidR="008D0391" w:rsidRPr="000121E3">
        <w:rPr>
          <w:i/>
          <w:lang w:val="en-US"/>
        </w:rPr>
        <w:t xml:space="preserve">Michelia) </w:t>
      </w:r>
      <w:r w:rsidRPr="000121E3">
        <w:rPr>
          <w:lang w:val="en-US"/>
        </w:rPr>
        <w:t>họ Ngọc Lan</w:t>
      </w:r>
      <w:r w:rsidR="008D0391" w:rsidRPr="000121E3">
        <w:rPr>
          <w:lang w:val="en-US"/>
        </w:rPr>
        <w:t xml:space="preserve"> (</w:t>
      </w:r>
      <w:r w:rsidR="008D0391" w:rsidRPr="000121E3">
        <w:rPr>
          <w:bCs/>
          <w:i/>
        </w:rPr>
        <w:t>Magnoliaceae</w:t>
      </w:r>
      <w:r w:rsidR="008D0391" w:rsidRPr="000121E3">
        <w:rPr>
          <w:bCs/>
          <w:i/>
          <w:lang w:val="en-US"/>
        </w:rPr>
        <w:t>)</w:t>
      </w:r>
      <w:r w:rsidRPr="000121E3">
        <w:rPr>
          <w:lang w:val="en-US"/>
        </w:rPr>
        <w:t xml:space="preserve">, là loài cây </w:t>
      </w:r>
      <w:r w:rsidRPr="000121E3">
        <w:t xml:space="preserve">gỗ lớn, cao 25-35m, </w:t>
      </w:r>
      <w:r w:rsidRPr="000121E3">
        <w:rPr>
          <w:lang w:val="en-US"/>
        </w:rPr>
        <w:t>t</w:t>
      </w:r>
      <w:r w:rsidRPr="000121E3">
        <w:t xml:space="preserve">hân thẳng, tròn đều, phân cành cao. Vỏ xám, nhẵn, bong nhẹ. </w:t>
      </w:r>
      <w:r w:rsidR="006313B9" w:rsidRPr="000121E3">
        <w:t>Lá đơn hình bầu dục</w:t>
      </w:r>
      <w:r w:rsidR="006313B9" w:rsidRPr="000121E3">
        <w:rPr>
          <w:lang w:val="en-US"/>
        </w:rPr>
        <w:t xml:space="preserve"> </w:t>
      </w:r>
      <w:r w:rsidRPr="000121E3">
        <w:t>dài 8-15cm, rộng 3-5cm. Gân bên 10-16 đôi. Hoa đơn độc mọc đầu cành, cuống có lông, cánh hoa màu trắng. Quả kép dà</w:t>
      </w:r>
      <w:r w:rsidR="00DC0030" w:rsidRPr="000121E3">
        <w:t>i 6 -10cm, gồm nhiề</w:t>
      </w:r>
      <w:r w:rsidR="00DC0030" w:rsidRPr="000121E3">
        <w:rPr>
          <w:lang w:val="en-US"/>
        </w:rPr>
        <w:t>u</w:t>
      </w:r>
      <w:r w:rsidRPr="000121E3">
        <w:t xml:space="preserve"> hạt màu đỏ. Cây ưa sáng, sinh trưởng tương đối nhanh, tái sinh hạt tốt. Cây non chịu bóng nhẹ. Mùa ra hoa tháng 3-4, quả chín tháng 9-10</w:t>
      </w:r>
      <w:r w:rsidR="0000545C" w:rsidRPr="000121E3">
        <w:rPr>
          <w:lang w:val="en-US"/>
        </w:rPr>
        <w:t xml:space="preserve"> </w:t>
      </w:r>
      <w:r w:rsidRPr="000121E3">
        <w:t>[</w:t>
      </w:r>
      <w:r w:rsidR="00A90B7A" w:rsidRPr="000121E3">
        <w:rPr>
          <w:lang w:val="en-US"/>
        </w:rPr>
        <w:t>2</w:t>
      </w:r>
      <w:r w:rsidR="000A3E52" w:rsidRPr="000121E3">
        <w:rPr>
          <w:lang w:val="en-US"/>
        </w:rPr>
        <w:t>,</w:t>
      </w:r>
      <w:r w:rsidR="00A90B7A" w:rsidRPr="000121E3">
        <w:rPr>
          <w:lang w:val="en-US"/>
        </w:rPr>
        <w:t>3</w:t>
      </w:r>
      <w:r w:rsidRPr="000121E3">
        <w:t>]</w:t>
      </w:r>
      <w:r w:rsidR="0000545C" w:rsidRPr="000121E3">
        <w:rPr>
          <w:lang w:val="en-US"/>
        </w:rPr>
        <w:t>.</w:t>
      </w:r>
    </w:p>
    <w:p w:rsidR="00B838F5" w:rsidRPr="000121E3" w:rsidRDefault="00C82302" w:rsidP="00B21429">
      <w:pPr>
        <w:shd w:val="clear" w:color="auto" w:fill="FFFFFF"/>
        <w:spacing w:line="288" w:lineRule="auto"/>
        <w:ind w:firstLine="567"/>
        <w:jc w:val="both"/>
        <w:rPr>
          <w:sz w:val="24"/>
          <w:szCs w:val="24"/>
        </w:rPr>
      </w:pPr>
      <w:r w:rsidRPr="000121E3">
        <w:rPr>
          <w:sz w:val="24"/>
          <w:szCs w:val="24"/>
          <w:shd w:val="clear" w:color="auto" w:fill="FFFFFF"/>
        </w:rPr>
        <w:t>Người dân thường</w:t>
      </w:r>
      <w:r w:rsidR="00F7110F" w:rsidRPr="000121E3">
        <w:rPr>
          <w:sz w:val="24"/>
          <w:szCs w:val="24"/>
          <w:shd w:val="clear" w:color="auto" w:fill="FFFFFF"/>
        </w:rPr>
        <w:t xml:space="preserve"> thu hái </w:t>
      </w:r>
      <w:r w:rsidRPr="000121E3">
        <w:rPr>
          <w:sz w:val="24"/>
          <w:szCs w:val="24"/>
          <w:shd w:val="clear" w:color="auto" w:fill="FFFFFF"/>
        </w:rPr>
        <w:t>các bộ ph</w:t>
      </w:r>
      <w:r w:rsidR="006313B9" w:rsidRPr="000121E3">
        <w:rPr>
          <w:sz w:val="24"/>
          <w:szCs w:val="24"/>
          <w:shd w:val="clear" w:color="auto" w:fill="FFFFFF"/>
        </w:rPr>
        <w:t>ậ</w:t>
      </w:r>
      <w:r w:rsidRPr="000121E3">
        <w:rPr>
          <w:sz w:val="24"/>
          <w:szCs w:val="24"/>
          <w:shd w:val="clear" w:color="auto" w:fill="FFFFFF"/>
        </w:rPr>
        <w:t>n</w:t>
      </w:r>
      <w:r w:rsidR="00F7110F" w:rsidRPr="000121E3">
        <w:rPr>
          <w:sz w:val="24"/>
          <w:szCs w:val="24"/>
          <w:shd w:val="clear" w:color="auto" w:fill="FFFFFF"/>
        </w:rPr>
        <w:t xml:space="preserve"> </w:t>
      </w:r>
      <w:r w:rsidR="00025EE5" w:rsidRPr="000121E3">
        <w:rPr>
          <w:sz w:val="24"/>
          <w:szCs w:val="24"/>
          <w:shd w:val="clear" w:color="auto" w:fill="FFFFFF"/>
        </w:rPr>
        <w:t xml:space="preserve">của cây </w:t>
      </w:r>
      <w:r w:rsidR="0041118A" w:rsidRPr="000121E3">
        <w:rPr>
          <w:sz w:val="24"/>
          <w:szCs w:val="24"/>
          <w:shd w:val="clear" w:color="auto" w:fill="FFFFFF"/>
        </w:rPr>
        <w:t>theo tỉ lệ</w:t>
      </w:r>
      <w:r w:rsidR="006313B9" w:rsidRPr="000121E3">
        <w:rPr>
          <w:sz w:val="24"/>
          <w:szCs w:val="24"/>
          <w:shd w:val="clear" w:color="auto" w:fill="FFFFFF"/>
        </w:rPr>
        <w:t xml:space="preserve"> khoảng 63% thân rễ, 22% rễ và 15% thân trên mặt đất, </w:t>
      </w:r>
      <w:r w:rsidR="00F7110F" w:rsidRPr="000121E3">
        <w:rPr>
          <w:sz w:val="24"/>
          <w:szCs w:val="24"/>
          <w:shd w:val="clear" w:color="auto" w:fill="FFFFFF"/>
        </w:rPr>
        <w:t>cắt thành từng đoạn dài 10-20cm, đường kính l-3cm</w:t>
      </w:r>
      <w:r w:rsidRPr="000121E3">
        <w:rPr>
          <w:sz w:val="24"/>
          <w:szCs w:val="24"/>
          <w:shd w:val="clear" w:color="auto" w:fill="FFFFFF"/>
        </w:rPr>
        <w:t xml:space="preserve"> </w:t>
      </w:r>
      <w:r w:rsidR="0041118A" w:rsidRPr="000121E3">
        <w:rPr>
          <w:sz w:val="24"/>
          <w:szCs w:val="24"/>
          <w:shd w:val="clear" w:color="auto" w:fill="FFFFFF"/>
        </w:rPr>
        <w:t xml:space="preserve">để </w:t>
      </w:r>
      <w:r w:rsidRPr="000121E3">
        <w:rPr>
          <w:sz w:val="24"/>
          <w:szCs w:val="24"/>
          <w:shd w:val="clear" w:color="auto" w:fill="FFFFFF"/>
        </w:rPr>
        <w:t>dùng làm thuốc</w:t>
      </w:r>
      <w:r w:rsidR="00F7110F" w:rsidRPr="000121E3">
        <w:rPr>
          <w:sz w:val="24"/>
          <w:szCs w:val="24"/>
          <w:shd w:val="clear" w:color="auto" w:fill="FFFFFF"/>
        </w:rPr>
        <w:t xml:space="preserve">. Thuốc </w:t>
      </w:r>
      <w:r w:rsidR="006313B9" w:rsidRPr="000121E3">
        <w:rPr>
          <w:sz w:val="24"/>
          <w:szCs w:val="24"/>
          <w:shd w:val="clear" w:color="auto" w:fill="FFFFFF"/>
        </w:rPr>
        <w:t xml:space="preserve">có </w:t>
      </w:r>
      <w:r w:rsidR="00F7110F" w:rsidRPr="000121E3">
        <w:rPr>
          <w:sz w:val="24"/>
          <w:szCs w:val="24"/>
          <w:shd w:val="clear" w:color="auto" w:fill="FFFFFF"/>
        </w:rPr>
        <w:t>vị nhạt, hơi hắc [</w:t>
      </w:r>
      <w:r w:rsidR="0041118A" w:rsidRPr="000121E3">
        <w:rPr>
          <w:sz w:val="24"/>
          <w:szCs w:val="24"/>
          <w:shd w:val="clear" w:color="auto" w:fill="FFFFFF"/>
        </w:rPr>
        <w:t>1</w:t>
      </w:r>
      <w:r w:rsidR="00F7110F" w:rsidRPr="000121E3">
        <w:rPr>
          <w:sz w:val="24"/>
          <w:szCs w:val="24"/>
          <w:shd w:val="clear" w:color="auto" w:fill="FFFFFF"/>
        </w:rPr>
        <w:t>].</w:t>
      </w:r>
      <w:r w:rsidRPr="000121E3">
        <w:rPr>
          <w:sz w:val="24"/>
          <w:szCs w:val="24"/>
          <w:shd w:val="clear" w:color="auto" w:fill="FFFFFF"/>
        </w:rPr>
        <w:t xml:space="preserve"> </w:t>
      </w:r>
      <w:r w:rsidR="0041118A" w:rsidRPr="000121E3">
        <w:rPr>
          <w:bCs/>
          <w:sz w:val="24"/>
          <w:szCs w:val="24"/>
        </w:rPr>
        <w:t>Hạt c</w:t>
      </w:r>
      <w:r w:rsidR="00F7110F" w:rsidRPr="000121E3">
        <w:rPr>
          <w:bCs/>
          <w:sz w:val="24"/>
          <w:szCs w:val="24"/>
        </w:rPr>
        <w:t xml:space="preserve">ây </w:t>
      </w:r>
      <w:r w:rsidRPr="000121E3">
        <w:rPr>
          <w:bCs/>
          <w:sz w:val="24"/>
          <w:szCs w:val="24"/>
        </w:rPr>
        <w:t>g</w:t>
      </w:r>
      <w:r w:rsidR="00F7110F" w:rsidRPr="000121E3">
        <w:rPr>
          <w:bCs/>
          <w:sz w:val="24"/>
          <w:szCs w:val="24"/>
        </w:rPr>
        <w:t xml:space="preserve">iổi xanh </w:t>
      </w:r>
      <w:r w:rsidRPr="000121E3">
        <w:rPr>
          <w:bCs/>
          <w:sz w:val="24"/>
          <w:szCs w:val="24"/>
        </w:rPr>
        <w:t xml:space="preserve">còn </w:t>
      </w:r>
      <w:r w:rsidR="00F7110F" w:rsidRPr="000121E3">
        <w:rPr>
          <w:bCs/>
          <w:sz w:val="24"/>
          <w:szCs w:val="24"/>
        </w:rPr>
        <w:t xml:space="preserve">được dùng làm thuốc chữa đau bụng, ăn uống không tiêu, ho khan ở người lâu </w:t>
      </w:r>
      <w:r w:rsidR="00F7110F" w:rsidRPr="000121E3">
        <w:rPr>
          <w:bCs/>
          <w:sz w:val="24"/>
          <w:szCs w:val="24"/>
        </w:rPr>
        <w:lastRenderedPageBreak/>
        <w:t xml:space="preserve">năm, </w:t>
      </w:r>
      <w:r w:rsidR="0041118A" w:rsidRPr="000121E3">
        <w:rPr>
          <w:bCs/>
          <w:sz w:val="24"/>
          <w:szCs w:val="24"/>
        </w:rPr>
        <w:t xml:space="preserve">xoa bóp khi đau nhức, thấp khớp,… </w:t>
      </w:r>
      <w:r w:rsidR="00F7110F" w:rsidRPr="000121E3">
        <w:rPr>
          <w:bCs/>
          <w:sz w:val="24"/>
          <w:szCs w:val="24"/>
        </w:rPr>
        <w:t>sử dụn</w:t>
      </w:r>
      <w:r w:rsidR="000A0FA2" w:rsidRPr="000121E3">
        <w:rPr>
          <w:bCs/>
          <w:sz w:val="24"/>
          <w:szCs w:val="24"/>
        </w:rPr>
        <w:t>g để làm gi</w:t>
      </w:r>
      <w:r w:rsidR="00F7110F" w:rsidRPr="000121E3">
        <w:rPr>
          <w:bCs/>
          <w:sz w:val="24"/>
          <w:szCs w:val="24"/>
        </w:rPr>
        <w:t xml:space="preserve">a vị trong các bữa ăn. </w:t>
      </w:r>
      <w:r w:rsidR="0041118A" w:rsidRPr="000121E3">
        <w:rPr>
          <w:bCs/>
          <w:sz w:val="24"/>
          <w:szCs w:val="24"/>
        </w:rPr>
        <w:t>Vỏ</w:t>
      </w:r>
      <w:r w:rsidR="00F7110F" w:rsidRPr="000121E3">
        <w:rPr>
          <w:bCs/>
          <w:sz w:val="24"/>
          <w:szCs w:val="24"/>
        </w:rPr>
        <w:t xml:space="preserve"> cây </w:t>
      </w:r>
      <w:r w:rsidR="00314FF4" w:rsidRPr="000121E3">
        <w:rPr>
          <w:bCs/>
          <w:sz w:val="24"/>
          <w:szCs w:val="24"/>
        </w:rPr>
        <w:t>g</w:t>
      </w:r>
      <w:r w:rsidR="00F7110F" w:rsidRPr="000121E3">
        <w:rPr>
          <w:bCs/>
          <w:sz w:val="24"/>
          <w:szCs w:val="24"/>
        </w:rPr>
        <w:t xml:space="preserve">iổi xanh cũng được sử </w:t>
      </w:r>
      <w:r w:rsidR="000A3E52" w:rsidRPr="000121E3">
        <w:rPr>
          <w:bCs/>
          <w:sz w:val="24"/>
          <w:szCs w:val="24"/>
        </w:rPr>
        <w:t>dụng để làm thuốc chữa sốt...</w:t>
      </w:r>
      <w:r w:rsidR="00C82806" w:rsidRPr="000121E3">
        <w:rPr>
          <w:bCs/>
          <w:sz w:val="24"/>
          <w:szCs w:val="24"/>
        </w:rPr>
        <w:t xml:space="preserve"> </w:t>
      </w:r>
      <w:r w:rsidR="000A3E52" w:rsidRPr="000121E3">
        <w:rPr>
          <w:bCs/>
          <w:sz w:val="24"/>
          <w:szCs w:val="24"/>
        </w:rPr>
        <w:t>[3</w:t>
      </w:r>
      <w:r w:rsidR="00F7110F" w:rsidRPr="000121E3">
        <w:rPr>
          <w:bCs/>
          <w:sz w:val="24"/>
          <w:szCs w:val="24"/>
        </w:rPr>
        <w:t>].</w:t>
      </w:r>
      <w:r w:rsidRPr="000121E3">
        <w:rPr>
          <w:bCs/>
          <w:sz w:val="24"/>
          <w:szCs w:val="24"/>
        </w:rPr>
        <w:t xml:space="preserve"> </w:t>
      </w:r>
      <w:r w:rsidR="00CE11A8" w:rsidRPr="000121E3">
        <w:rPr>
          <w:sz w:val="24"/>
          <w:szCs w:val="24"/>
        </w:rPr>
        <w:t xml:space="preserve">Trên cơ sở đó, chúng tôi tiến hành nghiên cứu thành phần hóa học </w:t>
      </w:r>
      <w:r w:rsidRPr="000121E3">
        <w:rPr>
          <w:sz w:val="24"/>
          <w:szCs w:val="24"/>
        </w:rPr>
        <w:t xml:space="preserve">và hoạt tính sinh học của </w:t>
      </w:r>
      <w:r w:rsidR="00CE11A8" w:rsidRPr="000121E3">
        <w:rPr>
          <w:sz w:val="24"/>
          <w:szCs w:val="24"/>
        </w:rPr>
        <w:t xml:space="preserve">tinh dầu </w:t>
      </w:r>
      <w:r w:rsidRPr="000121E3">
        <w:rPr>
          <w:sz w:val="24"/>
          <w:szCs w:val="24"/>
        </w:rPr>
        <w:t xml:space="preserve">một số bộ phận </w:t>
      </w:r>
      <w:r w:rsidR="002232C7" w:rsidRPr="000121E3">
        <w:rPr>
          <w:sz w:val="24"/>
          <w:szCs w:val="24"/>
        </w:rPr>
        <w:t>cây giổi xanh</w:t>
      </w:r>
      <w:r w:rsidRPr="000121E3">
        <w:rPr>
          <w:sz w:val="24"/>
          <w:szCs w:val="24"/>
        </w:rPr>
        <w:t xml:space="preserve"> </w:t>
      </w:r>
      <w:r w:rsidR="00CE11A8" w:rsidRPr="000121E3">
        <w:rPr>
          <w:sz w:val="24"/>
          <w:szCs w:val="24"/>
        </w:rPr>
        <w:t>nhằm đánh giá khả năng chiết xuất, ứng dụng của loài cây này trong y học và đời sống.</w:t>
      </w:r>
    </w:p>
    <w:p w:rsidR="00876074" w:rsidRPr="000121E3" w:rsidRDefault="00315771" w:rsidP="00286F2C">
      <w:pPr>
        <w:widowControl w:val="0"/>
        <w:spacing w:before="120" w:after="120"/>
        <w:jc w:val="both"/>
        <w:rPr>
          <w:b/>
          <w:sz w:val="24"/>
          <w:szCs w:val="24"/>
        </w:rPr>
      </w:pPr>
      <w:r w:rsidRPr="000121E3">
        <w:rPr>
          <w:b/>
          <w:sz w:val="24"/>
          <w:szCs w:val="24"/>
        </w:rPr>
        <w:t>2</w:t>
      </w:r>
      <w:r w:rsidR="00876074" w:rsidRPr="000121E3">
        <w:rPr>
          <w:b/>
          <w:sz w:val="24"/>
          <w:szCs w:val="24"/>
        </w:rPr>
        <w:t>. THỰC NGHIỆM</w:t>
      </w:r>
    </w:p>
    <w:p w:rsidR="00B57F08" w:rsidRPr="000121E3" w:rsidRDefault="00315771" w:rsidP="00C25FD0">
      <w:pPr>
        <w:widowControl w:val="0"/>
        <w:spacing w:after="120"/>
        <w:jc w:val="both"/>
        <w:rPr>
          <w:b/>
          <w:sz w:val="24"/>
          <w:szCs w:val="24"/>
        </w:rPr>
      </w:pPr>
      <w:r w:rsidRPr="000121E3">
        <w:rPr>
          <w:b/>
          <w:sz w:val="24"/>
          <w:szCs w:val="24"/>
        </w:rPr>
        <w:t>2</w:t>
      </w:r>
      <w:r w:rsidR="001C1317" w:rsidRPr="000121E3">
        <w:rPr>
          <w:b/>
          <w:sz w:val="24"/>
          <w:szCs w:val="24"/>
        </w:rPr>
        <w:t xml:space="preserve">.1. </w:t>
      </w:r>
      <w:r w:rsidR="00A23340" w:rsidRPr="000121E3">
        <w:rPr>
          <w:b/>
          <w:sz w:val="24"/>
          <w:szCs w:val="24"/>
        </w:rPr>
        <w:t xml:space="preserve">Thu </w:t>
      </w:r>
      <w:r w:rsidR="00074651" w:rsidRPr="000121E3">
        <w:rPr>
          <w:b/>
          <w:sz w:val="24"/>
          <w:szCs w:val="24"/>
        </w:rPr>
        <w:t>và xử lý mẫu</w:t>
      </w:r>
    </w:p>
    <w:p w:rsidR="00074651" w:rsidRPr="000121E3" w:rsidRDefault="00611E82" w:rsidP="00B21429">
      <w:pPr>
        <w:widowControl w:val="0"/>
        <w:spacing w:line="288" w:lineRule="auto"/>
        <w:ind w:firstLine="567"/>
        <w:jc w:val="both"/>
        <w:rPr>
          <w:sz w:val="24"/>
          <w:szCs w:val="24"/>
        </w:rPr>
      </w:pPr>
      <w:r w:rsidRPr="000121E3">
        <w:rPr>
          <w:sz w:val="24"/>
          <w:szCs w:val="24"/>
        </w:rPr>
        <w:t>Mẫu cây</w:t>
      </w:r>
      <w:r w:rsidR="00BC4F20" w:rsidRPr="000121E3">
        <w:rPr>
          <w:sz w:val="24"/>
          <w:szCs w:val="24"/>
        </w:rPr>
        <w:t xml:space="preserve"> giổi xanh được sử dụng để tách chiết tinh dầu phải tươi, không bị hư hỏng, dập, úa, khô</w:t>
      </w:r>
      <w:r w:rsidR="000E0750" w:rsidRPr="000121E3">
        <w:rPr>
          <w:sz w:val="24"/>
          <w:szCs w:val="24"/>
        </w:rPr>
        <w:t xml:space="preserve">ng bị sâu bệnh. </w:t>
      </w:r>
      <w:r w:rsidRPr="000121E3">
        <w:rPr>
          <w:sz w:val="24"/>
          <w:szCs w:val="24"/>
        </w:rPr>
        <w:t>Mẫu sau khi lấy về tiến hành</w:t>
      </w:r>
      <w:r w:rsidR="00BC4F20" w:rsidRPr="000121E3">
        <w:rPr>
          <w:sz w:val="24"/>
          <w:szCs w:val="24"/>
        </w:rPr>
        <w:t xml:space="preserve"> </w:t>
      </w:r>
      <w:r w:rsidR="00525E97" w:rsidRPr="000121E3">
        <w:rPr>
          <w:sz w:val="24"/>
          <w:szCs w:val="24"/>
        </w:rPr>
        <w:t xml:space="preserve">tách riêng bộ phận cành và lá, </w:t>
      </w:r>
      <w:r w:rsidR="00BC4F20" w:rsidRPr="000121E3">
        <w:rPr>
          <w:sz w:val="24"/>
          <w:szCs w:val="24"/>
        </w:rPr>
        <w:t>xử lý sơ bộ nhằm loại bỏ các tạp chất cơ học chứa lẫn như cành vụn, đất cát, tạp chất ảnh hưởng đến kết quả nghiên cứu và được bảo quản nơi khô ráo, tránh ánh nắng mặt trời. Mẫu c</w:t>
      </w:r>
      <w:r w:rsidR="00074651" w:rsidRPr="000121E3">
        <w:rPr>
          <w:sz w:val="24"/>
          <w:szCs w:val="24"/>
        </w:rPr>
        <w:t xml:space="preserve">ây </w:t>
      </w:r>
      <w:r w:rsidR="00074651" w:rsidRPr="000121E3">
        <w:rPr>
          <w:sz w:val="24"/>
          <w:szCs w:val="24"/>
        </w:rPr>
        <w:lastRenderedPageBreak/>
        <w:t>giổi xanh được thu</w:t>
      </w:r>
      <w:r w:rsidR="00E05CDD" w:rsidRPr="000121E3">
        <w:rPr>
          <w:sz w:val="24"/>
          <w:szCs w:val="24"/>
        </w:rPr>
        <w:t xml:space="preserve"> hái gồm hai loại:</w:t>
      </w:r>
    </w:p>
    <w:p w:rsidR="00074651" w:rsidRPr="000121E3" w:rsidRDefault="00074651" w:rsidP="00596CDF">
      <w:pPr>
        <w:spacing w:line="288" w:lineRule="auto"/>
        <w:ind w:firstLine="567"/>
        <w:jc w:val="both"/>
        <w:rPr>
          <w:sz w:val="24"/>
          <w:szCs w:val="24"/>
        </w:rPr>
      </w:pPr>
      <w:r w:rsidRPr="000121E3">
        <w:rPr>
          <w:i/>
          <w:sz w:val="24"/>
          <w:szCs w:val="24"/>
        </w:rPr>
        <w:t>Loại thứ nhất:</w:t>
      </w:r>
      <w:r w:rsidR="00C82806" w:rsidRPr="000121E3">
        <w:rPr>
          <w:sz w:val="24"/>
          <w:szCs w:val="24"/>
        </w:rPr>
        <w:t xml:space="preserve"> thu hái tại V</w:t>
      </w:r>
      <w:r w:rsidRPr="000121E3">
        <w:rPr>
          <w:sz w:val="24"/>
          <w:szCs w:val="24"/>
        </w:rPr>
        <w:t>ườn Quốc gia Phong Nha</w:t>
      </w:r>
      <w:r w:rsidR="00A17961" w:rsidRPr="000121E3">
        <w:rPr>
          <w:sz w:val="24"/>
          <w:szCs w:val="24"/>
        </w:rPr>
        <w:t xml:space="preserve"> - </w:t>
      </w:r>
      <w:r w:rsidRPr="000121E3">
        <w:rPr>
          <w:sz w:val="24"/>
          <w:szCs w:val="24"/>
        </w:rPr>
        <w:t>Kẻ Bàng</w:t>
      </w:r>
      <w:r w:rsidR="005047B2" w:rsidRPr="000121E3">
        <w:rPr>
          <w:sz w:val="24"/>
          <w:szCs w:val="24"/>
        </w:rPr>
        <w:t xml:space="preserve"> vào tháng 2 năm 2018</w:t>
      </w:r>
      <w:r w:rsidRPr="000121E3">
        <w:rPr>
          <w:sz w:val="24"/>
          <w:szCs w:val="24"/>
        </w:rPr>
        <w:t>, là cây rừng từ 15</w:t>
      </w:r>
      <w:r w:rsidR="00A17961" w:rsidRPr="000121E3">
        <w:rPr>
          <w:sz w:val="24"/>
          <w:szCs w:val="24"/>
        </w:rPr>
        <w:t>-</w:t>
      </w:r>
      <w:r w:rsidRPr="000121E3">
        <w:rPr>
          <w:sz w:val="24"/>
          <w:szCs w:val="24"/>
        </w:rPr>
        <w:t xml:space="preserve">20 </w:t>
      </w:r>
      <w:r w:rsidRPr="000121E3">
        <w:rPr>
          <w:sz w:val="24"/>
          <w:szCs w:val="24"/>
        </w:rPr>
        <w:lastRenderedPageBreak/>
        <w:t>năm</w:t>
      </w:r>
      <w:r w:rsidR="00BC4F20" w:rsidRPr="000121E3">
        <w:rPr>
          <w:sz w:val="24"/>
          <w:szCs w:val="24"/>
        </w:rPr>
        <w:t>, thân</w:t>
      </w:r>
      <w:r w:rsidRPr="000121E3">
        <w:rPr>
          <w:sz w:val="24"/>
          <w:szCs w:val="24"/>
        </w:rPr>
        <w:t xml:space="preserve"> gỗ l</w:t>
      </w:r>
      <w:r w:rsidR="00A17961" w:rsidRPr="000121E3">
        <w:rPr>
          <w:sz w:val="24"/>
          <w:szCs w:val="24"/>
        </w:rPr>
        <w:t>ớn, có kích thước cao khoảng 15</w:t>
      </w:r>
      <w:r w:rsidRPr="000121E3">
        <w:rPr>
          <w:sz w:val="24"/>
          <w:szCs w:val="24"/>
        </w:rPr>
        <w:t>-20m, đ</w:t>
      </w:r>
      <w:r w:rsidR="00A17961" w:rsidRPr="000121E3">
        <w:rPr>
          <w:sz w:val="24"/>
          <w:szCs w:val="24"/>
        </w:rPr>
        <w:t>ường kính khoảng 60</w:t>
      </w:r>
      <w:r w:rsidRPr="000121E3">
        <w:rPr>
          <w:sz w:val="24"/>
          <w:szCs w:val="24"/>
        </w:rPr>
        <w:t>-</w:t>
      </w:r>
      <w:r w:rsidR="00A17961" w:rsidRPr="000121E3">
        <w:rPr>
          <w:sz w:val="24"/>
          <w:szCs w:val="24"/>
        </w:rPr>
        <w:t>7</w:t>
      </w:r>
      <w:r w:rsidR="006302B0" w:rsidRPr="000121E3">
        <w:rPr>
          <w:sz w:val="24"/>
          <w:szCs w:val="24"/>
        </w:rPr>
        <w:t>0</w:t>
      </w:r>
      <w:r w:rsidRPr="000121E3">
        <w:rPr>
          <w:sz w:val="24"/>
          <w:szCs w:val="24"/>
        </w:rPr>
        <w:t>cm</w:t>
      </w:r>
      <w:r w:rsidR="00BC4F20" w:rsidRPr="000121E3">
        <w:rPr>
          <w:sz w:val="24"/>
          <w:szCs w:val="24"/>
        </w:rPr>
        <w:t xml:space="preserve"> (cây giổi xanh lâu năm).</w:t>
      </w:r>
    </w:p>
    <w:p w:rsidR="009B3F6D" w:rsidRPr="000121E3" w:rsidRDefault="009B3F6D" w:rsidP="00C92873">
      <w:pPr>
        <w:spacing w:line="288" w:lineRule="auto"/>
        <w:jc w:val="center"/>
        <w:rPr>
          <w:b/>
          <w:sz w:val="24"/>
          <w:szCs w:val="24"/>
        </w:rPr>
        <w:sectPr w:rsidR="009B3F6D" w:rsidRPr="000121E3" w:rsidSect="00E05CDD">
          <w:type w:val="continuous"/>
          <w:pgSz w:w="10773" w:h="15309" w:code="9"/>
          <w:pgMar w:top="1134" w:right="1134" w:bottom="1134" w:left="1134" w:header="720" w:footer="505" w:gutter="0"/>
          <w:cols w:num="2" w:space="425"/>
          <w:docGrid w:linePitch="6827"/>
        </w:sectPr>
      </w:pPr>
    </w:p>
    <w:p w:rsidR="00074651" w:rsidRPr="000121E3" w:rsidRDefault="00074651" w:rsidP="004F3090">
      <w:pPr>
        <w:spacing w:before="120" w:line="288" w:lineRule="auto"/>
        <w:jc w:val="center"/>
        <w:rPr>
          <w:b/>
          <w:sz w:val="24"/>
          <w:szCs w:val="24"/>
        </w:rPr>
      </w:pPr>
      <w:r w:rsidRPr="000121E3">
        <w:rPr>
          <w:noProof/>
          <w:sz w:val="24"/>
          <w:szCs w:val="24"/>
        </w:rPr>
        <w:lastRenderedPageBreak/>
        <w:drawing>
          <wp:inline distT="0" distB="0" distL="0" distR="0" wp14:anchorId="2C97D9FC" wp14:editId="58926473">
            <wp:extent cx="3291840" cy="2111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377798" cy="2167088"/>
                    </a:xfrm>
                    <a:prstGeom prst="rect">
                      <a:avLst/>
                    </a:prstGeom>
                    <a:noFill/>
                    <a:ln w="9525">
                      <a:noFill/>
                      <a:miter lim="800000"/>
                      <a:headEnd/>
                      <a:tailEnd/>
                    </a:ln>
                  </pic:spPr>
                </pic:pic>
              </a:graphicData>
            </a:graphic>
          </wp:inline>
        </w:drawing>
      </w:r>
    </w:p>
    <w:p w:rsidR="00074651" w:rsidRPr="00D63E1E" w:rsidRDefault="00286F2C" w:rsidP="00596CDF">
      <w:pPr>
        <w:spacing w:before="120" w:after="120"/>
        <w:jc w:val="center"/>
        <w:outlineLvl w:val="0"/>
        <w:rPr>
          <w:sz w:val="22"/>
          <w:szCs w:val="24"/>
        </w:rPr>
      </w:pPr>
      <w:bookmarkStart w:id="0" w:name="_Toc512710952"/>
      <w:r w:rsidRPr="00D63E1E">
        <w:rPr>
          <w:b/>
          <w:sz w:val="22"/>
          <w:szCs w:val="24"/>
        </w:rPr>
        <w:t xml:space="preserve">Hình 1. </w:t>
      </w:r>
      <w:r w:rsidR="00074651" w:rsidRPr="00D63E1E">
        <w:rPr>
          <w:sz w:val="22"/>
          <w:szCs w:val="24"/>
        </w:rPr>
        <w:t xml:space="preserve">Giổi xanh </w:t>
      </w:r>
      <w:r w:rsidR="00C82806" w:rsidRPr="00D63E1E">
        <w:rPr>
          <w:sz w:val="22"/>
          <w:szCs w:val="24"/>
        </w:rPr>
        <w:t>lâu năm thu hái ở V</w:t>
      </w:r>
      <w:r w:rsidR="00074651" w:rsidRPr="00D63E1E">
        <w:rPr>
          <w:sz w:val="22"/>
          <w:szCs w:val="24"/>
        </w:rPr>
        <w:t>ườn Quốc gia Phong Nha - Kẻ Bàng</w:t>
      </w:r>
      <w:bookmarkEnd w:id="0"/>
    </w:p>
    <w:p w:rsidR="009B3F6D" w:rsidRPr="000121E3" w:rsidRDefault="009B3F6D" w:rsidP="00C92873">
      <w:pPr>
        <w:spacing w:line="288" w:lineRule="auto"/>
        <w:ind w:firstLine="709"/>
        <w:jc w:val="both"/>
        <w:rPr>
          <w:i/>
          <w:sz w:val="24"/>
          <w:szCs w:val="24"/>
          <w:shd w:val="clear" w:color="auto" w:fill="FFFFFF"/>
        </w:rPr>
        <w:sectPr w:rsidR="009B3F6D" w:rsidRPr="000121E3" w:rsidSect="00E05CDD">
          <w:type w:val="continuous"/>
          <w:pgSz w:w="10773" w:h="15309" w:code="9"/>
          <w:pgMar w:top="1134" w:right="1134" w:bottom="1134" w:left="1134" w:header="720" w:footer="505" w:gutter="0"/>
          <w:cols w:space="720"/>
          <w:docGrid w:linePitch="6827"/>
        </w:sectPr>
      </w:pPr>
    </w:p>
    <w:p w:rsidR="00074651" w:rsidRPr="000121E3" w:rsidRDefault="00BC4F20" w:rsidP="00A30824">
      <w:pPr>
        <w:spacing w:line="288" w:lineRule="auto"/>
        <w:ind w:firstLine="567"/>
        <w:jc w:val="both"/>
        <w:rPr>
          <w:sz w:val="24"/>
          <w:szCs w:val="24"/>
          <w:shd w:val="clear" w:color="auto" w:fill="FFFFFF"/>
        </w:rPr>
      </w:pPr>
      <w:r w:rsidRPr="000121E3">
        <w:rPr>
          <w:i/>
          <w:sz w:val="24"/>
          <w:szCs w:val="24"/>
          <w:shd w:val="clear" w:color="auto" w:fill="FFFFFF"/>
        </w:rPr>
        <w:lastRenderedPageBreak/>
        <w:t>Loại thứ hai</w:t>
      </w:r>
      <w:r w:rsidRPr="000121E3">
        <w:rPr>
          <w:sz w:val="24"/>
          <w:szCs w:val="24"/>
          <w:shd w:val="clear" w:color="auto" w:fill="FFFFFF"/>
        </w:rPr>
        <w:t xml:space="preserve">: thu hái ở khu vực </w:t>
      </w:r>
      <w:r w:rsidR="00721A70" w:rsidRPr="000121E3">
        <w:rPr>
          <w:sz w:val="24"/>
          <w:szCs w:val="24"/>
          <w:shd w:val="clear" w:color="auto" w:fill="FFFFFF"/>
        </w:rPr>
        <w:t xml:space="preserve">thành phố </w:t>
      </w:r>
      <w:r w:rsidRPr="000121E3">
        <w:rPr>
          <w:sz w:val="24"/>
          <w:szCs w:val="24"/>
          <w:shd w:val="clear" w:color="auto" w:fill="FFFFFF"/>
        </w:rPr>
        <w:t>Đồng Hới</w:t>
      </w:r>
      <w:r w:rsidR="005047B2" w:rsidRPr="000121E3">
        <w:rPr>
          <w:sz w:val="24"/>
          <w:szCs w:val="24"/>
          <w:shd w:val="clear" w:color="auto" w:fill="FFFFFF"/>
        </w:rPr>
        <w:t xml:space="preserve"> vào tháng 4 năm 2018</w:t>
      </w:r>
      <w:r w:rsidRPr="000121E3">
        <w:rPr>
          <w:sz w:val="24"/>
          <w:szCs w:val="24"/>
          <w:shd w:val="clear" w:color="auto" w:fill="FFFFFF"/>
        </w:rPr>
        <w:t xml:space="preserve">, cây được người dân trồng </w:t>
      </w:r>
      <w:r w:rsidR="00A17961" w:rsidRPr="000121E3">
        <w:rPr>
          <w:sz w:val="24"/>
          <w:szCs w:val="24"/>
          <w:shd w:val="clear" w:color="auto" w:fill="FFFFFF"/>
        </w:rPr>
        <w:t>từ 4-</w:t>
      </w:r>
      <w:r w:rsidR="00074651" w:rsidRPr="000121E3">
        <w:rPr>
          <w:sz w:val="24"/>
          <w:szCs w:val="24"/>
          <w:shd w:val="clear" w:color="auto" w:fill="FFFFFF"/>
        </w:rPr>
        <w:t xml:space="preserve">5 </w:t>
      </w:r>
      <w:r w:rsidR="00074651" w:rsidRPr="000121E3">
        <w:rPr>
          <w:sz w:val="24"/>
          <w:szCs w:val="24"/>
          <w:shd w:val="clear" w:color="auto" w:fill="FFFFFF"/>
        </w:rPr>
        <w:lastRenderedPageBreak/>
        <w:t>năm</w:t>
      </w:r>
      <w:r w:rsidRPr="000121E3">
        <w:rPr>
          <w:sz w:val="24"/>
          <w:szCs w:val="24"/>
          <w:shd w:val="clear" w:color="auto" w:fill="FFFFFF"/>
        </w:rPr>
        <w:t>,</w:t>
      </w:r>
      <w:r w:rsidR="00A17961" w:rsidRPr="000121E3">
        <w:rPr>
          <w:sz w:val="24"/>
          <w:szCs w:val="24"/>
          <w:shd w:val="clear" w:color="auto" w:fill="FFFFFF"/>
        </w:rPr>
        <w:t xml:space="preserve"> cao khoảng 5-</w:t>
      </w:r>
      <w:r w:rsidRPr="000121E3">
        <w:rPr>
          <w:sz w:val="24"/>
          <w:szCs w:val="24"/>
          <w:shd w:val="clear" w:color="auto" w:fill="FFFFFF"/>
        </w:rPr>
        <w:t>7m (cây giổi xanh non).</w:t>
      </w:r>
    </w:p>
    <w:p w:rsidR="009B3F6D" w:rsidRPr="000121E3" w:rsidRDefault="009B3F6D" w:rsidP="00C92873">
      <w:pPr>
        <w:spacing w:line="288" w:lineRule="auto"/>
        <w:ind w:firstLine="709"/>
        <w:jc w:val="both"/>
        <w:rPr>
          <w:sz w:val="24"/>
          <w:szCs w:val="24"/>
          <w:shd w:val="clear" w:color="auto" w:fill="FFFFFF"/>
        </w:rPr>
        <w:sectPr w:rsidR="009B3F6D" w:rsidRPr="000121E3" w:rsidSect="00E05CDD">
          <w:type w:val="continuous"/>
          <w:pgSz w:w="10773" w:h="15309" w:code="9"/>
          <w:pgMar w:top="1134" w:right="1134" w:bottom="1134" w:left="1134" w:header="720" w:footer="505" w:gutter="0"/>
          <w:cols w:num="2" w:space="425"/>
          <w:docGrid w:linePitch="6827"/>
        </w:sectPr>
      </w:pPr>
    </w:p>
    <w:p w:rsidR="00074651" w:rsidRPr="000121E3" w:rsidRDefault="00074651" w:rsidP="004F3090">
      <w:pPr>
        <w:spacing w:before="120" w:line="288" w:lineRule="auto"/>
        <w:ind w:firstLine="709"/>
        <w:jc w:val="center"/>
        <w:rPr>
          <w:sz w:val="24"/>
          <w:szCs w:val="24"/>
          <w:shd w:val="clear" w:color="auto" w:fill="FFFFFF"/>
        </w:rPr>
      </w:pPr>
      <w:r w:rsidRPr="000121E3">
        <w:rPr>
          <w:noProof/>
          <w:sz w:val="24"/>
          <w:szCs w:val="24"/>
        </w:rPr>
        <w:lastRenderedPageBreak/>
        <w:drawing>
          <wp:inline distT="0" distB="0" distL="0" distR="0" wp14:anchorId="032469B2" wp14:editId="26F783F1">
            <wp:extent cx="2089330" cy="236778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156192" cy="2443559"/>
                    </a:xfrm>
                    <a:prstGeom prst="rect">
                      <a:avLst/>
                    </a:prstGeom>
                    <a:noFill/>
                    <a:ln w="9525">
                      <a:noFill/>
                      <a:miter lim="800000"/>
                      <a:headEnd/>
                      <a:tailEnd/>
                    </a:ln>
                  </pic:spPr>
                </pic:pic>
              </a:graphicData>
            </a:graphic>
          </wp:inline>
        </w:drawing>
      </w:r>
      <w:r w:rsidRPr="000121E3">
        <w:rPr>
          <w:noProof/>
          <w:sz w:val="24"/>
          <w:szCs w:val="24"/>
          <w:shd w:val="clear" w:color="auto" w:fill="FFFFFF"/>
        </w:rPr>
        <w:drawing>
          <wp:inline distT="0" distB="0" distL="0" distR="0" wp14:anchorId="008D89D3" wp14:editId="50ED22E4">
            <wp:extent cx="2168603" cy="2346015"/>
            <wp:effectExtent l="0" t="0" r="0" b="0"/>
            <wp:docPr id="9" name="Picture 9" descr="received_1853700284700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eived_1853700284700441"/>
                    <pic:cNvPicPr>
                      <a:picLocks noChangeAspect="1" noChangeArrowheads="1"/>
                    </pic:cNvPicPr>
                  </pic:nvPicPr>
                  <pic:blipFill>
                    <a:blip r:embed="rId12" cstate="print"/>
                    <a:srcRect/>
                    <a:stretch>
                      <a:fillRect/>
                    </a:stretch>
                  </pic:blipFill>
                  <pic:spPr bwMode="auto">
                    <a:xfrm>
                      <a:off x="0" y="0"/>
                      <a:ext cx="2246601" cy="2430394"/>
                    </a:xfrm>
                    <a:prstGeom prst="rect">
                      <a:avLst/>
                    </a:prstGeom>
                    <a:noFill/>
                    <a:ln w="9525">
                      <a:noFill/>
                      <a:miter lim="800000"/>
                      <a:headEnd/>
                      <a:tailEnd/>
                    </a:ln>
                  </pic:spPr>
                </pic:pic>
              </a:graphicData>
            </a:graphic>
          </wp:inline>
        </w:drawing>
      </w:r>
    </w:p>
    <w:p w:rsidR="00074651" w:rsidRPr="00D63E1E" w:rsidRDefault="00286F2C" w:rsidP="00A30824">
      <w:pPr>
        <w:spacing w:before="120" w:after="120"/>
        <w:jc w:val="center"/>
        <w:outlineLvl w:val="0"/>
        <w:rPr>
          <w:sz w:val="22"/>
          <w:szCs w:val="24"/>
        </w:rPr>
      </w:pPr>
      <w:bookmarkStart w:id="1" w:name="_Toc512710953"/>
      <w:r w:rsidRPr="00D63E1E">
        <w:rPr>
          <w:b/>
          <w:sz w:val="22"/>
          <w:szCs w:val="24"/>
        </w:rPr>
        <w:t>Hình 2.</w:t>
      </w:r>
      <w:r w:rsidR="00074651" w:rsidRPr="00D63E1E">
        <w:rPr>
          <w:b/>
          <w:sz w:val="22"/>
          <w:szCs w:val="24"/>
        </w:rPr>
        <w:t xml:space="preserve"> </w:t>
      </w:r>
      <w:r w:rsidR="00074651" w:rsidRPr="00D63E1E">
        <w:rPr>
          <w:sz w:val="22"/>
          <w:szCs w:val="24"/>
        </w:rPr>
        <w:t xml:space="preserve">Giổi xanh non thu hái ở khu vực </w:t>
      </w:r>
      <w:r w:rsidR="00C66AB9" w:rsidRPr="00D63E1E">
        <w:rPr>
          <w:sz w:val="22"/>
          <w:szCs w:val="24"/>
        </w:rPr>
        <w:t xml:space="preserve">thành phố </w:t>
      </w:r>
      <w:r w:rsidR="00074651" w:rsidRPr="00D63E1E">
        <w:rPr>
          <w:sz w:val="22"/>
          <w:szCs w:val="24"/>
        </w:rPr>
        <w:t>Đồng Hới</w:t>
      </w:r>
      <w:bookmarkEnd w:id="1"/>
    </w:p>
    <w:p w:rsidR="009B3F6D" w:rsidRPr="000121E3" w:rsidRDefault="009B3F6D" w:rsidP="00C92873">
      <w:pPr>
        <w:widowControl w:val="0"/>
        <w:spacing w:line="288" w:lineRule="auto"/>
        <w:jc w:val="both"/>
        <w:rPr>
          <w:b/>
          <w:sz w:val="24"/>
          <w:szCs w:val="24"/>
        </w:rPr>
        <w:sectPr w:rsidR="009B3F6D" w:rsidRPr="000121E3" w:rsidSect="00E05CDD">
          <w:type w:val="continuous"/>
          <w:pgSz w:w="10773" w:h="15309" w:code="9"/>
          <w:pgMar w:top="1134" w:right="1134" w:bottom="1134" w:left="1134" w:header="720" w:footer="505" w:gutter="0"/>
          <w:cols w:space="720"/>
          <w:docGrid w:linePitch="6827"/>
        </w:sectPr>
      </w:pPr>
    </w:p>
    <w:p w:rsidR="00BC4F20" w:rsidRPr="000121E3" w:rsidRDefault="00BC4F20" w:rsidP="00C25FD0">
      <w:pPr>
        <w:widowControl w:val="0"/>
        <w:spacing w:after="120"/>
        <w:jc w:val="both"/>
        <w:rPr>
          <w:b/>
          <w:sz w:val="24"/>
          <w:szCs w:val="24"/>
        </w:rPr>
      </w:pPr>
      <w:r w:rsidRPr="000121E3">
        <w:rPr>
          <w:b/>
          <w:sz w:val="24"/>
          <w:szCs w:val="24"/>
        </w:rPr>
        <w:lastRenderedPageBreak/>
        <w:t>2.2. Chiết xuất tinh dầu lá và cành cây giổi xanh bằng phương pháp chưng cất lôi cuốn hơi nước</w:t>
      </w:r>
    </w:p>
    <w:p w:rsidR="00C443C8" w:rsidRPr="000121E3" w:rsidRDefault="00BC4F20" w:rsidP="00C92873">
      <w:pPr>
        <w:widowControl w:val="0"/>
        <w:spacing w:line="288" w:lineRule="auto"/>
        <w:ind w:firstLine="567"/>
        <w:jc w:val="both"/>
        <w:rPr>
          <w:sz w:val="24"/>
          <w:szCs w:val="24"/>
        </w:rPr>
      </w:pPr>
      <w:r w:rsidRPr="000121E3">
        <w:rPr>
          <w:sz w:val="24"/>
          <w:szCs w:val="24"/>
        </w:rPr>
        <w:t xml:space="preserve">Mẫu lá và </w:t>
      </w:r>
      <w:r w:rsidR="00A17961" w:rsidRPr="000121E3">
        <w:rPr>
          <w:sz w:val="24"/>
          <w:szCs w:val="24"/>
        </w:rPr>
        <w:t>c</w:t>
      </w:r>
      <w:r w:rsidRPr="000121E3">
        <w:rPr>
          <w:sz w:val="24"/>
          <w:szCs w:val="24"/>
        </w:rPr>
        <w:t xml:space="preserve">ành </w:t>
      </w:r>
      <w:r w:rsidR="00A17961" w:rsidRPr="000121E3">
        <w:rPr>
          <w:sz w:val="24"/>
          <w:szCs w:val="24"/>
        </w:rPr>
        <w:t xml:space="preserve">cây </w:t>
      </w:r>
      <w:r w:rsidRPr="000121E3">
        <w:rPr>
          <w:sz w:val="24"/>
          <w:szCs w:val="24"/>
        </w:rPr>
        <w:t xml:space="preserve">giổi xanh sau </w:t>
      </w:r>
      <w:r w:rsidR="00A23340" w:rsidRPr="000121E3">
        <w:rPr>
          <w:sz w:val="24"/>
          <w:szCs w:val="24"/>
        </w:rPr>
        <w:t>khi xử lý sơ bộ</w:t>
      </w:r>
      <w:r w:rsidR="00525E97" w:rsidRPr="000121E3">
        <w:rPr>
          <w:sz w:val="24"/>
          <w:szCs w:val="24"/>
        </w:rPr>
        <w:t xml:space="preserve"> được </w:t>
      </w:r>
      <w:r w:rsidR="00A23340" w:rsidRPr="000121E3">
        <w:rPr>
          <w:sz w:val="24"/>
          <w:szCs w:val="24"/>
        </w:rPr>
        <w:t>cắt nhỏ khoảng 2-3 cm rồi cho vào bình cầu có thể tích 250</w:t>
      </w:r>
      <w:r w:rsidR="00BC73AF" w:rsidRPr="000121E3">
        <w:rPr>
          <w:sz w:val="24"/>
          <w:szCs w:val="24"/>
        </w:rPr>
        <w:t xml:space="preserve"> </w:t>
      </w:r>
      <w:r w:rsidR="00A23340" w:rsidRPr="000121E3">
        <w:rPr>
          <w:sz w:val="24"/>
          <w:szCs w:val="24"/>
        </w:rPr>
        <w:t>m</w:t>
      </w:r>
      <w:r w:rsidR="00C82806" w:rsidRPr="000121E3">
        <w:rPr>
          <w:sz w:val="24"/>
          <w:szCs w:val="24"/>
        </w:rPr>
        <w:t>l</w:t>
      </w:r>
      <w:r w:rsidR="0008226A" w:rsidRPr="000121E3">
        <w:rPr>
          <w:sz w:val="24"/>
          <w:szCs w:val="24"/>
        </w:rPr>
        <w:t xml:space="preserve">, mỗi bình 100 </w:t>
      </w:r>
      <w:r w:rsidR="00C443C8" w:rsidRPr="000121E3">
        <w:rPr>
          <w:sz w:val="24"/>
          <w:szCs w:val="24"/>
        </w:rPr>
        <w:t>gam</w:t>
      </w:r>
      <w:r w:rsidR="00A23340" w:rsidRPr="000121E3">
        <w:rPr>
          <w:sz w:val="24"/>
          <w:szCs w:val="24"/>
        </w:rPr>
        <w:t xml:space="preserve">. Thêm nước cất </w:t>
      </w:r>
      <w:r w:rsidR="00A23340" w:rsidRPr="000121E3">
        <w:rPr>
          <w:sz w:val="24"/>
          <w:szCs w:val="24"/>
        </w:rPr>
        <w:lastRenderedPageBreak/>
        <w:t>vào bình đến thể tích khoảng 2/3 bình</w:t>
      </w:r>
      <w:r w:rsidR="00C443C8" w:rsidRPr="000121E3">
        <w:rPr>
          <w:sz w:val="24"/>
          <w:szCs w:val="24"/>
        </w:rPr>
        <w:t xml:space="preserve"> và tiến hành chưng cất </w:t>
      </w:r>
      <w:r w:rsidR="00A845C9" w:rsidRPr="000121E3">
        <w:rPr>
          <w:sz w:val="24"/>
          <w:szCs w:val="24"/>
        </w:rPr>
        <w:t xml:space="preserve">bằng phương pháp </w:t>
      </w:r>
      <w:r w:rsidR="006313B9" w:rsidRPr="000121E3">
        <w:rPr>
          <w:sz w:val="24"/>
          <w:szCs w:val="24"/>
        </w:rPr>
        <w:t>lôi cuốn hơi nước để khảo sát điều kiện chưng cất tối ưu và đánh giá hàm lượng tinh dầu trong các bộ phận của cây.</w:t>
      </w:r>
    </w:p>
    <w:p w:rsidR="00525E97" w:rsidRPr="000121E3" w:rsidRDefault="00525E97" w:rsidP="00A30824">
      <w:pPr>
        <w:spacing w:line="288" w:lineRule="auto"/>
        <w:ind w:firstLine="567"/>
        <w:jc w:val="both"/>
        <w:rPr>
          <w:sz w:val="24"/>
          <w:szCs w:val="24"/>
        </w:rPr>
      </w:pPr>
      <w:r w:rsidRPr="000121E3">
        <w:rPr>
          <w:sz w:val="24"/>
          <w:szCs w:val="24"/>
        </w:rPr>
        <w:t xml:space="preserve">Để lấy số lượng mẫu lớn phân tích thành phần hóa học và hoạt tính sinh học </w:t>
      </w:r>
      <w:r w:rsidRPr="000121E3">
        <w:rPr>
          <w:sz w:val="24"/>
          <w:szCs w:val="24"/>
        </w:rPr>
        <w:lastRenderedPageBreak/>
        <w:t xml:space="preserve">cũng như đánh giá một số chỉ tiêu nhằm tiến tới đề xuất ứng dụng trong thực tế, chúng tôi đã tiến hành chưng cất bằng nồi </w:t>
      </w:r>
      <w:r w:rsidRPr="000121E3">
        <w:rPr>
          <w:sz w:val="24"/>
          <w:szCs w:val="24"/>
        </w:rPr>
        <w:lastRenderedPageBreak/>
        <w:t>áp suất. Cứ mỗi nồi đem đun thì chứa trong đó khoảng 500</w:t>
      </w:r>
      <w:r w:rsidR="006302B0" w:rsidRPr="000121E3">
        <w:rPr>
          <w:sz w:val="24"/>
          <w:szCs w:val="24"/>
        </w:rPr>
        <w:t xml:space="preserve"> </w:t>
      </w:r>
      <w:r w:rsidRPr="000121E3">
        <w:rPr>
          <w:sz w:val="24"/>
          <w:szCs w:val="24"/>
        </w:rPr>
        <w:t>g</w:t>
      </w:r>
      <w:r w:rsidR="006302B0" w:rsidRPr="000121E3">
        <w:rPr>
          <w:sz w:val="24"/>
          <w:szCs w:val="24"/>
        </w:rPr>
        <w:t>am</w:t>
      </w:r>
      <w:r w:rsidRPr="000121E3">
        <w:rPr>
          <w:sz w:val="24"/>
          <w:szCs w:val="24"/>
        </w:rPr>
        <w:t xml:space="preserve"> mẫu.</w:t>
      </w:r>
    </w:p>
    <w:p w:rsidR="009B3F6D" w:rsidRPr="000121E3" w:rsidRDefault="009B3F6D" w:rsidP="00C92873">
      <w:pPr>
        <w:spacing w:line="288" w:lineRule="auto"/>
        <w:ind w:left="284" w:hanging="284"/>
        <w:jc w:val="center"/>
        <w:rPr>
          <w:b/>
          <w:sz w:val="24"/>
          <w:szCs w:val="24"/>
        </w:rPr>
        <w:sectPr w:rsidR="009B3F6D" w:rsidRPr="000121E3" w:rsidSect="00E05CDD">
          <w:type w:val="continuous"/>
          <w:pgSz w:w="10773" w:h="15309" w:code="9"/>
          <w:pgMar w:top="1134" w:right="1134" w:bottom="1134" w:left="1134" w:header="720" w:footer="505" w:gutter="0"/>
          <w:cols w:num="2" w:space="425"/>
          <w:docGrid w:linePitch="6827"/>
        </w:sectPr>
      </w:pPr>
    </w:p>
    <w:p w:rsidR="00525E97" w:rsidRPr="000121E3" w:rsidRDefault="00525E97" w:rsidP="004F3090">
      <w:pPr>
        <w:spacing w:before="120" w:line="288" w:lineRule="auto"/>
        <w:ind w:left="284" w:hanging="284"/>
        <w:jc w:val="center"/>
        <w:rPr>
          <w:b/>
          <w:sz w:val="24"/>
          <w:szCs w:val="24"/>
        </w:rPr>
      </w:pPr>
      <w:r w:rsidRPr="000121E3">
        <w:rPr>
          <w:i/>
          <w:noProof/>
          <w:sz w:val="24"/>
          <w:szCs w:val="24"/>
        </w:rPr>
        <w:lastRenderedPageBreak/>
        <w:drawing>
          <wp:inline distT="0" distB="0" distL="0" distR="0" wp14:anchorId="09F8FAFE" wp14:editId="2FC198AC">
            <wp:extent cx="2670048" cy="2099957"/>
            <wp:effectExtent l="0" t="0" r="0" b="0"/>
            <wp:docPr id="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2704446" cy="2127010"/>
                    </a:xfrm>
                    <a:prstGeom prst="rect">
                      <a:avLst/>
                    </a:prstGeom>
                    <a:noFill/>
                    <a:ln w="9525">
                      <a:noFill/>
                      <a:miter lim="800000"/>
                      <a:headEnd/>
                      <a:tailEnd/>
                    </a:ln>
                  </pic:spPr>
                </pic:pic>
              </a:graphicData>
            </a:graphic>
          </wp:inline>
        </w:drawing>
      </w:r>
      <w:bookmarkStart w:id="2" w:name="_Toc451662193"/>
    </w:p>
    <w:p w:rsidR="00525E97" w:rsidRPr="000121E3" w:rsidRDefault="00286F2C" w:rsidP="00A30824">
      <w:pPr>
        <w:spacing w:before="120" w:after="120"/>
        <w:jc w:val="center"/>
        <w:outlineLvl w:val="0"/>
        <w:rPr>
          <w:sz w:val="24"/>
          <w:szCs w:val="24"/>
        </w:rPr>
      </w:pPr>
      <w:bookmarkStart w:id="3" w:name="_Toc512710957"/>
      <w:r w:rsidRPr="00D63E1E">
        <w:rPr>
          <w:b/>
          <w:sz w:val="22"/>
          <w:szCs w:val="24"/>
        </w:rPr>
        <w:t xml:space="preserve">Hình </w:t>
      </w:r>
      <w:r w:rsidR="006313B9" w:rsidRPr="00D63E1E">
        <w:rPr>
          <w:b/>
          <w:sz w:val="22"/>
          <w:szCs w:val="24"/>
        </w:rPr>
        <w:t>3</w:t>
      </w:r>
      <w:r w:rsidR="00525E97" w:rsidRPr="00D63E1E">
        <w:rPr>
          <w:b/>
          <w:sz w:val="22"/>
          <w:szCs w:val="24"/>
        </w:rPr>
        <w:t xml:space="preserve">. </w:t>
      </w:r>
      <w:r w:rsidR="00525E97" w:rsidRPr="00D63E1E">
        <w:rPr>
          <w:sz w:val="22"/>
          <w:szCs w:val="24"/>
        </w:rPr>
        <w:t>Hệ thống chưng cất lôi cuốn hơi nước cây giổi xanh</w:t>
      </w:r>
      <w:bookmarkStart w:id="4" w:name="_Toc512710958"/>
      <w:bookmarkEnd w:id="3"/>
      <w:r w:rsidR="00A30824" w:rsidRPr="00D63E1E">
        <w:rPr>
          <w:sz w:val="22"/>
          <w:szCs w:val="24"/>
        </w:rPr>
        <w:t xml:space="preserve"> </w:t>
      </w:r>
      <w:r w:rsidR="00525E97" w:rsidRPr="00D63E1E">
        <w:rPr>
          <w:sz w:val="22"/>
          <w:szCs w:val="24"/>
        </w:rPr>
        <w:t>trong phòng thí nghiệm</w:t>
      </w:r>
      <w:bookmarkEnd w:id="2"/>
      <w:bookmarkEnd w:id="4"/>
    </w:p>
    <w:p w:rsidR="009B3F6D" w:rsidRPr="000121E3" w:rsidRDefault="009B3F6D" w:rsidP="00C92873">
      <w:pPr>
        <w:widowControl w:val="0"/>
        <w:spacing w:line="288" w:lineRule="auto"/>
        <w:ind w:firstLine="567"/>
        <w:jc w:val="both"/>
        <w:rPr>
          <w:sz w:val="24"/>
          <w:szCs w:val="24"/>
        </w:rPr>
        <w:sectPr w:rsidR="009B3F6D" w:rsidRPr="000121E3" w:rsidSect="00E05CDD">
          <w:type w:val="continuous"/>
          <w:pgSz w:w="10773" w:h="15309" w:code="9"/>
          <w:pgMar w:top="1134" w:right="1134" w:bottom="1134" w:left="1134" w:header="720" w:footer="505" w:gutter="0"/>
          <w:cols w:space="720"/>
          <w:docGrid w:linePitch="6827"/>
        </w:sectPr>
      </w:pPr>
    </w:p>
    <w:p w:rsidR="00525E97" w:rsidRPr="000121E3" w:rsidRDefault="00525E97" w:rsidP="003E5620">
      <w:pPr>
        <w:widowControl w:val="0"/>
        <w:spacing w:line="288" w:lineRule="auto"/>
        <w:ind w:firstLine="567"/>
        <w:jc w:val="both"/>
        <w:rPr>
          <w:sz w:val="24"/>
          <w:szCs w:val="24"/>
        </w:rPr>
      </w:pPr>
      <w:r w:rsidRPr="000121E3">
        <w:rPr>
          <w:sz w:val="24"/>
          <w:szCs w:val="24"/>
        </w:rPr>
        <w:lastRenderedPageBreak/>
        <w:t xml:space="preserve">Sau khi chưng cất, tinh dầu lá và cành cây giổi xanh được </w:t>
      </w:r>
      <w:r w:rsidR="00AD19C4" w:rsidRPr="000121E3">
        <w:rPr>
          <w:sz w:val="24"/>
          <w:szCs w:val="24"/>
        </w:rPr>
        <w:t>loại</w:t>
      </w:r>
      <w:r w:rsidRPr="000121E3">
        <w:rPr>
          <w:sz w:val="24"/>
          <w:szCs w:val="24"/>
        </w:rPr>
        <w:t xml:space="preserve"> bỏ nước và tinh chế lại bằng dung môi </w:t>
      </w:r>
      <w:r w:rsidRPr="000121E3">
        <w:rPr>
          <w:i/>
          <w:sz w:val="24"/>
          <w:szCs w:val="24"/>
        </w:rPr>
        <w:t>n-</w:t>
      </w:r>
      <w:r w:rsidRPr="000121E3">
        <w:rPr>
          <w:sz w:val="24"/>
          <w:szCs w:val="24"/>
        </w:rPr>
        <w:t>hexan</w:t>
      </w:r>
      <w:r w:rsidR="00A17961" w:rsidRPr="000121E3">
        <w:rPr>
          <w:sz w:val="24"/>
          <w:szCs w:val="24"/>
        </w:rPr>
        <w:t>e</w:t>
      </w:r>
      <w:r w:rsidRPr="000121E3">
        <w:rPr>
          <w:sz w:val="24"/>
          <w:szCs w:val="24"/>
        </w:rPr>
        <w:t>. Mẫu tinh dầu sau khi tinh chế được gửi phân tích thành phần hóa học bằng phương pháp sắc ký khí ghép khối phổ (GC/MS) các hợp chất thiên nhiên và thử hoạt tính sinh học tại Viện Hóa học, số 18 Hoàng Quốc Việt, Nghĩa Đô, quận Cầu Giấy, Hà Nội</w:t>
      </w:r>
      <w:r w:rsidR="00A71607" w:rsidRPr="000121E3">
        <w:rPr>
          <w:sz w:val="24"/>
          <w:szCs w:val="24"/>
        </w:rPr>
        <w:t>.</w:t>
      </w:r>
    </w:p>
    <w:p w:rsidR="0092441C" w:rsidRPr="000121E3" w:rsidRDefault="00315771" w:rsidP="000732BF">
      <w:pPr>
        <w:widowControl w:val="0"/>
        <w:spacing w:before="120" w:after="120"/>
        <w:ind w:right="-306"/>
        <w:jc w:val="both"/>
        <w:rPr>
          <w:b/>
          <w:sz w:val="24"/>
          <w:szCs w:val="24"/>
        </w:rPr>
      </w:pPr>
      <w:r w:rsidRPr="000121E3">
        <w:rPr>
          <w:b/>
          <w:sz w:val="24"/>
          <w:szCs w:val="24"/>
        </w:rPr>
        <w:t>3</w:t>
      </w:r>
      <w:r w:rsidR="00622FFB" w:rsidRPr="000121E3">
        <w:rPr>
          <w:b/>
          <w:sz w:val="24"/>
          <w:szCs w:val="24"/>
        </w:rPr>
        <w:t>. KẾT QUẢ VÀ THẢO LUẬN</w:t>
      </w:r>
    </w:p>
    <w:p w:rsidR="00644BB3" w:rsidRPr="000121E3" w:rsidRDefault="00644BB3" w:rsidP="000732BF">
      <w:pPr>
        <w:spacing w:before="120" w:after="120"/>
        <w:ind w:right="-306"/>
        <w:outlineLvl w:val="1"/>
        <w:rPr>
          <w:b/>
          <w:sz w:val="24"/>
          <w:szCs w:val="24"/>
        </w:rPr>
      </w:pPr>
      <w:bookmarkStart w:id="5" w:name="_Toc467859265"/>
      <w:bookmarkStart w:id="6" w:name="_Toc468030792"/>
      <w:bookmarkStart w:id="7" w:name="_Toc471393871"/>
      <w:bookmarkStart w:id="8" w:name="_Toc471395905"/>
      <w:bookmarkStart w:id="9" w:name="_Toc512708724"/>
      <w:r w:rsidRPr="000121E3">
        <w:rPr>
          <w:b/>
          <w:sz w:val="24"/>
          <w:szCs w:val="24"/>
        </w:rPr>
        <w:t>3.</w:t>
      </w:r>
      <w:bookmarkEnd w:id="5"/>
      <w:bookmarkEnd w:id="6"/>
      <w:bookmarkEnd w:id="7"/>
      <w:bookmarkEnd w:id="8"/>
      <w:r w:rsidRPr="000121E3">
        <w:rPr>
          <w:b/>
          <w:sz w:val="24"/>
          <w:szCs w:val="24"/>
        </w:rPr>
        <w:t>1. Hàm lượng tinh dầu</w:t>
      </w:r>
      <w:bookmarkEnd w:id="9"/>
    </w:p>
    <w:p w:rsidR="00644BB3" w:rsidRPr="000121E3" w:rsidRDefault="00A17961" w:rsidP="00874395">
      <w:pPr>
        <w:spacing w:line="288" w:lineRule="auto"/>
        <w:ind w:firstLine="567"/>
        <w:jc w:val="both"/>
        <w:rPr>
          <w:sz w:val="24"/>
          <w:szCs w:val="24"/>
        </w:rPr>
      </w:pPr>
      <w:bookmarkStart w:id="10" w:name="_Toc451662202"/>
      <w:bookmarkStart w:id="11" w:name="_Toc512708726"/>
      <w:bookmarkStart w:id="12" w:name="_Toc512710528"/>
      <w:bookmarkStart w:id="13" w:name="_Toc512710964"/>
      <w:r w:rsidRPr="000121E3">
        <w:rPr>
          <w:sz w:val="24"/>
          <w:szCs w:val="24"/>
        </w:rPr>
        <w:t>Tinh dầu lá</w:t>
      </w:r>
      <w:r w:rsidR="00644BB3" w:rsidRPr="000121E3">
        <w:rPr>
          <w:sz w:val="24"/>
          <w:szCs w:val="24"/>
        </w:rPr>
        <w:t xml:space="preserve"> và cành cây giổi xanh </w:t>
      </w:r>
      <w:r w:rsidRPr="000121E3">
        <w:rPr>
          <w:sz w:val="24"/>
          <w:szCs w:val="24"/>
        </w:rPr>
        <w:t xml:space="preserve">đều </w:t>
      </w:r>
      <w:r w:rsidR="00644BB3" w:rsidRPr="000121E3">
        <w:rPr>
          <w:sz w:val="24"/>
          <w:szCs w:val="24"/>
        </w:rPr>
        <w:t xml:space="preserve">được chưng cất bằng phương pháp lôi cuốn hơi nước. </w:t>
      </w:r>
      <w:r w:rsidR="00A132B6" w:rsidRPr="000121E3">
        <w:rPr>
          <w:sz w:val="24"/>
          <w:szCs w:val="24"/>
        </w:rPr>
        <w:t>T</w:t>
      </w:r>
      <w:r w:rsidR="00644BB3" w:rsidRPr="000121E3">
        <w:rPr>
          <w:sz w:val="24"/>
          <w:szCs w:val="24"/>
        </w:rPr>
        <w:t xml:space="preserve">inh dầu cành </w:t>
      </w:r>
      <w:r w:rsidR="00A132B6" w:rsidRPr="000121E3">
        <w:rPr>
          <w:sz w:val="24"/>
          <w:szCs w:val="24"/>
        </w:rPr>
        <w:t xml:space="preserve">cây giổi xanh lâu năm </w:t>
      </w:r>
      <w:r w:rsidR="00644BB3" w:rsidRPr="000121E3">
        <w:rPr>
          <w:sz w:val="24"/>
          <w:szCs w:val="24"/>
        </w:rPr>
        <w:t xml:space="preserve">thu được </w:t>
      </w:r>
      <w:r w:rsidR="00A132B6" w:rsidRPr="000121E3">
        <w:rPr>
          <w:sz w:val="24"/>
          <w:szCs w:val="24"/>
        </w:rPr>
        <w:t>ở</w:t>
      </w:r>
      <w:r w:rsidR="00644BB3" w:rsidRPr="000121E3">
        <w:rPr>
          <w:sz w:val="24"/>
          <w:szCs w:val="24"/>
        </w:rPr>
        <w:t xml:space="preserve"> dạng mỡ, màu trắng, nhẹ hơn nước, không tan trong nước, có mùi thơm đặc trưng với hàm lượng 0,09%. </w:t>
      </w:r>
      <w:r w:rsidR="00A132B6" w:rsidRPr="000121E3">
        <w:rPr>
          <w:sz w:val="24"/>
          <w:szCs w:val="24"/>
        </w:rPr>
        <w:t>Tinh dầu lá ở</w:t>
      </w:r>
      <w:r w:rsidR="00644BB3" w:rsidRPr="000121E3">
        <w:rPr>
          <w:sz w:val="24"/>
          <w:szCs w:val="24"/>
        </w:rPr>
        <w:t xml:space="preserve"> dạng dầu, màu vàng, </w:t>
      </w:r>
      <w:r w:rsidR="00C30578" w:rsidRPr="000121E3">
        <w:rPr>
          <w:sz w:val="24"/>
          <w:szCs w:val="24"/>
        </w:rPr>
        <w:t xml:space="preserve">nhẹ hơn nước, </w:t>
      </w:r>
      <w:r w:rsidR="00644BB3" w:rsidRPr="000121E3">
        <w:rPr>
          <w:sz w:val="24"/>
          <w:szCs w:val="24"/>
        </w:rPr>
        <w:t>có mùi thơ</w:t>
      </w:r>
      <w:r w:rsidRPr="000121E3">
        <w:rPr>
          <w:sz w:val="24"/>
          <w:szCs w:val="24"/>
        </w:rPr>
        <w:t>m</w:t>
      </w:r>
      <w:r w:rsidR="00644BB3" w:rsidRPr="000121E3">
        <w:rPr>
          <w:sz w:val="24"/>
          <w:szCs w:val="24"/>
        </w:rPr>
        <w:t xml:space="preserve"> đặc trưng với hàm lượng 0,055%</w:t>
      </w:r>
      <w:r w:rsidR="00A132B6" w:rsidRPr="000121E3">
        <w:rPr>
          <w:sz w:val="24"/>
          <w:szCs w:val="24"/>
        </w:rPr>
        <w:t xml:space="preserve"> so với khối lượng nguyên liệu tươi.</w:t>
      </w:r>
    </w:p>
    <w:p w:rsidR="00644BB3" w:rsidRPr="000121E3" w:rsidRDefault="00A132B6" w:rsidP="000732BF">
      <w:pPr>
        <w:spacing w:line="288" w:lineRule="auto"/>
        <w:ind w:firstLine="567"/>
        <w:jc w:val="both"/>
        <w:rPr>
          <w:sz w:val="24"/>
          <w:szCs w:val="24"/>
        </w:rPr>
      </w:pPr>
      <w:bookmarkStart w:id="14" w:name="_Toc512708729"/>
      <w:bookmarkStart w:id="15" w:name="_Toc512710530"/>
      <w:bookmarkStart w:id="16" w:name="_Toc512710967"/>
      <w:bookmarkEnd w:id="10"/>
      <w:bookmarkEnd w:id="11"/>
      <w:bookmarkEnd w:id="12"/>
      <w:bookmarkEnd w:id="13"/>
      <w:r w:rsidRPr="000121E3">
        <w:rPr>
          <w:sz w:val="24"/>
          <w:szCs w:val="24"/>
        </w:rPr>
        <w:lastRenderedPageBreak/>
        <w:t>Tinh dầu l</w:t>
      </w:r>
      <w:r w:rsidR="00644BB3" w:rsidRPr="000121E3">
        <w:rPr>
          <w:sz w:val="24"/>
          <w:szCs w:val="24"/>
        </w:rPr>
        <w:t xml:space="preserve">á và cành cây </w:t>
      </w:r>
      <w:r w:rsidRPr="000121E3">
        <w:rPr>
          <w:sz w:val="24"/>
          <w:szCs w:val="24"/>
        </w:rPr>
        <w:t>g</w:t>
      </w:r>
      <w:r w:rsidR="00644BB3" w:rsidRPr="000121E3">
        <w:rPr>
          <w:sz w:val="24"/>
          <w:szCs w:val="24"/>
        </w:rPr>
        <w:t xml:space="preserve">iổi xanh non thu được đều </w:t>
      </w:r>
      <w:r w:rsidRPr="000121E3">
        <w:rPr>
          <w:sz w:val="24"/>
          <w:szCs w:val="24"/>
        </w:rPr>
        <w:t xml:space="preserve">ở dạng </w:t>
      </w:r>
      <w:r w:rsidR="00644BB3" w:rsidRPr="000121E3">
        <w:rPr>
          <w:sz w:val="24"/>
          <w:szCs w:val="24"/>
        </w:rPr>
        <w:t>dầu, màu vàng, nhẹ hơn nước, không tan trong nước, có mùi thơm đặc trưng.</w:t>
      </w:r>
      <w:bookmarkEnd w:id="14"/>
      <w:bookmarkEnd w:id="15"/>
      <w:bookmarkEnd w:id="16"/>
      <w:r w:rsidR="00644BB3" w:rsidRPr="000121E3">
        <w:rPr>
          <w:sz w:val="24"/>
          <w:szCs w:val="24"/>
        </w:rPr>
        <w:t xml:space="preserve"> Hàm lượng tinh dầu lá cây </w:t>
      </w:r>
      <w:r w:rsidRPr="000121E3">
        <w:rPr>
          <w:sz w:val="24"/>
          <w:szCs w:val="24"/>
        </w:rPr>
        <w:t>giổi xanh non là 0,13%</w:t>
      </w:r>
      <w:r w:rsidR="00A17961" w:rsidRPr="000121E3">
        <w:rPr>
          <w:sz w:val="24"/>
          <w:szCs w:val="24"/>
        </w:rPr>
        <w:t>,</w:t>
      </w:r>
      <w:r w:rsidRPr="000121E3">
        <w:rPr>
          <w:sz w:val="24"/>
          <w:szCs w:val="24"/>
        </w:rPr>
        <w:t xml:space="preserve"> còn h</w:t>
      </w:r>
      <w:r w:rsidR="00644BB3" w:rsidRPr="000121E3">
        <w:rPr>
          <w:sz w:val="24"/>
          <w:szCs w:val="24"/>
        </w:rPr>
        <w:t xml:space="preserve">àm lượng tinh dầu trong cành cây </w:t>
      </w:r>
      <w:r w:rsidRPr="000121E3">
        <w:rPr>
          <w:sz w:val="24"/>
          <w:szCs w:val="24"/>
        </w:rPr>
        <w:t>giổi xanh non là 0,075% so với khối lượng nguyên liệu tươi.</w:t>
      </w:r>
    </w:p>
    <w:p w:rsidR="00644BB3" w:rsidRPr="000121E3" w:rsidRDefault="00644BB3" w:rsidP="003D432F">
      <w:pPr>
        <w:spacing w:line="288" w:lineRule="auto"/>
        <w:ind w:firstLine="567"/>
        <w:jc w:val="both"/>
        <w:outlineLvl w:val="1"/>
        <w:rPr>
          <w:sz w:val="24"/>
          <w:szCs w:val="24"/>
        </w:rPr>
      </w:pPr>
      <w:bookmarkStart w:id="17" w:name="_Toc512708730"/>
      <w:r w:rsidRPr="000121E3">
        <w:rPr>
          <w:sz w:val="24"/>
          <w:szCs w:val="24"/>
        </w:rPr>
        <w:t xml:space="preserve">Như vậy, trong bốn mẫu lá và cành cây </w:t>
      </w:r>
      <w:r w:rsidR="00A132B6" w:rsidRPr="000121E3">
        <w:rPr>
          <w:sz w:val="24"/>
          <w:szCs w:val="24"/>
        </w:rPr>
        <w:t>g</w:t>
      </w:r>
      <w:r w:rsidRPr="000121E3">
        <w:rPr>
          <w:sz w:val="24"/>
          <w:szCs w:val="24"/>
        </w:rPr>
        <w:t xml:space="preserve">iổi xanh chúng tôi tiến hành nghiên cứu, thì hàm lượng tinh dầu trong lá cây </w:t>
      </w:r>
      <w:r w:rsidR="00A132B6" w:rsidRPr="000121E3">
        <w:rPr>
          <w:sz w:val="24"/>
          <w:szCs w:val="24"/>
        </w:rPr>
        <w:t>g</w:t>
      </w:r>
      <w:r w:rsidRPr="000121E3">
        <w:rPr>
          <w:sz w:val="24"/>
          <w:szCs w:val="24"/>
        </w:rPr>
        <w:t xml:space="preserve">iổi xanh non </w:t>
      </w:r>
      <w:r w:rsidR="005C2E03" w:rsidRPr="000121E3">
        <w:rPr>
          <w:sz w:val="24"/>
          <w:szCs w:val="24"/>
        </w:rPr>
        <w:t>có</w:t>
      </w:r>
      <w:r w:rsidRPr="000121E3">
        <w:rPr>
          <w:sz w:val="24"/>
          <w:szCs w:val="24"/>
        </w:rPr>
        <w:t xml:space="preserve"> hàm lượng cao nhất.</w:t>
      </w:r>
    </w:p>
    <w:p w:rsidR="00644BB3" w:rsidRPr="000121E3" w:rsidRDefault="00644BB3" w:rsidP="000732BF">
      <w:pPr>
        <w:spacing w:before="120" w:after="120"/>
        <w:jc w:val="both"/>
        <w:outlineLvl w:val="1"/>
        <w:rPr>
          <w:b/>
          <w:sz w:val="24"/>
          <w:szCs w:val="24"/>
        </w:rPr>
      </w:pPr>
      <w:r w:rsidRPr="000121E3">
        <w:rPr>
          <w:b/>
          <w:sz w:val="24"/>
          <w:szCs w:val="24"/>
        </w:rPr>
        <w:t xml:space="preserve">3.2. Thành phần hóa học tinh dầu lá cây </w:t>
      </w:r>
      <w:r w:rsidR="00A17961" w:rsidRPr="000121E3">
        <w:rPr>
          <w:b/>
          <w:sz w:val="24"/>
          <w:szCs w:val="24"/>
        </w:rPr>
        <w:t>g</w:t>
      </w:r>
      <w:r w:rsidRPr="000121E3">
        <w:rPr>
          <w:b/>
          <w:sz w:val="24"/>
          <w:szCs w:val="24"/>
        </w:rPr>
        <w:t>iổi xanh non</w:t>
      </w:r>
      <w:bookmarkStart w:id="18" w:name="_Toc512708731"/>
      <w:bookmarkEnd w:id="17"/>
    </w:p>
    <w:p w:rsidR="000E0750" w:rsidRPr="000121E3" w:rsidRDefault="00644BB3" w:rsidP="00185EB9">
      <w:pPr>
        <w:spacing w:line="288" w:lineRule="auto"/>
        <w:ind w:firstLine="567"/>
        <w:jc w:val="both"/>
        <w:outlineLvl w:val="1"/>
        <w:rPr>
          <w:sz w:val="24"/>
          <w:szCs w:val="24"/>
        </w:rPr>
      </w:pPr>
      <w:r w:rsidRPr="000121E3">
        <w:rPr>
          <w:sz w:val="24"/>
          <w:szCs w:val="24"/>
        </w:rPr>
        <w:t xml:space="preserve">Thành phần hóa học của tinh dầu lá cây </w:t>
      </w:r>
      <w:r w:rsidR="00A17961" w:rsidRPr="000121E3">
        <w:rPr>
          <w:sz w:val="24"/>
          <w:szCs w:val="24"/>
        </w:rPr>
        <w:t>g</w:t>
      </w:r>
      <w:r w:rsidRPr="000121E3">
        <w:rPr>
          <w:sz w:val="24"/>
          <w:szCs w:val="24"/>
        </w:rPr>
        <w:t>iổi xanh</w:t>
      </w:r>
      <w:r w:rsidR="00A17961" w:rsidRPr="000121E3">
        <w:rPr>
          <w:sz w:val="24"/>
          <w:szCs w:val="24"/>
        </w:rPr>
        <w:t xml:space="preserve"> non</w:t>
      </w:r>
      <w:r w:rsidRPr="000121E3">
        <w:rPr>
          <w:sz w:val="24"/>
          <w:szCs w:val="24"/>
        </w:rPr>
        <w:t xml:space="preserve"> có hàm lượng tinh dầu cao nhất được xác định bằng phương pháp GC/MS</w:t>
      </w:r>
      <w:bookmarkEnd w:id="18"/>
      <w:r w:rsidR="000E0750" w:rsidRPr="000121E3">
        <w:rPr>
          <w:sz w:val="24"/>
          <w:szCs w:val="24"/>
        </w:rPr>
        <w:t xml:space="preserve"> (Hình </w:t>
      </w:r>
      <w:r w:rsidR="00194E1B" w:rsidRPr="000121E3">
        <w:rPr>
          <w:sz w:val="24"/>
          <w:szCs w:val="24"/>
        </w:rPr>
        <w:t xml:space="preserve">4 </w:t>
      </w:r>
      <w:r w:rsidR="000E0750" w:rsidRPr="000121E3">
        <w:rPr>
          <w:sz w:val="24"/>
          <w:szCs w:val="24"/>
        </w:rPr>
        <w:t xml:space="preserve">và Bảng </w:t>
      </w:r>
      <w:r w:rsidR="005C4988" w:rsidRPr="000121E3">
        <w:rPr>
          <w:sz w:val="24"/>
          <w:szCs w:val="24"/>
        </w:rPr>
        <w:t>1</w:t>
      </w:r>
      <w:r w:rsidR="000E0750" w:rsidRPr="000121E3">
        <w:rPr>
          <w:sz w:val="24"/>
          <w:szCs w:val="24"/>
        </w:rPr>
        <w:t>), có 57 hợp chất đã được định danh chiếm 82,57%. Trong đó, có một số hợp chất có thành phần hàm lượng tương đối lớn như: β-</w:t>
      </w:r>
      <w:r w:rsidR="00961AF3" w:rsidRPr="000121E3">
        <w:rPr>
          <w:sz w:val="24"/>
          <w:szCs w:val="24"/>
        </w:rPr>
        <w:t>p</w:t>
      </w:r>
      <w:r w:rsidR="000E0750" w:rsidRPr="000121E3">
        <w:rPr>
          <w:sz w:val="24"/>
          <w:szCs w:val="24"/>
        </w:rPr>
        <w:t xml:space="preserve">inene (15,86%), </w:t>
      </w:r>
      <w:r w:rsidR="00961AF3" w:rsidRPr="000121E3">
        <w:rPr>
          <w:sz w:val="24"/>
          <w:szCs w:val="24"/>
        </w:rPr>
        <w:t>c</w:t>
      </w:r>
      <w:r w:rsidR="000E0750" w:rsidRPr="000121E3">
        <w:rPr>
          <w:sz w:val="24"/>
          <w:szCs w:val="24"/>
        </w:rPr>
        <w:t>aryophyllene oxide (9,43%), α-</w:t>
      </w:r>
      <w:r w:rsidR="00961AF3" w:rsidRPr="000121E3">
        <w:rPr>
          <w:sz w:val="24"/>
          <w:szCs w:val="24"/>
        </w:rPr>
        <w:t>p</w:t>
      </w:r>
      <w:r w:rsidR="000E0750" w:rsidRPr="000121E3">
        <w:rPr>
          <w:sz w:val="24"/>
          <w:szCs w:val="24"/>
        </w:rPr>
        <w:t xml:space="preserve">inene (4,92%), </w:t>
      </w:r>
      <w:r w:rsidR="000E0750" w:rsidRPr="000121E3">
        <w:rPr>
          <w:i/>
          <w:sz w:val="24"/>
          <w:szCs w:val="24"/>
        </w:rPr>
        <w:t>(E)-</w:t>
      </w:r>
      <w:r w:rsidR="00961AF3" w:rsidRPr="000121E3">
        <w:rPr>
          <w:sz w:val="24"/>
          <w:szCs w:val="24"/>
        </w:rPr>
        <w:t>c</w:t>
      </w:r>
      <w:r w:rsidR="000E0750" w:rsidRPr="000121E3">
        <w:rPr>
          <w:sz w:val="24"/>
          <w:szCs w:val="24"/>
        </w:rPr>
        <w:t>aryophylene (β-</w:t>
      </w:r>
      <w:r w:rsidR="00961AF3" w:rsidRPr="000121E3">
        <w:rPr>
          <w:sz w:val="24"/>
          <w:szCs w:val="24"/>
        </w:rPr>
        <w:t>c</w:t>
      </w:r>
      <w:r w:rsidR="000E0750" w:rsidRPr="000121E3">
        <w:rPr>
          <w:sz w:val="24"/>
          <w:szCs w:val="24"/>
        </w:rPr>
        <w:t>aryophylene</w:t>
      </w:r>
      <w:r w:rsidR="00327136" w:rsidRPr="000121E3">
        <w:rPr>
          <w:sz w:val="24"/>
          <w:szCs w:val="24"/>
        </w:rPr>
        <w:t xml:space="preserve">; </w:t>
      </w:r>
      <w:r w:rsidR="000E0750" w:rsidRPr="000121E3">
        <w:rPr>
          <w:sz w:val="24"/>
          <w:szCs w:val="24"/>
        </w:rPr>
        <w:t xml:space="preserve">4,40%)... </w:t>
      </w:r>
    </w:p>
    <w:p w:rsidR="009B3F6D" w:rsidRPr="000121E3" w:rsidRDefault="009B3F6D" w:rsidP="00C92873">
      <w:pPr>
        <w:spacing w:line="288" w:lineRule="auto"/>
        <w:ind w:firstLine="630"/>
        <w:jc w:val="both"/>
        <w:outlineLvl w:val="1"/>
        <w:rPr>
          <w:sz w:val="24"/>
          <w:szCs w:val="24"/>
        </w:rPr>
        <w:sectPr w:rsidR="009B3F6D" w:rsidRPr="000121E3" w:rsidSect="00E05CDD">
          <w:type w:val="continuous"/>
          <w:pgSz w:w="10773" w:h="15309" w:code="9"/>
          <w:pgMar w:top="1134" w:right="1134" w:bottom="1134" w:left="1134" w:header="720" w:footer="505" w:gutter="0"/>
          <w:cols w:num="2" w:space="425"/>
          <w:docGrid w:linePitch="6827"/>
        </w:sectPr>
      </w:pPr>
    </w:p>
    <w:p w:rsidR="000049C6" w:rsidRPr="000121E3" w:rsidRDefault="000049C6" w:rsidP="000049C6">
      <w:pPr>
        <w:spacing w:line="288" w:lineRule="auto"/>
        <w:outlineLvl w:val="1"/>
        <w:rPr>
          <w:b/>
          <w:sz w:val="24"/>
          <w:szCs w:val="24"/>
        </w:rPr>
      </w:pPr>
    </w:p>
    <w:p w:rsidR="000049C6" w:rsidRPr="000121E3" w:rsidRDefault="000049C6" w:rsidP="000049C6">
      <w:pPr>
        <w:spacing w:line="288" w:lineRule="auto"/>
        <w:ind w:firstLine="567"/>
        <w:jc w:val="center"/>
        <w:outlineLvl w:val="1"/>
        <w:rPr>
          <w:b/>
          <w:sz w:val="24"/>
          <w:szCs w:val="24"/>
        </w:rPr>
      </w:pPr>
    </w:p>
    <w:p w:rsidR="000049C6" w:rsidRPr="000121E3" w:rsidRDefault="000049C6" w:rsidP="000049C6">
      <w:pPr>
        <w:spacing w:line="288" w:lineRule="auto"/>
        <w:ind w:firstLine="567"/>
        <w:jc w:val="center"/>
        <w:outlineLvl w:val="1"/>
        <w:rPr>
          <w:b/>
          <w:sz w:val="24"/>
          <w:szCs w:val="24"/>
        </w:rPr>
      </w:pPr>
    </w:p>
    <w:p w:rsidR="000049C6" w:rsidRPr="000121E3" w:rsidRDefault="000E606D" w:rsidP="000049C6">
      <w:pPr>
        <w:spacing w:line="288" w:lineRule="auto"/>
        <w:ind w:firstLine="567"/>
        <w:jc w:val="center"/>
        <w:outlineLvl w:val="1"/>
        <w:rPr>
          <w:b/>
          <w:sz w:val="24"/>
          <w:szCs w:val="24"/>
        </w:rPr>
      </w:pPr>
      <w:r w:rsidRPr="000121E3">
        <w:rPr>
          <w:noProof/>
          <w:sz w:val="24"/>
          <w:szCs w:val="24"/>
        </w:rPr>
        <w:drawing>
          <wp:anchor distT="0" distB="0" distL="114300" distR="114300" simplePos="0" relativeHeight="251651584" behindDoc="0" locked="0" layoutInCell="1" allowOverlap="1" wp14:anchorId="4DA0C941" wp14:editId="2C55ADC3">
            <wp:simplePos x="0" y="0"/>
            <wp:positionH relativeFrom="margin">
              <wp:posOffset>1938699</wp:posOffset>
            </wp:positionH>
            <wp:positionV relativeFrom="margin">
              <wp:posOffset>-1262852</wp:posOffset>
            </wp:positionV>
            <wp:extent cx="1854978" cy="4331107"/>
            <wp:effectExtent l="1238250" t="0" r="1212215" b="0"/>
            <wp:wrapNone/>
            <wp:docPr id="1" name="Picture 1" descr="31944982_985659761587956_64278894930380718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944982_985659761587956_6427889493038071808_n"/>
                    <pic:cNvPicPr>
                      <a:picLocks noChangeAspect="1" noChangeArrowheads="1"/>
                    </pic:cNvPicPr>
                  </pic:nvPicPr>
                  <pic:blipFill>
                    <a:blip r:embed="rId14" cstate="print">
                      <a:extLst>
                        <a:ext uri="{28A0092B-C50C-407E-A947-70E740481C1C}">
                          <a14:useLocalDpi xmlns:a14="http://schemas.microsoft.com/office/drawing/2010/main" val="0"/>
                        </a:ext>
                      </a:extLst>
                    </a:blip>
                    <a:srcRect t="2602" b="2036"/>
                    <a:stretch>
                      <a:fillRect/>
                    </a:stretch>
                  </pic:blipFill>
                  <pic:spPr bwMode="auto">
                    <a:xfrm rot="16200000">
                      <a:off x="0" y="0"/>
                      <a:ext cx="1854978" cy="433110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E606D" w:rsidRPr="000121E3" w:rsidRDefault="000E606D" w:rsidP="000049C6">
      <w:pPr>
        <w:spacing w:line="288" w:lineRule="auto"/>
        <w:ind w:firstLine="567"/>
        <w:jc w:val="center"/>
        <w:outlineLvl w:val="1"/>
        <w:rPr>
          <w:b/>
          <w:sz w:val="24"/>
          <w:szCs w:val="24"/>
        </w:rPr>
      </w:pPr>
    </w:p>
    <w:p w:rsidR="000E606D" w:rsidRPr="000121E3" w:rsidRDefault="000E606D" w:rsidP="000049C6">
      <w:pPr>
        <w:spacing w:line="288" w:lineRule="auto"/>
        <w:ind w:firstLine="567"/>
        <w:jc w:val="center"/>
        <w:outlineLvl w:val="1"/>
        <w:rPr>
          <w:b/>
          <w:sz w:val="24"/>
          <w:szCs w:val="24"/>
        </w:rPr>
      </w:pPr>
    </w:p>
    <w:p w:rsidR="000E606D" w:rsidRPr="000121E3" w:rsidRDefault="000E606D" w:rsidP="000049C6">
      <w:pPr>
        <w:spacing w:line="288" w:lineRule="auto"/>
        <w:ind w:firstLine="567"/>
        <w:jc w:val="center"/>
        <w:outlineLvl w:val="1"/>
        <w:rPr>
          <w:b/>
          <w:sz w:val="24"/>
          <w:szCs w:val="24"/>
        </w:rPr>
      </w:pPr>
    </w:p>
    <w:p w:rsidR="000E606D" w:rsidRPr="000121E3" w:rsidRDefault="000E606D" w:rsidP="000049C6">
      <w:pPr>
        <w:spacing w:line="288" w:lineRule="auto"/>
        <w:ind w:firstLine="567"/>
        <w:jc w:val="center"/>
        <w:outlineLvl w:val="1"/>
        <w:rPr>
          <w:b/>
          <w:sz w:val="24"/>
          <w:szCs w:val="24"/>
        </w:rPr>
      </w:pPr>
    </w:p>
    <w:p w:rsidR="000E606D" w:rsidRPr="000121E3" w:rsidRDefault="000E606D" w:rsidP="000049C6">
      <w:pPr>
        <w:spacing w:line="288" w:lineRule="auto"/>
        <w:ind w:firstLine="567"/>
        <w:jc w:val="center"/>
        <w:outlineLvl w:val="1"/>
        <w:rPr>
          <w:b/>
          <w:sz w:val="24"/>
          <w:szCs w:val="24"/>
        </w:rPr>
      </w:pPr>
    </w:p>
    <w:p w:rsidR="000049C6" w:rsidRPr="000121E3" w:rsidRDefault="000049C6" w:rsidP="000E606D">
      <w:pPr>
        <w:ind w:firstLine="567"/>
        <w:jc w:val="center"/>
        <w:outlineLvl w:val="1"/>
        <w:rPr>
          <w:sz w:val="24"/>
          <w:szCs w:val="24"/>
        </w:rPr>
      </w:pPr>
      <w:r w:rsidRPr="00D63E1E">
        <w:rPr>
          <w:b/>
          <w:sz w:val="22"/>
          <w:szCs w:val="24"/>
        </w:rPr>
        <w:t xml:space="preserve">Hình 4. </w:t>
      </w:r>
      <w:r w:rsidRPr="00D63E1E">
        <w:rPr>
          <w:sz w:val="22"/>
          <w:szCs w:val="24"/>
        </w:rPr>
        <w:t>Sắc ký đồ GC mẫu tinh dầu lá cây giổi xanh non</w:t>
      </w:r>
    </w:p>
    <w:p w:rsidR="005C4988" w:rsidRPr="00D63E1E" w:rsidRDefault="00286F2C" w:rsidP="00874395">
      <w:pPr>
        <w:spacing w:before="120" w:after="120"/>
        <w:ind w:firstLine="567"/>
        <w:jc w:val="center"/>
        <w:outlineLvl w:val="1"/>
        <w:rPr>
          <w:sz w:val="22"/>
          <w:szCs w:val="24"/>
        </w:rPr>
      </w:pPr>
      <w:r w:rsidRPr="00D63E1E">
        <w:rPr>
          <w:b/>
          <w:sz w:val="22"/>
          <w:szCs w:val="24"/>
        </w:rPr>
        <w:t xml:space="preserve">Bảng </w:t>
      </w:r>
      <w:r w:rsidR="002B688F" w:rsidRPr="00D63E1E">
        <w:rPr>
          <w:b/>
          <w:sz w:val="22"/>
          <w:szCs w:val="24"/>
        </w:rPr>
        <w:t>1</w:t>
      </w:r>
      <w:r w:rsidR="00644BB3" w:rsidRPr="00D63E1E">
        <w:rPr>
          <w:b/>
          <w:sz w:val="22"/>
          <w:szCs w:val="24"/>
        </w:rPr>
        <w:t xml:space="preserve">. </w:t>
      </w:r>
      <w:r w:rsidR="006313B9" w:rsidRPr="00D63E1E">
        <w:rPr>
          <w:sz w:val="22"/>
          <w:szCs w:val="24"/>
        </w:rPr>
        <w:t>Một số t</w:t>
      </w:r>
      <w:r w:rsidR="00644BB3" w:rsidRPr="00D63E1E">
        <w:rPr>
          <w:sz w:val="22"/>
          <w:szCs w:val="24"/>
        </w:rPr>
        <w:t>hành phần hóa học</w:t>
      </w:r>
      <w:r w:rsidR="006313B9" w:rsidRPr="00D63E1E">
        <w:rPr>
          <w:sz w:val="22"/>
          <w:szCs w:val="24"/>
        </w:rPr>
        <w:t xml:space="preserve"> chính</w:t>
      </w:r>
      <w:r w:rsidR="00644BB3" w:rsidRPr="00D63E1E">
        <w:rPr>
          <w:sz w:val="22"/>
          <w:szCs w:val="24"/>
        </w:rPr>
        <w:t xml:space="preserve"> của tinh dầu lá cây </w:t>
      </w:r>
      <w:r w:rsidR="00D81929" w:rsidRPr="00D63E1E">
        <w:rPr>
          <w:sz w:val="22"/>
          <w:szCs w:val="24"/>
        </w:rPr>
        <w:t>g</w:t>
      </w:r>
      <w:r w:rsidR="00644BB3" w:rsidRPr="00D63E1E">
        <w:rPr>
          <w:sz w:val="22"/>
          <w:szCs w:val="24"/>
        </w:rPr>
        <w:t xml:space="preserve">iổi </w:t>
      </w:r>
      <w:r w:rsidRPr="00D63E1E">
        <w:rPr>
          <w:sz w:val="22"/>
          <w:szCs w:val="24"/>
        </w:rPr>
        <w:t>xanh non</w:t>
      </w:r>
      <w:r w:rsidR="00874395" w:rsidRPr="00D63E1E">
        <w:rPr>
          <w:sz w:val="22"/>
          <w:szCs w:val="24"/>
        </w:rPr>
        <w:t xml:space="preserve"> t</w:t>
      </w:r>
      <w:r w:rsidRPr="00D63E1E">
        <w:rPr>
          <w:sz w:val="22"/>
          <w:szCs w:val="24"/>
        </w:rPr>
        <w:t>hu</w:t>
      </w:r>
      <w:r w:rsidR="00874395" w:rsidRPr="00D63E1E">
        <w:rPr>
          <w:sz w:val="22"/>
          <w:szCs w:val="24"/>
        </w:rPr>
        <w:t xml:space="preserve"> </w:t>
      </w:r>
      <w:r w:rsidR="00644BB3" w:rsidRPr="00D63E1E">
        <w:rPr>
          <w:sz w:val="22"/>
          <w:szCs w:val="24"/>
        </w:rPr>
        <w:t>hái</w:t>
      </w:r>
      <w:r w:rsidR="00874395" w:rsidRPr="00D63E1E">
        <w:rPr>
          <w:sz w:val="22"/>
          <w:szCs w:val="24"/>
        </w:rPr>
        <w:t xml:space="preserve"> </w:t>
      </w:r>
      <w:r w:rsidR="00644BB3" w:rsidRPr="00D63E1E">
        <w:rPr>
          <w:sz w:val="22"/>
          <w:szCs w:val="24"/>
        </w:rPr>
        <w:t xml:space="preserve">ở khu vực </w:t>
      </w:r>
      <w:r w:rsidR="00B32E55" w:rsidRPr="00D63E1E">
        <w:rPr>
          <w:sz w:val="22"/>
          <w:szCs w:val="24"/>
        </w:rPr>
        <w:t>thành phố Đồng Hới, tỉnh Quảng Bình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1676"/>
        <w:gridCol w:w="3685"/>
        <w:gridCol w:w="2693"/>
      </w:tblGrid>
      <w:tr w:rsidR="000121E3" w:rsidRPr="00D63E1E" w:rsidTr="00874395">
        <w:tc>
          <w:tcPr>
            <w:tcW w:w="559"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TT</w:t>
            </w:r>
          </w:p>
        </w:tc>
        <w:tc>
          <w:tcPr>
            <w:tcW w:w="1676"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Thời gian</w:t>
            </w:r>
            <w:r w:rsidR="004B5412" w:rsidRPr="00D63E1E">
              <w:rPr>
                <w:b/>
                <w:sz w:val="20"/>
                <w:szCs w:val="20"/>
              </w:rPr>
              <w:t xml:space="preserve"> lưu</w:t>
            </w:r>
          </w:p>
        </w:tc>
        <w:tc>
          <w:tcPr>
            <w:tcW w:w="3685"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Hợp chất</w:t>
            </w:r>
          </w:p>
        </w:tc>
        <w:tc>
          <w:tcPr>
            <w:tcW w:w="2693" w:type="dxa"/>
            <w:shd w:val="clear" w:color="auto" w:fill="auto"/>
          </w:tcPr>
          <w:p w:rsidR="00A90B7A" w:rsidRPr="00D63E1E" w:rsidRDefault="00644BB3" w:rsidP="000E606D">
            <w:pPr>
              <w:spacing w:line="240" w:lineRule="atLeast"/>
              <w:jc w:val="center"/>
              <w:outlineLvl w:val="1"/>
              <w:rPr>
                <w:b/>
                <w:sz w:val="20"/>
                <w:szCs w:val="20"/>
              </w:rPr>
            </w:pPr>
            <w:r w:rsidRPr="00D63E1E">
              <w:rPr>
                <w:b/>
                <w:sz w:val="20"/>
                <w:szCs w:val="20"/>
              </w:rPr>
              <w:t>Hàm lượng</w:t>
            </w:r>
            <w:r w:rsidR="00874395" w:rsidRPr="00D63E1E">
              <w:rPr>
                <w:b/>
                <w:sz w:val="20"/>
                <w:szCs w:val="20"/>
              </w:rPr>
              <w:t xml:space="preserve"> </w:t>
            </w:r>
            <w:r w:rsidR="00A90B7A" w:rsidRPr="00D63E1E">
              <w:rPr>
                <w:b/>
                <w:sz w:val="20"/>
                <w:szCs w:val="20"/>
              </w:rPr>
              <w:t>(%)</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b/>
                <w:sz w:val="20"/>
                <w:szCs w:val="20"/>
              </w:rPr>
            </w:pPr>
          </w:p>
        </w:tc>
        <w:tc>
          <w:tcPr>
            <w:tcW w:w="1676"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10,35</w:t>
            </w:r>
          </w:p>
        </w:tc>
        <w:tc>
          <w:tcPr>
            <w:tcW w:w="3685" w:type="dxa"/>
            <w:shd w:val="clear" w:color="auto" w:fill="auto"/>
          </w:tcPr>
          <w:p w:rsidR="00644BB3" w:rsidRPr="00D63E1E" w:rsidRDefault="00644BB3" w:rsidP="000E606D">
            <w:pPr>
              <w:spacing w:line="240" w:lineRule="atLeast"/>
              <w:jc w:val="both"/>
              <w:outlineLvl w:val="1"/>
              <w:rPr>
                <w:b/>
                <w:sz w:val="20"/>
                <w:szCs w:val="20"/>
              </w:rPr>
            </w:pPr>
            <w:r w:rsidRPr="00D63E1E">
              <w:rPr>
                <w:b/>
                <w:sz w:val="20"/>
                <w:szCs w:val="20"/>
              </w:rPr>
              <w:t>α-</w:t>
            </w:r>
            <w:r w:rsidR="003B2802" w:rsidRPr="00D63E1E">
              <w:rPr>
                <w:b/>
                <w:sz w:val="20"/>
                <w:szCs w:val="20"/>
              </w:rPr>
              <w:t>p</w:t>
            </w:r>
            <w:r w:rsidRPr="00D63E1E">
              <w:rPr>
                <w:b/>
                <w:sz w:val="20"/>
                <w:szCs w:val="20"/>
              </w:rPr>
              <w:t>inene</w:t>
            </w:r>
          </w:p>
        </w:tc>
        <w:tc>
          <w:tcPr>
            <w:tcW w:w="2693"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4,92</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11,57</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sz w:val="20"/>
                <w:szCs w:val="20"/>
              </w:rPr>
              <w:t>Sabinene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1,16</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b/>
                <w:sz w:val="20"/>
                <w:szCs w:val="20"/>
              </w:rPr>
            </w:pPr>
          </w:p>
        </w:tc>
        <w:tc>
          <w:tcPr>
            <w:tcW w:w="1676"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11,75</w:t>
            </w:r>
          </w:p>
        </w:tc>
        <w:tc>
          <w:tcPr>
            <w:tcW w:w="3685" w:type="dxa"/>
            <w:shd w:val="clear" w:color="auto" w:fill="auto"/>
          </w:tcPr>
          <w:p w:rsidR="00644BB3" w:rsidRPr="00D63E1E" w:rsidRDefault="00644BB3" w:rsidP="000E606D">
            <w:pPr>
              <w:spacing w:line="240" w:lineRule="atLeast"/>
              <w:jc w:val="both"/>
              <w:outlineLvl w:val="1"/>
              <w:rPr>
                <w:b/>
                <w:sz w:val="20"/>
                <w:szCs w:val="20"/>
              </w:rPr>
            </w:pPr>
            <w:r w:rsidRPr="00D63E1E">
              <w:rPr>
                <w:b/>
                <w:sz w:val="20"/>
                <w:szCs w:val="20"/>
              </w:rPr>
              <w:t>β-</w:t>
            </w:r>
            <w:r w:rsidR="003B2802" w:rsidRPr="00D63E1E">
              <w:rPr>
                <w:b/>
                <w:sz w:val="20"/>
                <w:szCs w:val="20"/>
              </w:rPr>
              <w:t>p</w:t>
            </w:r>
            <w:r w:rsidRPr="00D63E1E">
              <w:rPr>
                <w:b/>
                <w:sz w:val="20"/>
                <w:szCs w:val="20"/>
              </w:rPr>
              <w:t>inene</w:t>
            </w:r>
          </w:p>
        </w:tc>
        <w:tc>
          <w:tcPr>
            <w:tcW w:w="2693"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15,86</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11,98</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sz w:val="20"/>
                <w:szCs w:val="20"/>
              </w:rPr>
              <w:t>Myrcene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0,68</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13,40</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sz w:val="20"/>
                <w:szCs w:val="20"/>
              </w:rPr>
              <w:t>Limonene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1,77</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13,52</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sz w:val="20"/>
                <w:szCs w:val="20"/>
              </w:rPr>
              <w:t>1,8-</w:t>
            </w:r>
            <w:r w:rsidR="003B2802" w:rsidRPr="00D63E1E">
              <w:rPr>
                <w:sz w:val="20"/>
                <w:szCs w:val="20"/>
              </w:rPr>
              <w:t>c</w:t>
            </w:r>
            <w:r w:rsidRPr="00D63E1E">
              <w:rPr>
                <w:sz w:val="20"/>
                <w:szCs w:val="20"/>
              </w:rPr>
              <w:t xml:space="preserve">ineole </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0,95</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15,79</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sz w:val="20"/>
                <w:szCs w:val="20"/>
              </w:rPr>
              <w:t>Linalool</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1,08</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17,46</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i/>
                <w:sz w:val="20"/>
                <w:szCs w:val="20"/>
              </w:rPr>
              <w:t>Trans</w:t>
            </w:r>
            <w:r w:rsidRPr="00D63E1E">
              <w:rPr>
                <w:sz w:val="20"/>
                <w:szCs w:val="20"/>
              </w:rPr>
              <w:t>-</w:t>
            </w:r>
            <w:r w:rsidR="003B2802" w:rsidRPr="00D63E1E">
              <w:rPr>
                <w:sz w:val="20"/>
                <w:szCs w:val="20"/>
              </w:rPr>
              <w:t>p</w:t>
            </w:r>
            <w:r w:rsidRPr="00D63E1E">
              <w:rPr>
                <w:sz w:val="20"/>
                <w:szCs w:val="20"/>
              </w:rPr>
              <w:t xml:space="preserve">inocarveol </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1,32</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18,24</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sz w:val="20"/>
                <w:szCs w:val="20"/>
              </w:rPr>
              <w:t>Pinocarvone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0,91</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19,43</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sz w:val="20"/>
                <w:szCs w:val="20"/>
              </w:rPr>
              <w:t>Myrtenal</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1,98</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22,62</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sz w:val="20"/>
                <w:szCs w:val="20"/>
              </w:rPr>
              <w:t>Safrole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0,60</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25,61</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sz w:val="20"/>
                <w:szCs w:val="20"/>
              </w:rPr>
              <w:t>α-Copaene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2,25</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26,02</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i/>
                <w:sz w:val="20"/>
                <w:szCs w:val="20"/>
              </w:rPr>
              <w:t>β-</w:t>
            </w:r>
            <w:r w:rsidRPr="00D63E1E">
              <w:rPr>
                <w:sz w:val="20"/>
                <w:szCs w:val="20"/>
              </w:rPr>
              <w:t>Cubebene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0,79</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26,74</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i/>
                <w:sz w:val="20"/>
                <w:szCs w:val="20"/>
              </w:rPr>
              <w:t>Cis-</w:t>
            </w:r>
            <w:r w:rsidRPr="00D63E1E">
              <w:rPr>
                <w:sz w:val="20"/>
                <w:szCs w:val="20"/>
              </w:rPr>
              <w:t>α-Bergamotene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0,57</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b/>
                <w:sz w:val="20"/>
                <w:szCs w:val="20"/>
              </w:rPr>
            </w:pPr>
          </w:p>
        </w:tc>
        <w:tc>
          <w:tcPr>
            <w:tcW w:w="1676"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27,13</w:t>
            </w:r>
          </w:p>
        </w:tc>
        <w:tc>
          <w:tcPr>
            <w:tcW w:w="3685" w:type="dxa"/>
            <w:shd w:val="clear" w:color="auto" w:fill="auto"/>
          </w:tcPr>
          <w:p w:rsidR="00644BB3" w:rsidRPr="00D63E1E" w:rsidRDefault="00644BB3" w:rsidP="000E606D">
            <w:pPr>
              <w:spacing w:line="240" w:lineRule="atLeast"/>
              <w:jc w:val="both"/>
              <w:outlineLvl w:val="1"/>
              <w:rPr>
                <w:b/>
                <w:sz w:val="20"/>
                <w:szCs w:val="20"/>
              </w:rPr>
            </w:pPr>
            <w:r w:rsidRPr="00D63E1E">
              <w:rPr>
                <w:b/>
                <w:i/>
                <w:sz w:val="20"/>
                <w:szCs w:val="20"/>
              </w:rPr>
              <w:t>(E)-</w:t>
            </w:r>
            <w:r w:rsidR="00267DEE" w:rsidRPr="00D63E1E">
              <w:rPr>
                <w:b/>
                <w:sz w:val="20"/>
                <w:szCs w:val="20"/>
              </w:rPr>
              <w:t>c</w:t>
            </w:r>
            <w:r w:rsidRPr="00D63E1E">
              <w:rPr>
                <w:b/>
                <w:sz w:val="20"/>
                <w:szCs w:val="20"/>
              </w:rPr>
              <w:t>aryophylene (</w:t>
            </w:r>
            <w:r w:rsidRPr="00D63E1E">
              <w:rPr>
                <w:i/>
                <w:sz w:val="20"/>
                <w:szCs w:val="20"/>
              </w:rPr>
              <w:t>β-</w:t>
            </w:r>
            <w:r w:rsidR="00267DEE" w:rsidRPr="00D63E1E">
              <w:rPr>
                <w:b/>
                <w:sz w:val="20"/>
                <w:szCs w:val="20"/>
              </w:rPr>
              <w:t>c</w:t>
            </w:r>
            <w:r w:rsidRPr="00D63E1E">
              <w:rPr>
                <w:b/>
                <w:sz w:val="20"/>
                <w:szCs w:val="20"/>
              </w:rPr>
              <w:t>aryophylene)</w:t>
            </w:r>
          </w:p>
        </w:tc>
        <w:tc>
          <w:tcPr>
            <w:tcW w:w="2693"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4,40</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27,39</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i/>
                <w:sz w:val="20"/>
                <w:szCs w:val="20"/>
              </w:rPr>
              <w:t>Trans-α-</w:t>
            </w:r>
            <w:r w:rsidR="009F3CF0" w:rsidRPr="00D63E1E">
              <w:rPr>
                <w:sz w:val="20"/>
                <w:szCs w:val="20"/>
              </w:rPr>
              <w:t>b</w:t>
            </w:r>
            <w:r w:rsidRPr="00D63E1E">
              <w:rPr>
                <w:sz w:val="20"/>
                <w:szCs w:val="20"/>
              </w:rPr>
              <w:t xml:space="preserve">ergamotene </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0,54</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28,22</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sz w:val="20"/>
                <w:szCs w:val="20"/>
              </w:rPr>
              <w:t>α-</w:t>
            </w:r>
            <w:r w:rsidR="003B2802" w:rsidRPr="00D63E1E">
              <w:rPr>
                <w:sz w:val="20"/>
                <w:szCs w:val="20"/>
              </w:rPr>
              <w:t>h</w:t>
            </w:r>
            <w:r w:rsidRPr="00D63E1E">
              <w:rPr>
                <w:sz w:val="20"/>
                <w:szCs w:val="20"/>
              </w:rPr>
              <w:t>umulene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2,60</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28,81</w:t>
            </w:r>
          </w:p>
        </w:tc>
        <w:tc>
          <w:tcPr>
            <w:tcW w:w="3685" w:type="dxa"/>
            <w:shd w:val="clear" w:color="auto" w:fill="auto"/>
          </w:tcPr>
          <w:p w:rsidR="00644BB3" w:rsidRPr="00D63E1E" w:rsidRDefault="00267DEE" w:rsidP="000E606D">
            <w:pPr>
              <w:spacing w:line="240" w:lineRule="atLeast"/>
              <w:jc w:val="both"/>
              <w:outlineLvl w:val="1"/>
              <w:rPr>
                <w:sz w:val="20"/>
                <w:szCs w:val="20"/>
              </w:rPr>
            </w:pPr>
            <w:r w:rsidRPr="00D63E1E">
              <w:rPr>
                <w:i/>
                <w:sz w:val="20"/>
                <w:szCs w:val="20"/>
              </w:rPr>
              <w:t>G-</w:t>
            </w:r>
            <w:r w:rsidRPr="00D63E1E">
              <w:rPr>
                <w:sz w:val="20"/>
                <w:szCs w:val="20"/>
              </w:rPr>
              <w:t>m</w:t>
            </w:r>
            <w:r w:rsidR="00644BB3" w:rsidRPr="00D63E1E">
              <w:rPr>
                <w:sz w:val="20"/>
                <w:szCs w:val="20"/>
              </w:rPr>
              <w:t xml:space="preserve">uurolene </w:t>
            </w:r>
            <w:r w:rsidRPr="00D63E1E">
              <w:rPr>
                <w:sz w:val="20"/>
                <w:szCs w:val="20"/>
              </w:rPr>
              <w:t>(</w:t>
            </w:r>
            <w:r w:rsidRPr="00D63E1E">
              <w:rPr>
                <w:i/>
                <w:sz w:val="20"/>
                <w:szCs w:val="20"/>
              </w:rPr>
              <w:t>γ-</w:t>
            </w:r>
            <w:r w:rsidRPr="00D63E1E">
              <w:rPr>
                <w:sz w:val="20"/>
                <w:szCs w:val="20"/>
              </w:rPr>
              <w:t>muurolene)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2,07</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29,26</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i/>
                <w:sz w:val="20"/>
                <w:szCs w:val="20"/>
              </w:rPr>
              <w:t>β-</w:t>
            </w:r>
            <w:r w:rsidR="009F3CF0" w:rsidRPr="00D63E1E">
              <w:rPr>
                <w:sz w:val="20"/>
                <w:szCs w:val="20"/>
              </w:rPr>
              <w:t>s</w:t>
            </w:r>
            <w:r w:rsidRPr="00D63E1E">
              <w:rPr>
                <w:sz w:val="20"/>
                <w:szCs w:val="20"/>
              </w:rPr>
              <w:t xml:space="preserve">elinene </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2,12</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29,46</w:t>
            </w:r>
          </w:p>
        </w:tc>
        <w:tc>
          <w:tcPr>
            <w:tcW w:w="3685" w:type="dxa"/>
            <w:shd w:val="clear" w:color="auto" w:fill="auto"/>
          </w:tcPr>
          <w:p w:rsidR="00644BB3" w:rsidRPr="00D63E1E" w:rsidRDefault="00FB4399" w:rsidP="000E606D">
            <w:pPr>
              <w:spacing w:line="240" w:lineRule="atLeast"/>
              <w:jc w:val="both"/>
              <w:outlineLvl w:val="1"/>
              <w:rPr>
                <w:sz w:val="20"/>
                <w:szCs w:val="20"/>
              </w:rPr>
            </w:pPr>
            <w:r w:rsidRPr="00D63E1E">
              <w:rPr>
                <w:sz w:val="20"/>
                <w:szCs w:val="20"/>
              </w:rPr>
              <w:t>α-c</w:t>
            </w:r>
            <w:r w:rsidR="00644BB3" w:rsidRPr="00D63E1E">
              <w:rPr>
                <w:sz w:val="20"/>
                <w:szCs w:val="20"/>
              </w:rPr>
              <w:t>ubeb</w:t>
            </w:r>
            <w:r w:rsidRPr="00D63E1E">
              <w:rPr>
                <w:sz w:val="20"/>
                <w:szCs w:val="20"/>
              </w:rPr>
              <w:t>ene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0,64</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29,51</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sz w:val="20"/>
                <w:szCs w:val="20"/>
              </w:rPr>
              <w:t>α-</w:t>
            </w:r>
            <w:r w:rsidR="009F3CF0" w:rsidRPr="00D63E1E">
              <w:rPr>
                <w:sz w:val="20"/>
                <w:szCs w:val="20"/>
              </w:rPr>
              <w:t>s</w:t>
            </w:r>
            <w:r w:rsidRPr="00D63E1E">
              <w:rPr>
                <w:sz w:val="20"/>
                <w:szCs w:val="20"/>
              </w:rPr>
              <w:t>elinene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0,97</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29,63</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i/>
                <w:sz w:val="20"/>
                <w:szCs w:val="20"/>
              </w:rPr>
              <w:t>β-</w:t>
            </w:r>
            <w:r w:rsidR="003B2802" w:rsidRPr="00D63E1E">
              <w:rPr>
                <w:sz w:val="20"/>
                <w:szCs w:val="20"/>
              </w:rPr>
              <w:t>b</w:t>
            </w:r>
            <w:r w:rsidRPr="00D63E1E">
              <w:rPr>
                <w:sz w:val="20"/>
                <w:szCs w:val="20"/>
              </w:rPr>
              <w:t>isabolene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1,33</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30,21</w:t>
            </w:r>
          </w:p>
        </w:tc>
        <w:tc>
          <w:tcPr>
            <w:tcW w:w="3685" w:type="dxa"/>
            <w:shd w:val="clear" w:color="auto" w:fill="auto"/>
          </w:tcPr>
          <w:p w:rsidR="00644BB3" w:rsidRPr="00D63E1E" w:rsidRDefault="00267DEE" w:rsidP="000E606D">
            <w:pPr>
              <w:spacing w:line="240" w:lineRule="atLeast"/>
              <w:jc w:val="both"/>
              <w:outlineLvl w:val="1"/>
              <w:rPr>
                <w:sz w:val="20"/>
                <w:szCs w:val="20"/>
              </w:rPr>
            </w:pPr>
            <w:r w:rsidRPr="00D63E1E">
              <w:rPr>
                <w:i/>
                <w:sz w:val="20"/>
                <w:szCs w:val="20"/>
              </w:rPr>
              <w:t>δ-</w:t>
            </w:r>
            <w:r w:rsidRPr="00D63E1E">
              <w:rPr>
                <w:sz w:val="20"/>
                <w:szCs w:val="20"/>
              </w:rPr>
              <w:t>c</w:t>
            </w:r>
            <w:r w:rsidR="00644BB3" w:rsidRPr="00D63E1E">
              <w:rPr>
                <w:sz w:val="20"/>
                <w:szCs w:val="20"/>
              </w:rPr>
              <w:t>adinene</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1,02</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32,08</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sz w:val="20"/>
                <w:szCs w:val="20"/>
              </w:rPr>
              <w:t xml:space="preserve">Spathulenol </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1,22</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b/>
                <w:sz w:val="20"/>
                <w:szCs w:val="20"/>
              </w:rPr>
            </w:pPr>
          </w:p>
        </w:tc>
        <w:tc>
          <w:tcPr>
            <w:tcW w:w="1676"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32,27</w:t>
            </w:r>
          </w:p>
        </w:tc>
        <w:tc>
          <w:tcPr>
            <w:tcW w:w="3685" w:type="dxa"/>
            <w:shd w:val="clear" w:color="auto" w:fill="auto"/>
          </w:tcPr>
          <w:p w:rsidR="00644BB3" w:rsidRPr="00D63E1E" w:rsidRDefault="00644BB3" w:rsidP="000E606D">
            <w:pPr>
              <w:spacing w:line="240" w:lineRule="atLeast"/>
              <w:jc w:val="both"/>
              <w:outlineLvl w:val="1"/>
              <w:rPr>
                <w:b/>
                <w:sz w:val="20"/>
                <w:szCs w:val="20"/>
              </w:rPr>
            </w:pPr>
            <w:r w:rsidRPr="00D63E1E">
              <w:rPr>
                <w:b/>
                <w:sz w:val="20"/>
                <w:szCs w:val="20"/>
              </w:rPr>
              <w:t>Caryophyllene oxide</w:t>
            </w:r>
          </w:p>
        </w:tc>
        <w:tc>
          <w:tcPr>
            <w:tcW w:w="2693"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9,43</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b/>
                <w:sz w:val="20"/>
                <w:szCs w:val="20"/>
              </w:rPr>
            </w:pPr>
          </w:p>
        </w:tc>
        <w:tc>
          <w:tcPr>
            <w:tcW w:w="1676"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33,02</w:t>
            </w:r>
          </w:p>
        </w:tc>
        <w:tc>
          <w:tcPr>
            <w:tcW w:w="3685" w:type="dxa"/>
            <w:shd w:val="clear" w:color="auto" w:fill="auto"/>
          </w:tcPr>
          <w:p w:rsidR="00644BB3" w:rsidRPr="00D63E1E" w:rsidRDefault="00644BB3" w:rsidP="000E606D">
            <w:pPr>
              <w:spacing w:line="240" w:lineRule="atLeast"/>
              <w:jc w:val="both"/>
              <w:outlineLvl w:val="1"/>
              <w:rPr>
                <w:b/>
                <w:sz w:val="20"/>
                <w:szCs w:val="20"/>
              </w:rPr>
            </w:pPr>
            <w:r w:rsidRPr="00D63E1E">
              <w:rPr>
                <w:b/>
                <w:sz w:val="20"/>
                <w:szCs w:val="20"/>
              </w:rPr>
              <w:t xml:space="preserve">Humulene </w:t>
            </w:r>
            <w:r w:rsidR="009F3CF0" w:rsidRPr="00D63E1E">
              <w:rPr>
                <w:b/>
                <w:sz w:val="20"/>
                <w:szCs w:val="20"/>
              </w:rPr>
              <w:t>e</w:t>
            </w:r>
            <w:r w:rsidRPr="00D63E1E">
              <w:rPr>
                <w:b/>
                <w:sz w:val="20"/>
                <w:szCs w:val="20"/>
              </w:rPr>
              <w:t>poxide II</w:t>
            </w:r>
          </w:p>
        </w:tc>
        <w:tc>
          <w:tcPr>
            <w:tcW w:w="2693"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3,06</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33,46</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i/>
                <w:sz w:val="20"/>
                <w:szCs w:val="20"/>
              </w:rPr>
              <w:t>1-epi-</w:t>
            </w:r>
            <w:r w:rsidR="009F3CF0" w:rsidRPr="00D63E1E">
              <w:rPr>
                <w:sz w:val="20"/>
                <w:szCs w:val="20"/>
              </w:rPr>
              <w:t>c</w:t>
            </w:r>
            <w:r w:rsidRPr="00D63E1E">
              <w:rPr>
                <w:sz w:val="20"/>
                <w:szCs w:val="20"/>
              </w:rPr>
              <w:t>ubenol</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0,76</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33,61</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sz w:val="20"/>
                <w:szCs w:val="20"/>
              </w:rPr>
              <w:t>Gossonorol</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0,81</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33,83</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i/>
                <w:sz w:val="20"/>
                <w:szCs w:val="20"/>
              </w:rPr>
              <w:t>α-epi-</w:t>
            </w:r>
            <w:r w:rsidR="009F3CF0" w:rsidRPr="00D63E1E">
              <w:rPr>
                <w:sz w:val="20"/>
                <w:szCs w:val="20"/>
              </w:rPr>
              <w:t>c</w:t>
            </w:r>
            <w:r w:rsidRPr="00D63E1E">
              <w:rPr>
                <w:sz w:val="20"/>
                <w:szCs w:val="20"/>
              </w:rPr>
              <w:t>adinol (</w:t>
            </w:r>
            <w:r w:rsidRPr="00D63E1E">
              <w:rPr>
                <w:i/>
                <w:sz w:val="20"/>
                <w:szCs w:val="20"/>
              </w:rPr>
              <w:t>Tau-</w:t>
            </w:r>
            <w:r w:rsidR="00267DEE" w:rsidRPr="00D63E1E">
              <w:rPr>
                <w:sz w:val="20"/>
                <w:szCs w:val="20"/>
              </w:rPr>
              <w:t>c</w:t>
            </w:r>
            <w:r w:rsidRPr="00D63E1E">
              <w:rPr>
                <w:sz w:val="20"/>
                <w:szCs w:val="20"/>
              </w:rPr>
              <w:t>adinol)</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1,72</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33,95</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i/>
                <w:sz w:val="20"/>
                <w:szCs w:val="20"/>
              </w:rPr>
              <w:t>α-</w:t>
            </w:r>
            <w:r w:rsidR="009F3CF0" w:rsidRPr="00D63E1E">
              <w:rPr>
                <w:sz w:val="20"/>
                <w:szCs w:val="20"/>
              </w:rPr>
              <w:t>m</w:t>
            </w:r>
            <w:r w:rsidR="00267DEE" w:rsidRPr="00D63E1E">
              <w:rPr>
                <w:sz w:val="20"/>
                <w:szCs w:val="20"/>
              </w:rPr>
              <w:t>uurolol (</w:t>
            </w:r>
            <w:r w:rsidR="00267DEE" w:rsidRPr="00D63E1E">
              <w:rPr>
                <w:i/>
                <w:sz w:val="20"/>
                <w:szCs w:val="20"/>
              </w:rPr>
              <w:t>δ-c</w:t>
            </w:r>
            <w:r w:rsidR="00267DEE" w:rsidRPr="00D63E1E">
              <w:rPr>
                <w:sz w:val="20"/>
                <w:szCs w:val="20"/>
              </w:rPr>
              <w:t>adinol</w:t>
            </w:r>
            <w:r w:rsidRPr="00D63E1E">
              <w:rPr>
                <w:sz w:val="20"/>
                <w:szCs w:val="20"/>
              </w:rPr>
              <w:t>)</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0,96</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b/>
                <w:sz w:val="20"/>
                <w:szCs w:val="20"/>
              </w:rPr>
            </w:pPr>
          </w:p>
        </w:tc>
        <w:tc>
          <w:tcPr>
            <w:tcW w:w="1676"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34,21</w:t>
            </w:r>
          </w:p>
        </w:tc>
        <w:tc>
          <w:tcPr>
            <w:tcW w:w="3685" w:type="dxa"/>
            <w:shd w:val="clear" w:color="auto" w:fill="auto"/>
          </w:tcPr>
          <w:p w:rsidR="00644BB3" w:rsidRPr="00D63E1E" w:rsidRDefault="00644BB3" w:rsidP="000E606D">
            <w:pPr>
              <w:spacing w:line="240" w:lineRule="atLeast"/>
              <w:jc w:val="both"/>
              <w:outlineLvl w:val="1"/>
              <w:rPr>
                <w:b/>
                <w:sz w:val="20"/>
                <w:szCs w:val="20"/>
              </w:rPr>
            </w:pPr>
            <w:r w:rsidRPr="00D63E1E">
              <w:rPr>
                <w:i/>
                <w:sz w:val="20"/>
                <w:szCs w:val="20"/>
              </w:rPr>
              <w:t>α-</w:t>
            </w:r>
            <w:r w:rsidR="00D95DAB" w:rsidRPr="00D63E1E">
              <w:rPr>
                <w:b/>
                <w:sz w:val="20"/>
                <w:szCs w:val="20"/>
              </w:rPr>
              <w:t>c</w:t>
            </w:r>
            <w:r w:rsidRPr="00D63E1E">
              <w:rPr>
                <w:b/>
                <w:sz w:val="20"/>
                <w:szCs w:val="20"/>
              </w:rPr>
              <w:t>adinol</w:t>
            </w:r>
          </w:p>
        </w:tc>
        <w:tc>
          <w:tcPr>
            <w:tcW w:w="2693" w:type="dxa"/>
            <w:shd w:val="clear" w:color="auto" w:fill="auto"/>
          </w:tcPr>
          <w:p w:rsidR="00644BB3" w:rsidRPr="00D63E1E" w:rsidRDefault="00644BB3" w:rsidP="000E606D">
            <w:pPr>
              <w:spacing w:line="240" w:lineRule="atLeast"/>
              <w:jc w:val="center"/>
              <w:outlineLvl w:val="1"/>
              <w:rPr>
                <w:b/>
                <w:sz w:val="20"/>
                <w:szCs w:val="20"/>
              </w:rPr>
            </w:pPr>
            <w:r w:rsidRPr="00D63E1E">
              <w:rPr>
                <w:b/>
                <w:sz w:val="20"/>
                <w:szCs w:val="20"/>
              </w:rPr>
              <w:t>3,89</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34,34</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i/>
                <w:sz w:val="20"/>
                <w:szCs w:val="20"/>
              </w:rPr>
              <w:t>Cis-</w:t>
            </w:r>
            <w:r w:rsidR="00D95DAB" w:rsidRPr="00D63E1E">
              <w:rPr>
                <w:sz w:val="20"/>
                <w:szCs w:val="20"/>
              </w:rPr>
              <w:t>c</w:t>
            </w:r>
            <w:r w:rsidRPr="00D63E1E">
              <w:rPr>
                <w:sz w:val="20"/>
                <w:szCs w:val="20"/>
              </w:rPr>
              <w:t>alamenen-10-ol</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2,02</w:t>
            </w:r>
          </w:p>
        </w:tc>
      </w:tr>
      <w:tr w:rsidR="000121E3" w:rsidRPr="00D63E1E" w:rsidTr="00874395">
        <w:tc>
          <w:tcPr>
            <w:tcW w:w="559" w:type="dxa"/>
            <w:shd w:val="clear" w:color="auto" w:fill="auto"/>
          </w:tcPr>
          <w:p w:rsidR="00644BB3" w:rsidRPr="00D63E1E" w:rsidRDefault="00644BB3" w:rsidP="000E606D">
            <w:pPr>
              <w:pStyle w:val="ListParagraph"/>
              <w:numPr>
                <w:ilvl w:val="0"/>
                <w:numId w:val="9"/>
              </w:numPr>
              <w:spacing w:line="240" w:lineRule="atLeast"/>
              <w:contextualSpacing w:val="0"/>
              <w:jc w:val="both"/>
              <w:outlineLvl w:val="1"/>
              <w:rPr>
                <w:sz w:val="20"/>
                <w:szCs w:val="20"/>
              </w:rPr>
            </w:pPr>
          </w:p>
        </w:tc>
        <w:tc>
          <w:tcPr>
            <w:tcW w:w="1676"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34,61</w:t>
            </w:r>
          </w:p>
        </w:tc>
        <w:tc>
          <w:tcPr>
            <w:tcW w:w="3685" w:type="dxa"/>
            <w:shd w:val="clear" w:color="auto" w:fill="auto"/>
          </w:tcPr>
          <w:p w:rsidR="00644BB3" w:rsidRPr="00D63E1E" w:rsidRDefault="00644BB3" w:rsidP="000E606D">
            <w:pPr>
              <w:spacing w:line="240" w:lineRule="atLeast"/>
              <w:jc w:val="both"/>
              <w:outlineLvl w:val="1"/>
              <w:rPr>
                <w:sz w:val="20"/>
                <w:szCs w:val="20"/>
              </w:rPr>
            </w:pPr>
            <w:r w:rsidRPr="00D63E1E">
              <w:rPr>
                <w:i/>
                <w:sz w:val="20"/>
                <w:szCs w:val="20"/>
              </w:rPr>
              <w:t>Trans-</w:t>
            </w:r>
            <w:r w:rsidR="00D95DAB" w:rsidRPr="00D63E1E">
              <w:rPr>
                <w:sz w:val="20"/>
                <w:szCs w:val="20"/>
              </w:rPr>
              <w:t>c</w:t>
            </w:r>
            <w:r w:rsidRPr="00D63E1E">
              <w:rPr>
                <w:sz w:val="20"/>
                <w:szCs w:val="20"/>
              </w:rPr>
              <w:t>alamenen-10-ol</w:t>
            </w:r>
          </w:p>
        </w:tc>
        <w:tc>
          <w:tcPr>
            <w:tcW w:w="2693" w:type="dxa"/>
            <w:shd w:val="clear" w:color="auto" w:fill="auto"/>
          </w:tcPr>
          <w:p w:rsidR="00644BB3" w:rsidRPr="00D63E1E" w:rsidRDefault="00644BB3" w:rsidP="000E606D">
            <w:pPr>
              <w:spacing w:line="240" w:lineRule="atLeast"/>
              <w:jc w:val="center"/>
              <w:outlineLvl w:val="1"/>
              <w:rPr>
                <w:sz w:val="20"/>
                <w:szCs w:val="20"/>
              </w:rPr>
            </w:pPr>
            <w:r w:rsidRPr="00D63E1E">
              <w:rPr>
                <w:sz w:val="20"/>
                <w:szCs w:val="20"/>
              </w:rPr>
              <w:t>1,31</w:t>
            </w:r>
          </w:p>
        </w:tc>
      </w:tr>
    </w:tbl>
    <w:p w:rsidR="009B3F6D" w:rsidRPr="000121E3" w:rsidRDefault="009B3F6D" w:rsidP="00C92873">
      <w:pPr>
        <w:spacing w:line="288" w:lineRule="auto"/>
        <w:ind w:firstLine="709"/>
        <w:jc w:val="both"/>
        <w:rPr>
          <w:sz w:val="24"/>
          <w:szCs w:val="24"/>
        </w:rPr>
        <w:sectPr w:rsidR="009B3F6D" w:rsidRPr="000121E3" w:rsidSect="00E05CDD">
          <w:type w:val="continuous"/>
          <w:pgSz w:w="10773" w:h="15309" w:code="9"/>
          <w:pgMar w:top="1134" w:right="1134" w:bottom="1134" w:left="1134" w:header="720" w:footer="505" w:gutter="0"/>
          <w:cols w:space="720"/>
          <w:docGrid w:linePitch="6827"/>
        </w:sectPr>
      </w:pPr>
    </w:p>
    <w:p w:rsidR="00644BB3" w:rsidRPr="000121E3" w:rsidRDefault="00644BB3" w:rsidP="000E606D">
      <w:pPr>
        <w:spacing w:line="288" w:lineRule="auto"/>
        <w:ind w:firstLine="567"/>
        <w:jc w:val="both"/>
        <w:rPr>
          <w:sz w:val="24"/>
          <w:szCs w:val="24"/>
        </w:rPr>
      </w:pPr>
      <w:r w:rsidRPr="000121E3">
        <w:rPr>
          <w:sz w:val="24"/>
          <w:szCs w:val="24"/>
        </w:rPr>
        <w:lastRenderedPageBreak/>
        <w:t xml:space="preserve">So sánh với thành phần hóa học lá cây </w:t>
      </w:r>
      <w:r w:rsidR="006242DD" w:rsidRPr="000121E3">
        <w:rPr>
          <w:sz w:val="24"/>
          <w:szCs w:val="24"/>
        </w:rPr>
        <w:t>g</w:t>
      </w:r>
      <w:r w:rsidRPr="000121E3">
        <w:rPr>
          <w:sz w:val="24"/>
          <w:szCs w:val="24"/>
        </w:rPr>
        <w:t xml:space="preserve">iổi xanh ở </w:t>
      </w:r>
      <w:r w:rsidR="00B32E55" w:rsidRPr="000121E3">
        <w:rPr>
          <w:sz w:val="24"/>
          <w:szCs w:val="24"/>
        </w:rPr>
        <w:t xml:space="preserve">thành phố </w:t>
      </w:r>
      <w:r w:rsidRPr="000121E3">
        <w:rPr>
          <w:sz w:val="24"/>
          <w:szCs w:val="24"/>
        </w:rPr>
        <w:t>Vinh theo tài liệu [</w:t>
      </w:r>
      <w:r w:rsidR="00A90B7A" w:rsidRPr="000121E3">
        <w:rPr>
          <w:sz w:val="24"/>
          <w:szCs w:val="24"/>
        </w:rPr>
        <w:t>4</w:t>
      </w:r>
      <w:r w:rsidRPr="000121E3">
        <w:rPr>
          <w:sz w:val="24"/>
          <w:szCs w:val="24"/>
        </w:rPr>
        <w:t xml:space="preserve">] </w:t>
      </w:r>
      <w:r w:rsidR="00F86638" w:rsidRPr="000121E3">
        <w:rPr>
          <w:sz w:val="24"/>
          <w:szCs w:val="24"/>
        </w:rPr>
        <w:t xml:space="preserve">cho thấy có một số thành phần giống nhau như </w:t>
      </w:r>
      <w:r w:rsidR="00F86638" w:rsidRPr="000121E3">
        <w:rPr>
          <w:i/>
          <w:sz w:val="24"/>
          <w:szCs w:val="24"/>
        </w:rPr>
        <w:t>β-</w:t>
      </w:r>
      <w:r w:rsidR="00B32E55" w:rsidRPr="000121E3">
        <w:rPr>
          <w:sz w:val="24"/>
          <w:szCs w:val="24"/>
        </w:rPr>
        <w:t>c</w:t>
      </w:r>
      <w:r w:rsidR="00F86638" w:rsidRPr="000121E3">
        <w:rPr>
          <w:sz w:val="24"/>
          <w:szCs w:val="24"/>
        </w:rPr>
        <w:t xml:space="preserve">aryophylene, </w:t>
      </w:r>
      <w:r w:rsidR="00F86638" w:rsidRPr="000121E3">
        <w:rPr>
          <w:i/>
          <w:sz w:val="24"/>
          <w:szCs w:val="24"/>
        </w:rPr>
        <w:t>α-</w:t>
      </w:r>
      <w:r w:rsidR="00B32E55" w:rsidRPr="000121E3">
        <w:rPr>
          <w:sz w:val="24"/>
          <w:szCs w:val="24"/>
        </w:rPr>
        <w:t>c</w:t>
      </w:r>
      <w:r w:rsidR="00F86638" w:rsidRPr="000121E3">
        <w:rPr>
          <w:sz w:val="24"/>
          <w:szCs w:val="24"/>
        </w:rPr>
        <w:t xml:space="preserve">adinol, </w:t>
      </w:r>
      <w:r w:rsidR="00F86638" w:rsidRPr="000121E3">
        <w:rPr>
          <w:i/>
          <w:sz w:val="24"/>
          <w:szCs w:val="24"/>
        </w:rPr>
        <w:t>β-</w:t>
      </w:r>
      <w:r w:rsidR="00B32E55" w:rsidRPr="000121E3">
        <w:rPr>
          <w:sz w:val="24"/>
          <w:szCs w:val="24"/>
        </w:rPr>
        <w:t>s</w:t>
      </w:r>
      <w:r w:rsidR="00F86638" w:rsidRPr="000121E3">
        <w:rPr>
          <w:sz w:val="24"/>
          <w:szCs w:val="24"/>
        </w:rPr>
        <w:t xml:space="preserve">elinene, </w:t>
      </w:r>
      <w:r w:rsidR="00267DEE" w:rsidRPr="000121E3">
        <w:rPr>
          <w:i/>
          <w:sz w:val="24"/>
          <w:szCs w:val="24"/>
        </w:rPr>
        <w:t>δ-</w:t>
      </w:r>
      <w:r w:rsidR="00B32E55" w:rsidRPr="000121E3">
        <w:rPr>
          <w:sz w:val="24"/>
          <w:szCs w:val="24"/>
        </w:rPr>
        <w:t>c</w:t>
      </w:r>
      <w:r w:rsidR="00F86638" w:rsidRPr="000121E3">
        <w:rPr>
          <w:sz w:val="24"/>
          <w:szCs w:val="24"/>
        </w:rPr>
        <w:t xml:space="preserve">adinene,…. Tuy nhiên, </w:t>
      </w:r>
      <w:r w:rsidRPr="000121E3">
        <w:rPr>
          <w:sz w:val="24"/>
          <w:szCs w:val="24"/>
        </w:rPr>
        <w:t xml:space="preserve">thành phần hóa </w:t>
      </w:r>
      <w:r w:rsidR="004422CA" w:rsidRPr="000121E3">
        <w:rPr>
          <w:sz w:val="24"/>
          <w:szCs w:val="24"/>
        </w:rPr>
        <w:t>học</w:t>
      </w:r>
      <w:r w:rsidRPr="000121E3">
        <w:rPr>
          <w:sz w:val="24"/>
          <w:szCs w:val="24"/>
        </w:rPr>
        <w:t xml:space="preserve"> chính</w:t>
      </w:r>
      <w:r w:rsidR="004422CA" w:rsidRPr="000121E3">
        <w:rPr>
          <w:sz w:val="24"/>
          <w:szCs w:val="24"/>
        </w:rPr>
        <w:t xml:space="preserve"> của tinh dầu lá giổi xanh ở </w:t>
      </w:r>
      <w:r w:rsidR="00BD35F5" w:rsidRPr="000121E3">
        <w:rPr>
          <w:sz w:val="24"/>
          <w:szCs w:val="24"/>
        </w:rPr>
        <w:t xml:space="preserve">tỉnh </w:t>
      </w:r>
      <w:r w:rsidR="004422CA" w:rsidRPr="000121E3">
        <w:rPr>
          <w:sz w:val="24"/>
          <w:szCs w:val="24"/>
        </w:rPr>
        <w:t xml:space="preserve">Quảng Bình và </w:t>
      </w:r>
      <w:r w:rsidR="00BD35F5" w:rsidRPr="000121E3">
        <w:rPr>
          <w:sz w:val="24"/>
          <w:szCs w:val="24"/>
        </w:rPr>
        <w:lastRenderedPageBreak/>
        <w:t xml:space="preserve">thành phố </w:t>
      </w:r>
      <w:r w:rsidR="004422CA" w:rsidRPr="000121E3">
        <w:rPr>
          <w:sz w:val="24"/>
          <w:szCs w:val="24"/>
        </w:rPr>
        <w:t>Vinh</w:t>
      </w:r>
      <w:r w:rsidRPr="000121E3">
        <w:rPr>
          <w:sz w:val="24"/>
          <w:szCs w:val="24"/>
        </w:rPr>
        <w:t xml:space="preserve"> có sự </w:t>
      </w:r>
      <w:r w:rsidR="001F3C60" w:rsidRPr="000121E3">
        <w:rPr>
          <w:sz w:val="24"/>
          <w:szCs w:val="24"/>
        </w:rPr>
        <w:t>khác nhau</w:t>
      </w:r>
      <w:r w:rsidRPr="000121E3">
        <w:rPr>
          <w:sz w:val="24"/>
          <w:szCs w:val="24"/>
        </w:rPr>
        <w:t xml:space="preserve">. </w:t>
      </w:r>
      <w:r w:rsidR="00563546" w:rsidRPr="000121E3">
        <w:rPr>
          <w:sz w:val="24"/>
          <w:szCs w:val="24"/>
        </w:rPr>
        <w:t>Điều này có thể do độ tuổi của thời điểm thu hái</w:t>
      </w:r>
      <w:r w:rsidRPr="000121E3">
        <w:rPr>
          <w:sz w:val="24"/>
          <w:szCs w:val="24"/>
        </w:rPr>
        <w:t xml:space="preserve">, điều kiện thời tiết, khí hậu khác nhau hoặc do sự khác nhau về địa hình, </w:t>
      </w:r>
      <w:r w:rsidR="00563546" w:rsidRPr="000121E3">
        <w:rPr>
          <w:sz w:val="24"/>
          <w:szCs w:val="24"/>
        </w:rPr>
        <w:t>thổ nhưỡng</w:t>
      </w:r>
      <w:r w:rsidRPr="000121E3">
        <w:rPr>
          <w:sz w:val="24"/>
          <w:szCs w:val="24"/>
        </w:rPr>
        <w:t xml:space="preserve">,... Kết quả so sánh </w:t>
      </w:r>
      <w:r w:rsidR="004422CA" w:rsidRPr="000121E3">
        <w:rPr>
          <w:sz w:val="24"/>
          <w:szCs w:val="24"/>
        </w:rPr>
        <w:t>cụ th</w:t>
      </w:r>
      <w:r w:rsidR="00002723" w:rsidRPr="000121E3">
        <w:rPr>
          <w:sz w:val="24"/>
          <w:szCs w:val="24"/>
        </w:rPr>
        <w:t>ể</w:t>
      </w:r>
      <w:r w:rsidR="004422CA" w:rsidRPr="000121E3">
        <w:rPr>
          <w:sz w:val="24"/>
          <w:szCs w:val="24"/>
        </w:rPr>
        <w:t xml:space="preserve"> </w:t>
      </w:r>
      <w:r w:rsidRPr="000121E3">
        <w:rPr>
          <w:sz w:val="24"/>
          <w:szCs w:val="24"/>
        </w:rPr>
        <w:t xml:space="preserve">được thể hiện ở </w:t>
      </w:r>
      <w:r w:rsidR="004422CA" w:rsidRPr="000121E3">
        <w:rPr>
          <w:sz w:val="24"/>
          <w:szCs w:val="24"/>
        </w:rPr>
        <w:t>B</w:t>
      </w:r>
      <w:r w:rsidR="009B3F6D" w:rsidRPr="000121E3">
        <w:rPr>
          <w:sz w:val="24"/>
          <w:szCs w:val="24"/>
        </w:rPr>
        <w:t xml:space="preserve">ảng </w:t>
      </w:r>
      <w:r w:rsidR="004422CA" w:rsidRPr="000121E3">
        <w:rPr>
          <w:sz w:val="24"/>
          <w:szCs w:val="24"/>
        </w:rPr>
        <w:t>2</w:t>
      </w:r>
      <w:r w:rsidRPr="000121E3">
        <w:rPr>
          <w:sz w:val="24"/>
          <w:szCs w:val="24"/>
        </w:rPr>
        <w:t>:</w:t>
      </w:r>
    </w:p>
    <w:p w:rsidR="009B3F6D" w:rsidRPr="000121E3" w:rsidRDefault="009B3F6D" w:rsidP="00C92873">
      <w:pPr>
        <w:spacing w:line="288" w:lineRule="auto"/>
        <w:jc w:val="center"/>
        <w:outlineLvl w:val="1"/>
        <w:rPr>
          <w:b/>
          <w:sz w:val="24"/>
          <w:szCs w:val="24"/>
        </w:rPr>
        <w:sectPr w:rsidR="009B3F6D" w:rsidRPr="000121E3" w:rsidSect="00E05CDD">
          <w:type w:val="continuous"/>
          <w:pgSz w:w="10773" w:h="15309" w:code="9"/>
          <w:pgMar w:top="1134" w:right="1134" w:bottom="1134" w:left="1134" w:header="720" w:footer="505" w:gutter="0"/>
          <w:cols w:num="2" w:space="425"/>
          <w:docGrid w:linePitch="6827"/>
        </w:sectPr>
      </w:pPr>
    </w:p>
    <w:p w:rsidR="00DB4707" w:rsidRDefault="00286F2C" w:rsidP="00DB4707">
      <w:pPr>
        <w:jc w:val="center"/>
        <w:outlineLvl w:val="1"/>
        <w:rPr>
          <w:sz w:val="22"/>
          <w:szCs w:val="24"/>
        </w:rPr>
      </w:pPr>
      <w:r w:rsidRPr="00D63E1E">
        <w:rPr>
          <w:b/>
          <w:sz w:val="22"/>
          <w:szCs w:val="24"/>
        </w:rPr>
        <w:lastRenderedPageBreak/>
        <w:t xml:space="preserve">Bảng </w:t>
      </w:r>
      <w:r w:rsidR="004422CA" w:rsidRPr="00D63E1E">
        <w:rPr>
          <w:b/>
          <w:sz w:val="22"/>
          <w:szCs w:val="24"/>
        </w:rPr>
        <w:t>2</w:t>
      </w:r>
      <w:r w:rsidR="00644BB3" w:rsidRPr="00D63E1E">
        <w:rPr>
          <w:sz w:val="22"/>
          <w:szCs w:val="24"/>
        </w:rPr>
        <w:t xml:space="preserve">. Bảng so sánh </w:t>
      </w:r>
      <w:r w:rsidR="00F86638" w:rsidRPr="00D63E1E">
        <w:rPr>
          <w:sz w:val="22"/>
          <w:szCs w:val="24"/>
        </w:rPr>
        <w:t>một số t</w:t>
      </w:r>
      <w:r w:rsidR="00644BB3" w:rsidRPr="00D63E1E">
        <w:rPr>
          <w:sz w:val="22"/>
          <w:szCs w:val="24"/>
        </w:rPr>
        <w:t xml:space="preserve">hành phần hóa học của </w:t>
      </w:r>
      <w:r w:rsidR="004B1689" w:rsidRPr="00D63E1E">
        <w:rPr>
          <w:sz w:val="22"/>
          <w:szCs w:val="24"/>
        </w:rPr>
        <w:t xml:space="preserve">các hợp chất có trong tinh dầu </w:t>
      </w:r>
    </w:p>
    <w:p w:rsidR="00644BB3" w:rsidRDefault="00644BB3" w:rsidP="00DB4707">
      <w:pPr>
        <w:jc w:val="center"/>
        <w:outlineLvl w:val="1"/>
        <w:rPr>
          <w:sz w:val="22"/>
          <w:szCs w:val="24"/>
        </w:rPr>
      </w:pPr>
      <w:r w:rsidRPr="00D63E1E">
        <w:rPr>
          <w:sz w:val="22"/>
          <w:szCs w:val="24"/>
        </w:rPr>
        <w:t xml:space="preserve">lá </w:t>
      </w:r>
      <w:r w:rsidR="004B1689" w:rsidRPr="00D63E1E">
        <w:rPr>
          <w:sz w:val="22"/>
          <w:szCs w:val="24"/>
        </w:rPr>
        <w:t>cây g</w:t>
      </w:r>
      <w:r w:rsidR="00F348F4" w:rsidRPr="00D63E1E">
        <w:rPr>
          <w:sz w:val="22"/>
          <w:szCs w:val="24"/>
        </w:rPr>
        <w:t xml:space="preserve">iổi xanh ở khu vực </w:t>
      </w:r>
      <w:r w:rsidR="00185269" w:rsidRPr="00D63E1E">
        <w:rPr>
          <w:sz w:val="22"/>
          <w:szCs w:val="24"/>
        </w:rPr>
        <w:t>tp</w:t>
      </w:r>
      <w:r w:rsidR="00F348F4" w:rsidRPr="00D63E1E">
        <w:rPr>
          <w:sz w:val="22"/>
          <w:szCs w:val="24"/>
        </w:rPr>
        <w:t xml:space="preserve">. </w:t>
      </w:r>
      <w:r w:rsidRPr="00D63E1E">
        <w:rPr>
          <w:sz w:val="22"/>
          <w:szCs w:val="24"/>
        </w:rPr>
        <w:t xml:space="preserve">Đồng Hới và </w:t>
      </w:r>
      <w:r w:rsidR="00185269" w:rsidRPr="00D63E1E">
        <w:rPr>
          <w:sz w:val="22"/>
          <w:szCs w:val="24"/>
        </w:rPr>
        <w:t>tp</w:t>
      </w:r>
      <w:r w:rsidRPr="00D63E1E">
        <w:rPr>
          <w:sz w:val="22"/>
          <w:szCs w:val="24"/>
        </w:rPr>
        <w:t>.Vinh</w:t>
      </w:r>
    </w:p>
    <w:p w:rsidR="00DB4707" w:rsidRPr="00D63E1E" w:rsidRDefault="00DB4707" w:rsidP="00DB4707">
      <w:pPr>
        <w:jc w:val="center"/>
        <w:outlineLvl w:val="1"/>
        <w:rPr>
          <w:sz w:val="22"/>
          <w:szCs w:val="24"/>
        </w:rPr>
      </w:pPr>
      <w:bookmarkStart w:id="19" w:name="_GoBack"/>
      <w:bookmarkEnd w:id="19"/>
    </w:p>
    <w:tbl>
      <w:tblPr>
        <w:tblW w:w="7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520"/>
        <w:gridCol w:w="1080"/>
        <w:gridCol w:w="2430"/>
        <w:gridCol w:w="1080"/>
      </w:tblGrid>
      <w:tr w:rsidR="000121E3" w:rsidRPr="00D63E1E" w:rsidTr="00F575C3">
        <w:trPr>
          <w:jc w:val="center"/>
        </w:trPr>
        <w:tc>
          <w:tcPr>
            <w:tcW w:w="630" w:type="dxa"/>
            <w:vMerge w:val="restart"/>
            <w:shd w:val="clear" w:color="auto" w:fill="auto"/>
            <w:vAlign w:val="center"/>
          </w:tcPr>
          <w:p w:rsidR="00852800" w:rsidRPr="00D63E1E" w:rsidRDefault="00852800" w:rsidP="003D0C97">
            <w:pPr>
              <w:spacing w:line="240" w:lineRule="atLeast"/>
              <w:jc w:val="center"/>
              <w:outlineLvl w:val="1"/>
              <w:rPr>
                <w:b/>
                <w:sz w:val="20"/>
                <w:szCs w:val="20"/>
              </w:rPr>
            </w:pPr>
            <w:r w:rsidRPr="00D63E1E">
              <w:rPr>
                <w:b/>
                <w:sz w:val="20"/>
                <w:szCs w:val="20"/>
              </w:rPr>
              <w:t>TT</w:t>
            </w:r>
          </w:p>
        </w:tc>
        <w:tc>
          <w:tcPr>
            <w:tcW w:w="3600" w:type="dxa"/>
            <w:gridSpan w:val="2"/>
            <w:shd w:val="clear" w:color="auto" w:fill="auto"/>
            <w:vAlign w:val="center"/>
          </w:tcPr>
          <w:p w:rsidR="00852800" w:rsidRPr="00D63E1E" w:rsidRDefault="00852800" w:rsidP="003D0C97">
            <w:pPr>
              <w:spacing w:line="240" w:lineRule="atLeast"/>
              <w:jc w:val="center"/>
              <w:outlineLvl w:val="1"/>
              <w:rPr>
                <w:b/>
                <w:sz w:val="20"/>
                <w:szCs w:val="20"/>
              </w:rPr>
            </w:pPr>
            <w:r w:rsidRPr="00D63E1E">
              <w:rPr>
                <w:b/>
                <w:sz w:val="20"/>
                <w:szCs w:val="20"/>
              </w:rPr>
              <w:t>Giổi xanh - Tp. Đồng Hới</w:t>
            </w:r>
          </w:p>
        </w:tc>
        <w:tc>
          <w:tcPr>
            <w:tcW w:w="3510" w:type="dxa"/>
            <w:gridSpan w:val="2"/>
            <w:shd w:val="clear" w:color="auto" w:fill="auto"/>
            <w:vAlign w:val="center"/>
          </w:tcPr>
          <w:p w:rsidR="00852800" w:rsidRPr="00D63E1E" w:rsidRDefault="00852800" w:rsidP="003D0C97">
            <w:pPr>
              <w:spacing w:line="240" w:lineRule="atLeast"/>
              <w:jc w:val="center"/>
              <w:outlineLvl w:val="1"/>
              <w:rPr>
                <w:b/>
                <w:sz w:val="20"/>
                <w:szCs w:val="20"/>
              </w:rPr>
            </w:pPr>
            <w:r w:rsidRPr="00D63E1E">
              <w:rPr>
                <w:b/>
                <w:sz w:val="20"/>
                <w:szCs w:val="20"/>
              </w:rPr>
              <w:t>Giổi xanh - Tp. Vinh [4]</w:t>
            </w:r>
          </w:p>
        </w:tc>
      </w:tr>
      <w:tr w:rsidR="000121E3" w:rsidRPr="00D63E1E" w:rsidTr="00F575C3">
        <w:trPr>
          <w:jc w:val="center"/>
        </w:trPr>
        <w:tc>
          <w:tcPr>
            <w:tcW w:w="630" w:type="dxa"/>
            <w:vMerge/>
            <w:shd w:val="clear" w:color="auto" w:fill="auto"/>
            <w:vAlign w:val="center"/>
          </w:tcPr>
          <w:p w:rsidR="00852800" w:rsidRPr="00D63E1E" w:rsidRDefault="00852800" w:rsidP="003D0C97">
            <w:pPr>
              <w:spacing w:line="240" w:lineRule="atLeast"/>
              <w:jc w:val="center"/>
              <w:outlineLvl w:val="1"/>
              <w:rPr>
                <w:b/>
                <w:sz w:val="20"/>
                <w:szCs w:val="20"/>
              </w:rPr>
            </w:pPr>
          </w:p>
        </w:tc>
        <w:tc>
          <w:tcPr>
            <w:tcW w:w="2520" w:type="dxa"/>
            <w:shd w:val="clear" w:color="auto" w:fill="auto"/>
            <w:vAlign w:val="center"/>
          </w:tcPr>
          <w:p w:rsidR="00852800" w:rsidRPr="00D63E1E" w:rsidRDefault="00852800" w:rsidP="003D0C97">
            <w:pPr>
              <w:spacing w:line="240" w:lineRule="atLeast"/>
              <w:jc w:val="center"/>
              <w:outlineLvl w:val="1"/>
              <w:rPr>
                <w:b/>
                <w:sz w:val="20"/>
                <w:szCs w:val="20"/>
              </w:rPr>
            </w:pPr>
            <w:r w:rsidRPr="00D63E1E">
              <w:rPr>
                <w:b/>
                <w:sz w:val="20"/>
                <w:szCs w:val="20"/>
              </w:rPr>
              <w:t>Thành phần</w:t>
            </w:r>
          </w:p>
        </w:tc>
        <w:tc>
          <w:tcPr>
            <w:tcW w:w="1080" w:type="dxa"/>
            <w:shd w:val="clear" w:color="auto" w:fill="auto"/>
            <w:vAlign w:val="center"/>
          </w:tcPr>
          <w:p w:rsidR="00852800" w:rsidRPr="00D63E1E" w:rsidRDefault="00852800" w:rsidP="003D0C97">
            <w:pPr>
              <w:spacing w:line="240" w:lineRule="atLeast"/>
              <w:jc w:val="center"/>
              <w:outlineLvl w:val="1"/>
              <w:rPr>
                <w:b/>
                <w:sz w:val="20"/>
                <w:szCs w:val="20"/>
              </w:rPr>
            </w:pPr>
            <w:r w:rsidRPr="00D63E1E">
              <w:rPr>
                <w:b/>
                <w:sz w:val="20"/>
                <w:szCs w:val="20"/>
              </w:rPr>
              <w:t>Hàm lượng (%)</w:t>
            </w:r>
          </w:p>
        </w:tc>
        <w:tc>
          <w:tcPr>
            <w:tcW w:w="2430" w:type="dxa"/>
            <w:shd w:val="clear" w:color="auto" w:fill="auto"/>
            <w:vAlign w:val="center"/>
          </w:tcPr>
          <w:p w:rsidR="00852800" w:rsidRPr="00D63E1E" w:rsidRDefault="00852800" w:rsidP="003D0C97">
            <w:pPr>
              <w:spacing w:line="240" w:lineRule="atLeast"/>
              <w:jc w:val="center"/>
              <w:outlineLvl w:val="1"/>
              <w:rPr>
                <w:b/>
                <w:sz w:val="20"/>
                <w:szCs w:val="20"/>
              </w:rPr>
            </w:pPr>
            <w:r w:rsidRPr="00D63E1E">
              <w:rPr>
                <w:b/>
                <w:sz w:val="20"/>
                <w:szCs w:val="20"/>
              </w:rPr>
              <w:t>Thành phần</w:t>
            </w:r>
          </w:p>
        </w:tc>
        <w:tc>
          <w:tcPr>
            <w:tcW w:w="1080" w:type="dxa"/>
            <w:shd w:val="clear" w:color="auto" w:fill="auto"/>
            <w:vAlign w:val="center"/>
          </w:tcPr>
          <w:p w:rsidR="00852800" w:rsidRPr="00D63E1E" w:rsidRDefault="00852800" w:rsidP="003D0C97">
            <w:pPr>
              <w:spacing w:line="240" w:lineRule="atLeast"/>
              <w:jc w:val="center"/>
              <w:outlineLvl w:val="1"/>
              <w:rPr>
                <w:b/>
                <w:sz w:val="20"/>
                <w:szCs w:val="20"/>
              </w:rPr>
            </w:pPr>
            <w:r w:rsidRPr="00D63E1E">
              <w:rPr>
                <w:b/>
                <w:sz w:val="20"/>
                <w:szCs w:val="20"/>
              </w:rPr>
              <w:t>Hàm lượng (%)</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sz w:val="20"/>
                <w:szCs w:val="20"/>
              </w:rPr>
              <w:t xml:space="preserve">Mycrene </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0,68</w:t>
            </w:r>
          </w:p>
        </w:tc>
        <w:tc>
          <w:tcPr>
            <w:tcW w:w="2430" w:type="dxa"/>
            <w:shd w:val="clear" w:color="auto" w:fill="auto"/>
          </w:tcPr>
          <w:p w:rsidR="00852800" w:rsidRPr="00D63E1E" w:rsidRDefault="00852800" w:rsidP="003D0C97">
            <w:pPr>
              <w:pStyle w:val="HTMLPreformatted"/>
              <w:shd w:val="clear" w:color="auto" w:fill="FFFFFF"/>
              <w:spacing w:line="240" w:lineRule="atLeast"/>
              <w:rPr>
                <w:rFonts w:ascii="Times New Roman" w:hAnsi="Times New Roman"/>
                <w:lang w:val="vi-VN" w:eastAsia="vi-VN"/>
              </w:rPr>
            </w:pPr>
            <w:r w:rsidRPr="00D63E1E">
              <w:rPr>
                <w:rFonts w:ascii="Times New Roman" w:hAnsi="Times New Roman"/>
                <w:i/>
              </w:rPr>
              <w:t>β</w:t>
            </w:r>
            <w:r w:rsidRPr="00D63E1E">
              <w:rPr>
                <w:rFonts w:ascii="Times New Roman" w:hAnsi="Times New Roman"/>
                <w:i/>
                <w:lang w:val="vi-VN"/>
              </w:rPr>
              <w:t>-</w:t>
            </w:r>
            <w:r w:rsidRPr="00D63E1E">
              <w:rPr>
                <w:rFonts w:ascii="Times New Roman" w:hAnsi="Times New Roman"/>
              </w:rPr>
              <w:t>mycrene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0,9</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sz w:val="20"/>
                <w:szCs w:val="20"/>
              </w:rPr>
              <w:t>1,8-cineole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0,95</w:t>
            </w:r>
          </w:p>
        </w:tc>
        <w:tc>
          <w:tcPr>
            <w:tcW w:w="2430" w:type="dxa"/>
            <w:shd w:val="clear" w:color="auto" w:fill="auto"/>
          </w:tcPr>
          <w:p w:rsidR="00852800" w:rsidRPr="00D63E1E" w:rsidRDefault="00852800" w:rsidP="003D0C97">
            <w:pPr>
              <w:spacing w:line="240" w:lineRule="atLeast"/>
              <w:outlineLvl w:val="1"/>
              <w:rPr>
                <w:sz w:val="20"/>
                <w:szCs w:val="20"/>
              </w:rPr>
            </w:pPr>
            <w:r w:rsidRPr="00D63E1E">
              <w:rPr>
                <w:sz w:val="20"/>
                <w:szCs w:val="20"/>
              </w:rPr>
              <w:t>1,8-cineole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0,7</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jc w:val="both"/>
              <w:outlineLvl w:val="1"/>
              <w:rPr>
                <w:sz w:val="20"/>
                <w:szCs w:val="20"/>
              </w:rPr>
            </w:pPr>
            <w:r w:rsidRPr="00D63E1E">
              <w:rPr>
                <w:sz w:val="20"/>
                <w:szCs w:val="20"/>
              </w:rPr>
              <w:t xml:space="preserve">Linalool </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1,08</w:t>
            </w:r>
          </w:p>
        </w:tc>
        <w:tc>
          <w:tcPr>
            <w:tcW w:w="2430" w:type="dxa"/>
            <w:shd w:val="clear" w:color="auto" w:fill="auto"/>
          </w:tcPr>
          <w:p w:rsidR="00852800" w:rsidRPr="00D63E1E" w:rsidRDefault="00852800" w:rsidP="003D0C97">
            <w:pPr>
              <w:spacing w:line="240" w:lineRule="atLeast"/>
              <w:outlineLvl w:val="1"/>
              <w:rPr>
                <w:sz w:val="20"/>
                <w:szCs w:val="20"/>
              </w:rPr>
            </w:pPr>
            <w:r w:rsidRPr="00D63E1E">
              <w:rPr>
                <w:sz w:val="20"/>
                <w:szCs w:val="20"/>
              </w:rPr>
              <w:t>Linalool</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1,5</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β-</w:t>
            </w:r>
            <w:r w:rsidRPr="00D63E1E">
              <w:rPr>
                <w:sz w:val="20"/>
                <w:szCs w:val="20"/>
              </w:rPr>
              <w:t>caryophylene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4,4</w:t>
            </w:r>
          </w:p>
        </w:tc>
        <w:tc>
          <w:tcPr>
            <w:tcW w:w="2430" w:type="dxa"/>
            <w:shd w:val="clear" w:color="auto" w:fill="auto"/>
          </w:tcPr>
          <w:p w:rsidR="00852800" w:rsidRPr="00D63E1E" w:rsidRDefault="00852800" w:rsidP="003D0C97">
            <w:pPr>
              <w:pStyle w:val="HTMLPreformatted"/>
              <w:shd w:val="clear" w:color="auto" w:fill="FFFFFF"/>
              <w:spacing w:line="240" w:lineRule="atLeast"/>
              <w:rPr>
                <w:rFonts w:ascii="Times New Roman" w:hAnsi="Times New Roman"/>
                <w:lang w:val="vi-VN" w:eastAsia="vi-VN"/>
              </w:rPr>
            </w:pPr>
            <w:r w:rsidRPr="00D63E1E">
              <w:rPr>
                <w:rFonts w:ascii="Times New Roman" w:hAnsi="Times New Roman"/>
                <w:i/>
              </w:rPr>
              <w:t>β</w:t>
            </w:r>
            <w:r w:rsidRPr="00D63E1E">
              <w:rPr>
                <w:rFonts w:ascii="Times New Roman" w:hAnsi="Times New Roman"/>
                <w:i/>
                <w:lang w:val="vi-VN"/>
              </w:rPr>
              <w:t>-</w:t>
            </w:r>
            <w:r w:rsidRPr="00D63E1E">
              <w:rPr>
                <w:rFonts w:ascii="Times New Roman" w:hAnsi="Times New Roman"/>
              </w:rPr>
              <w:t>caryophylene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2,0</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α-</w:t>
            </w:r>
            <w:r w:rsidRPr="00D63E1E">
              <w:rPr>
                <w:sz w:val="20"/>
                <w:szCs w:val="20"/>
              </w:rPr>
              <w:t xml:space="preserve">cadinol </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3,89</w:t>
            </w:r>
          </w:p>
        </w:tc>
        <w:tc>
          <w:tcPr>
            <w:tcW w:w="2430" w:type="dxa"/>
            <w:shd w:val="clear" w:color="auto" w:fill="auto"/>
          </w:tcPr>
          <w:p w:rsidR="00852800" w:rsidRPr="00D63E1E" w:rsidRDefault="00852800" w:rsidP="003D0C97">
            <w:pPr>
              <w:spacing w:line="240" w:lineRule="atLeast"/>
              <w:outlineLvl w:val="1"/>
              <w:rPr>
                <w:sz w:val="20"/>
                <w:szCs w:val="20"/>
              </w:rPr>
            </w:pPr>
            <w:r w:rsidRPr="00D63E1E">
              <w:rPr>
                <w:i/>
                <w:sz w:val="20"/>
                <w:szCs w:val="20"/>
                <w:lang w:eastAsia="vi-VN"/>
              </w:rPr>
              <w:t>α-</w:t>
            </w:r>
            <w:r w:rsidRPr="00D63E1E">
              <w:rPr>
                <w:sz w:val="20"/>
                <w:szCs w:val="20"/>
                <w:lang w:eastAsia="vi-VN"/>
              </w:rPr>
              <w:t>cadinol</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5,7</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α-</w:t>
            </w:r>
            <w:r w:rsidRPr="00D63E1E">
              <w:rPr>
                <w:sz w:val="20"/>
                <w:szCs w:val="20"/>
              </w:rPr>
              <w:t>humulene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2,6</w:t>
            </w:r>
          </w:p>
        </w:tc>
        <w:tc>
          <w:tcPr>
            <w:tcW w:w="243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α-</w:t>
            </w:r>
            <w:r w:rsidRPr="00D63E1E">
              <w:rPr>
                <w:sz w:val="20"/>
                <w:szCs w:val="20"/>
              </w:rPr>
              <w:t>humulene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2,3</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β-</w:t>
            </w:r>
            <w:r w:rsidRPr="00D63E1E">
              <w:rPr>
                <w:sz w:val="20"/>
                <w:szCs w:val="20"/>
              </w:rPr>
              <w:t>selinene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3,12</w:t>
            </w:r>
          </w:p>
        </w:tc>
        <w:tc>
          <w:tcPr>
            <w:tcW w:w="243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β-</w:t>
            </w:r>
            <w:r w:rsidRPr="00D63E1E">
              <w:rPr>
                <w:sz w:val="20"/>
                <w:szCs w:val="20"/>
              </w:rPr>
              <w:t>selinene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7,2</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δ-</w:t>
            </w:r>
            <w:r w:rsidRPr="00D63E1E">
              <w:rPr>
                <w:sz w:val="20"/>
                <w:szCs w:val="20"/>
              </w:rPr>
              <w:t>Cadinene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1,02</w:t>
            </w:r>
          </w:p>
        </w:tc>
        <w:tc>
          <w:tcPr>
            <w:tcW w:w="243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α-</w:t>
            </w:r>
            <w:r w:rsidRPr="00D63E1E">
              <w:rPr>
                <w:sz w:val="20"/>
                <w:szCs w:val="20"/>
              </w:rPr>
              <w:t xml:space="preserve"> cadinene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10,09</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β-</w:t>
            </w:r>
            <w:r w:rsidRPr="00D63E1E">
              <w:rPr>
                <w:sz w:val="20"/>
                <w:szCs w:val="20"/>
              </w:rPr>
              <w:t>pinene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15,86</w:t>
            </w:r>
          </w:p>
        </w:tc>
        <w:tc>
          <w:tcPr>
            <w:tcW w:w="243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sz w:val="20"/>
                <w:szCs w:val="20"/>
              </w:rPr>
              <w:t>Caryophyllene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9,43</w:t>
            </w:r>
          </w:p>
        </w:tc>
        <w:tc>
          <w:tcPr>
            <w:tcW w:w="243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α-</w:t>
            </w:r>
            <w:r w:rsidRPr="00D63E1E">
              <w:rPr>
                <w:sz w:val="20"/>
                <w:szCs w:val="20"/>
              </w:rPr>
              <w:t>pinene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4,92</w:t>
            </w:r>
          </w:p>
        </w:tc>
        <w:tc>
          <w:tcPr>
            <w:tcW w:w="243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sz w:val="20"/>
                <w:szCs w:val="20"/>
              </w:rPr>
              <w:t>Humulene epoxide II</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3,06</w:t>
            </w:r>
          </w:p>
        </w:tc>
        <w:tc>
          <w:tcPr>
            <w:tcW w:w="243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α-</w:t>
            </w:r>
            <w:r w:rsidRPr="00D63E1E">
              <w:rPr>
                <w:sz w:val="20"/>
                <w:szCs w:val="20"/>
              </w:rPr>
              <w:t>copaene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2,25</w:t>
            </w:r>
          </w:p>
        </w:tc>
        <w:tc>
          <w:tcPr>
            <w:tcW w:w="243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Cis-</w:t>
            </w:r>
            <w:r w:rsidRPr="00D63E1E">
              <w:rPr>
                <w:sz w:val="20"/>
                <w:szCs w:val="20"/>
              </w:rPr>
              <w:t>calamenen-10-ol</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2,02</w:t>
            </w:r>
          </w:p>
        </w:tc>
        <w:tc>
          <w:tcPr>
            <w:tcW w:w="243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G-</w:t>
            </w:r>
            <w:r w:rsidRPr="00D63E1E">
              <w:rPr>
                <w:sz w:val="20"/>
                <w:szCs w:val="20"/>
              </w:rPr>
              <w:t>muurolene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2,07</w:t>
            </w:r>
          </w:p>
        </w:tc>
        <w:tc>
          <w:tcPr>
            <w:tcW w:w="243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2430" w:type="dxa"/>
            <w:shd w:val="clear" w:color="auto" w:fill="auto"/>
          </w:tcPr>
          <w:p w:rsidR="00852800" w:rsidRPr="00D63E1E" w:rsidRDefault="00852800" w:rsidP="003D0C97">
            <w:pPr>
              <w:spacing w:line="240" w:lineRule="atLeast"/>
              <w:outlineLvl w:val="1"/>
              <w:rPr>
                <w:sz w:val="20"/>
                <w:szCs w:val="20"/>
              </w:rPr>
            </w:pPr>
            <w:r w:rsidRPr="00D63E1E">
              <w:rPr>
                <w:sz w:val="20"/>
                <w:szCs w:val="20"/>
              </w:rPr>
              <w:t>Geraniol</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4,5</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2430" w:type="dxa"/>
            <w:shd w:val="clear" w:color="auto" w:fill="auto"/>
          </w:tcPr>
          <w:p w:rsidR="00852800" w:rsidRPr="00D63E1E" w:rsidRDefault="00852800" w:rsidP="003D0C97">
            <w:pPr>
              <w:spacing w:line="240" w:lineRule="atLeast"/>
              <w:outlineLvl w:val="1"/>
              <w:rPr>
                <w:sz w:val="20"/>
                <w:szCs w:val="20"/>
              </w:rPr>
            </w:pPr>
            <w:r w:rsidRPr="00D63E1E">
              <w:rPr>
                <w:sz w:val="20"/>
                <w:szCs w:val="20"/>
              </w:rPr>
              <w:t>Eudesma-4,11-diene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4,5</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243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(E,E)- α</w:t>
            </w:r>
            <w:r w:rsidRPr="00D63E1E">
              <w:rPr>
                <w:sz w:val="20"/>
                <w:szCs w:val="20"/>
              </w:rPr>
              <w:t>-farnesene</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2,4</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2430" w:type="dxa"/>
            <w:shd w:val="clear" w:color="auto" w:fill="auto"/>
          </w:tcPr>
          <w:p w:rsidR="00852800" w:rsidRPr="00D63E1E" w:rsidRDefault="00852800" w:rsidP="003D0C97">
            <w:pPr>
              <w:spacing w:line="240" w:lineRule="atLeast"/>
              <w:outlineLvl w:val="1"/>
              <w:rPr>
                <w:sz w:val="20"/>
                <w:szCs w:val="20"/>
              </w:rPr>
            </w:pPr>
            <w:r w:rsidRPr="00D63E1E">
              <w:rPr>
                <w:i/>
                <w:sz w:val="20"/>
                <w:szCs w:val="20"/>
              </w:rPr>
              <w:t>(E)-</w:t>
            </w:r>
            <w:r w:rsidRPr="00D63E1E">
              <w:rPr>
                <w:sz w:val="20"/>
                <w:szCs w:val="20"/>
              </w:rPr>
              <w:t>nerolidol</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36,4</w:t>
            </w:r>
          </w:p>
        </w:tc>
      </w:tr>
      <w:tr w:rsidR="000121E3"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2430" w:type="dxa"/>
            <w:shd w:val="clear" w:color="auto" w:fill="auto"/>
          </w:tcPr>
          <w:p w:rsidR="00852800" w:rsidRPr="00D63E1E" w:rsidRDefault="00852800" w:rsidP="003D0C97">
            <w:pPr>
              <w:spacing w:line="240" w:lineRule="atLeast"/>
              <w:outlineLvl w:val="1"/>
              <w:rPr>
                <w:sz w:val="20"/>
                <w:szCs w:val="20"/>
              </w:rPr>
            </w:pPr>
            <w:r w:rsidRPr="00D63E1E">
              <w:rPr>
                <w:sz w:val="20"/>
                <w:szCs w:val="20"/>
              </w:rPr>
              <w:t>Ledol</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2,4</w:t>
            </w:r>
          </w:p>
        </w:tc>
      </w:tr>
      <w:tr w:rsidR="005169EB" w:rsidRPr="00D63E1E" w:rsidTr="003D0C97">
        <w:trPr>
          <w:jc w:val="center"/>
        </w:trPr>
        <w:tc>
          <w:tcPr>
            <w:tcW w:w="630" w:type="dxa"/>
            <w:shd w:val="clear" w:color="auto" w:fill="auto"/>
          </w:tcPr>
          <w:p w:rsidR="00852800" w:rsidRPr="00D63E1E" w:rsidRDefault="00852800" w:rsidP="003D0C97">
            <w:pPr>
              <w:numPr>
                <w:ilvl w:val="0"/>
                <w:numId w:val="8"/>
              </w:numPr>
              <w:spacing w:line="240" w:lineRule="atLeast"/>
              <w:jc w:val="center"/>
              <w:outlineLvl w:val="1"/>
              <w:rPr>
                <w:b/>
                <w:sz w:val="20"/>
                <w:szCs w:val="20"/>
              </w:rPr>
            </w:pPr>
          </w:p>
        </w:tc>
        <w:tc>
          <w:tcPr>
            <w:tcW w:w="252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w:t>
            </w:r>
          </w:p>
        </w:tc>
        <w:tc>
          <w:tcPr>
            <w:tcW w:w="2430" w:type="dxa"/>
            <w:shd w:val="clear" w:color="auto" w:fill="auto"/>
          </w:tcPr>
          <w:p w:rsidR="00852800" w:rsidRPr="00D63E1E" w:rsidRDefault="00852800" w:rsidP="003D0C97">
            <w:pPr>
              <w:spacing w:line="240" w:lineRule="atLeast"/>
              <w:outlineLvl w:val="1"/>
              <w:rPr>
                <w:sz w:val="20"/>
                <w:szCs w:val="20"/>
              </w:rPr>
            </w:pPr>
            <w:r w:rsidRPr="00D63E1E">
              <w:rPr>
                <w:sz w:val="20"/>
                <w:szCs w:val="20"/>
              </w:rPr>
              <w:t>Guaiol</w:t>
            </w:r>
          </w:p>
        </w:tc>
        <w:tc>
          <w:tcPr>
            <w:tcW w:w="1080" w:type="dxa"/>
            <w:shd w:val="clear" w:color="auto" w:fill="auto"/>
          </w:tcPr>
          <w:p w:rsidR="00852800" w:rsidRPr="00D63E1E" w:rsidRDefault="00852800" w:rsidP="003D0C97">
            <w:pPr>
              <w:spacing w:line="240" w:lineRule="atLeast"/>
              <w:jc w:val="center"/>
              <w:outlineLvl w:val="1"/>
              <w:rPr>
                <w:sz w:val="20"/>
                <w:szCs w:val="20"/>
              </w:rPr>
            </w:pPr>
            <w:r w:rsidRPr="00D63E1E">
              <w:rPr>
                <w:sz w:val="20"/>
                <w:szCs w:val="20"/>
              </w:rPr>
              <w:t>2,3</w:t>
            </w:r>
          </w:p>
        </w:tc>
      </w:tr>
    </w:tbl>
    <w:p w:rsidR="00852800" w:rsidRPr="000121E3" w:rsidRDefault="00852800" w:rsidP="000E606D">
      <w:pPr>
        <w:spacing w:before="120" w:after="120"/>
        <w:jc w:val="center"/>
        <w:outlineLvl w:val="1"/>
        <w:rPr>
          <w:sz w:val="2"/>
          <w:szCs w:val="24"/>
        </w:rPr>
      </w:pPr>
    </w:p>
    <w:p w:rsidR="009B3F6D" w:rsidRPr="000121E3" w:rsidRDefault="009B3F6D" w:rsidP="00286F2C">
      <w:pPr>
        <w:spacing w:before="120" w:after="120" w:line="288" w:lineRule="auto"/>
        <w:jc w:val="both"/>
        <w:outlineLvl w:val="2"/>
        <w:rPr>
          <w:b/>
          <w:sz w:val="24"/>
          <w:szCs w:val="24"/>
        </w:rPr>
        <w:sectPr w:rsidR="009B3F6D" w:rsidRPr="000121E3" w:rsidSect="00E05CDD">
          <w:type w:val="continuous"/>
          <w:pgSz w:w="10773" w:h="15309" w:code="9"/>
          <w:pgMar w:top="1134" w:right="1134" w:bottom="1134" w:left="1134" w:header="720" w:footer="505" w:gutter="0"/>
          <w:cols w:space="720"/>
          <w:docGrid w:linePitch="6827"/>
        </w:sectPr>
      </w:pPr>
      <w:bookmarkStart w:id="20" w:name="_Toc512708734"/>
    </w:p>
    <w:p w:rsidR="006A0804" w:rsidRPr="000121E3" w:rsidRDefault="006A0804" w:rsidP="00230171">
      <w:pPr>
        <w:spacing w:before="120" w:after="120"/>
        <w:jc w:val="both"/>
        <w:outlineLvl w:val="2"/>
        <w:rPr>
          <w:b/>
          <w:sz w:val="24"/>
          <w:szCs w:val="24"/>
        </w:rPr>
      </w:pPr>
      <w:r w:rsidRPr="000121E3">
        <w:rPr>
          <w:b/>
          <w:sz w:val="24"/>
          <w:szCs w:val="24"/>
        </w:rPr>
        <w:lastRenderedPageBreak/>
        <w:t>3.</w:t>
      </w:r>
      <w:r w:rsidR="00230171" w:rsidRPr="000121E3">
        <w:rPr>
          <w:b/>
          <w:sz w:val="24"/>
          <w:szCs w:val="24"/>
        </w:rPr>
        <w:t>3</w:t>
      </w:r>
      <w:r w:rsidRPr="000121E3">
        <w:rPr>
          <w:b/>
          <w:sz w:val="24"/>
          <w:szCs w:val="24"/>
        </w:rPr>
        <w:t>. Hoạt tính sinh học</w:t>
      </w:r>
    </w:p>
    <w:p w:rsidR="006F4DCC" w:rsidRPr="000121E3" w:rsidRDefault="00F93956" w:rsidP="00852800">
      <w:pPr>
        <w:spacing w:line="288" w:lineRule="auto"/>
        <w:ind w:firstLine="567"/>
        <w:jc w:val="both"/>
        <w:outlineLvl w:val="1"/>
        <w:rPr>
          <w:sz w:val="24"/>
          <w:szCs w:val="24"/>
        </w:rPr>
      </w:pPr>
      <w:bookmarkStart w:id="21" w:name="_Toc512708735"/>
      <w:bookmarkStart w:id="22" w:name="_Toc512708733"/>
      <w:r w:rsidRPr="000121E3">
        <w:rPr>
          <w:sz w:val="24"/>
          <w:szCs w:val="24"/>
        </w:rPr>
        <w:t xml:space="preserve">Hoạt tính sinh học của tinh dầu </w:t>
      </w:r>
      <w:r w:rsidR="004422CA" w:rsidRPr="000121E3">
        <w:rPr>
          <w:sz w:val="24"/>
          <w:szCs w:val="24"/>
        </w:rPr>
        <w:t xml:space="preserve">lá và cành </w:t>
      </w:r>
      <w:r w:rsidRPr="000121E3">
        <w:rPr>
          <w:sz w:val="24"/>
          <w:szCs w:val="24"/>
        </w:rPr>
        <w:t xml:space="preserve">cây </w:t>
      </w:r>
      <w:r w:rsidR="00726D7B" w:rsidRPr="000121E3">
        <w:rPr>
          <w:sz w:val="24"/>
          <w:szCs w:val="24"/>
        </w:rPr>
        <w:t>g</w:t>
      </w:r>
      <w:r w:rsidRPr="000121E3">
        <w:rPr>
          <w:sz w:val="24"/>
          <w:szCs w:val="24"/>
        </w:rPr>
        <w:t>iổi xanh được phân tích theo 4 c</w:t>
      </w:r>
      <w:r w:rsidR="0021510D" w:rsidRPr="000121E3">
        <w:rPr>
          <w:sz w:val="24"/>
          <w:szCs w:val="24"/>
        </w:rPr>
        <w:t>hỉ tiêu: Hoạt tính chống oxy</w:t>
      </w:r>
      <w:r w:rsidRPr="000121E3">
        <w:rPr>
          <w:sz w:val="24"/>
          <w:szCs w:val="24"/>
        </w:rPr>
        <w:t xml:space="preserve"> hóa</w:t>
      </w:r>
      <w:r w:rsidR="0021510D" w:rsidRPr="000121E3">
        <w:rPr>
          <w:sz w:val="24"/>
          <w:szCs w:val="24"/>
        </w:rPr>
        <w:t xml:space="preserve"> theo phương pháp</w:t>
      </w:r>
      <w:r w:rsidRPr="000121E3">
        <w:rPr>
          <w:sz w:val="24"/>
          <w:szCs w:val="24"/>
        </w:rPr>
        <w:t xml:space="preserve"> </w:t>
      </w:r>
      <w:r w:rsidR="008D79B8" w:rsidRPr="000121E3">
        <w:rPr>
          <w:sz w:val="24"/>
          <w:szCs w:val="24"/>
        </w:rPr>
        <w:t xml:space="preserve">phản ứng bao vây </w:t>
      </w:r>
      <w:r w:rsidR="006D6211">
        <w:rPr>
          <w:sz w:val="24"/>
          <w:szCs w:val="24"/>
        </w:rPr>
        <w:t xml:space="preserve">gốc </w:t>
      </w:r>
      <w:r w:rsidR="008D79B8" w:rsidRPr="000121E3">
        <w:rPr>
          <w:sz w:val="24"/>
          <w:szCs w:val="24"/>
        </w:rPr>
        <w:t>tự do (</w:t>
      </w:r>
      <w:r w:rsidRPr="000121E3">
        <w:rPr>
          <w:sz w:val="24"/>
          <w:szCs w:val="24"/>
        </w:rPr>
        <w:t>DPPH</w:t>
      </w:r>
      <w:r w:rsidR="008D79B8" w:rsidRPr="000121E3">
        <w:rPr>
          <w:sz w:val="24"/>
          <w:szCs w:val="24"/>
        </w:rPr>
        <w:t>)</w:t>
      </w:r>
      <w:r w:rsidRPr="000121E3">
        <w:rPr>
          <w:sz w:val="24"/>
          <w:szCs w:val="24"/>
        </w:rPr>
        <w:t>, hoạt tính kháng khuẩn, kháng nấm và hoạt tính gây độc tế bào trên 2 dòng tế bào (KB - ung thư biểu mô và Hep</w:t>
      </w:r>
      <w:r w:rsidR="004F403E" w:rsidRPr="000121E3">
        <w:rPr>
          <w:sz w:val="24"/>
          <w:szCs w:val="24"/>
        </w:rPr>
        <w:t>-</w:t>
      </w:r>
      <w:r w:rsidRPr="000121E3">
        <w:rPr>
          <w:sz w:val="24"/>
          <w:szCs w:val="24"/>
        </w:rPr>
        <w:t xml:space="preserve">G2 - ung thư gan). </w:t>
      </w:r>
      <w:bookmarkStart w:id="23" w:name="_Toc512708801"/>
      <w:bookmarkEnd w:id="21"/>
      <w:r w:rsidRPr="000121E3">
        <w:rPr>
          <w:sz w:val="24"/>
          <w:szCs w:val="24"/>
        </w:rPr>
        <w:t xml:space="preserve">Kết quả phân tích cho thấy mẫu tinh dầu cành cây </w:t>
      </w:r>
      <w:r w:rsidR="004422CA" w:rsidRPr="000121E3">
        <w:rPr>
          <w:sz w:val="24"/>
          <w:szCs w:val="24"/>
        </w:rPr>
        <w:t>g</w:t>
      </w:r>
      <w:r w:rsidRPr="000121E3">
        <w:rPr>
          <w:sz w:val="24"/>
          <w:szCs w:val="24"/>
        </w:rPr>
        <w:t xml:space="preserve">iổi </w:t>
      </w:r>
      <w:r w:rsidRPr="000121E3">
        <w:rPr>
          <w:sz w:val="24"/>
          <w:szCs w:val="24"/>
        </w:rPr>
        <w:lastRenderedPageBreak/>
        <w:t>xanh lâu năm không có hoạt tính kháng nấm và chống ox</w:t>
      </w:r>
      <w:r w:rsidR="004F403E" w:rsidRPr="000121E3">
        <w:rPr>
          <w:sz w:val="24"/>
          <w:szCs w:val="24"/>
        </w:rPr>
        <w:t>y</w:t>
      </w:r>
      <w:r w:rsidRPr="000121E3">
        <w:rPr>
          <w:sz w:val="24"/>
          <w:szCs w:val="24"/>
        </w:rPr>
        <w:t xml:space="preserve"> hóa </w:t>
      </w:r>
      <w:r w:rsidR="004F403E" w:rsidRPr="000121E3">
        <w:rPr>
          <w:sz w:val="24"/>
          <w:szCs w:val="24"/>
        </w:rPr>
        <w:t xml:space="preserve">theo phương pháp </w:t>
      </w:r>
      <w:r w:rsidR="00204BD9" w:rsidRPr="000121E3">
        <w:rPr>
          <w:sz w:val="24"/>
          <w:szCs w:val="24"/>
        </w:rPr>
        <w:t>DPPH; n</w:t>
      </w:r>
      <w:r w:rsidR="004422CA" w:rsidRPr="000121E3">
        <w:rPr>
          <w:sz w:val="24"/>
          <w:szCs w:val="24"/>
        </w:rPr>
        <w:t>hưng lại có</w:t>
      </w:r>
      <w:r w:rsidRPr="000121E3">
        <w:rPr>
          <w:sz w:val="24"/>
          <w:szCs w:val="24"/>
        </w:rPr>
        <w:t xml:space="preserve"> hoạt tính kháng khuẩn đối với các chủng: </w:t>
      </w:r>
      <w:r w:rsidRPr="000121E3">
        <w:rPr>
          <w:i/>
          <w:sz w:val="24"/>
          <w:szCs w:val="24"/>
        </w:rPr>
        <w:t xml:space="preserve">Staphylococcus aureus, </w:t>
      </w:r>
      <w:r w:rsidR="006F4DCC" w:rsidRPr="000121E3">
        <w:rPr>
          <w:i/>
          <w:sz w:val="24"/>
          <w:szCs w:val="24"/>
        </w:rPr>
        <w:t>Bacillus subtilis</w:t>
      </w:r>
      <w:r w:rsidRPr="000121E3">
        <w:rPr>
          <w:i/>
          <w:sz w:val="24"/>
          <w:szCs w:val="24"/>
        </w:rPr>
        <w:t>, Lactobacillus fermentum, Pseudomonas a</w:t>
      </w:r>
      <w:r w:rsidR="00887C16" w:rsidRPr="000121E3">
        <w:rPr>
          <w:i/>
          <w:sz w:val="24"/>
          <w:szCs w:val="24"/>
        </w:rPr>
        <w:t>ur</w:t>
      </w:r>
      <w:r w:rsidRPr="000121E3">
        <w:rPr>
          <w:i/>
          <w:sz w:val="24"/>
          <w:szCs w:val="24"/>
        </w:rPr>
        <w:t>eu</w:t>
      </w:r>
      <w:r w:rsidR="00887C16" w:rsidRPr="000121E3">
        <w:rPr>
          <w:i/>
          <w:sz w:val="24"/>
          <w:szCs w:val="24"/>
        </w:rPr>
        <w:t>s</w:t>
      </w:r>
      <w:r w:rsidRPr="000121E3">
        <w:rPr>
          <w:i/>
          <w:sz w:val="24"/>
          <w:szCs w:val="24"/>
        </w:rPr>
        <w:t xml:space="preserve">. </w:t>
      </w:r>
      <w:r w:rsidRPr="000121E3">
        <w:rPr>
          <w:sz w:val="24"/>
          <w:szCs w:val="24"/>
        </w:rPr>
        <w:t xml:space="preserve">Trong đó, có tính chọn lọc đối với chủng loại </w:t>
      </w:r>
      <w:bookmarkStart w:id="24" w:name="_Toc512708802"/>
      <w:bookmarkEnd w:id="23"/>
      <w:r w:rsidR="006F4DCC" w:rsidRPr="000121E3">
        <w:rPr>
          <w:i/>
          <w:sz w:val="24"/>
          <w:szCs w:val="24"/>
        </w:rPr>
        <w:t>Bacillus subtilis</w:t>
      </w:r>
      <w:r w:rsidR="006F4DCC" w:rsidRPr="000121E3">
        <w:rPr>
          <w:sz w:val="24"/>
          <w:szCs w:val="24"/>
        </w:rPr>
        <w:t>.</w:t>
      </w:r>
    </w:p>
    <w:p w:rsidR="00F93956" w:rsidRPr="000121E3" w:rsidRDefault="00F93956" w:rsidP="00852800">
      <w:pPr>
        <w:spacing w:line="288" w:lineRule="auto"/>
        <w:ind w:firstLine="567"/>
        <w:jc w:val="both"/>
        <w:outlineLvl w:val="1"/>
        <w:rPr>
          <w:sz w:val="24"/>
          <w:szCs w:val="24"/>
        </w:rPr>
      </w:pPr>
      <w:r w:rsidRPr="000121E3">
        <w:rPr>
          <w:sz w:val="24"/>
          <w:szCs w:val="24"/>
        </w:rPr>
        <w:t xml:space="preserve">Đặc biệt chú ý đối với hoạt tính gây độc tế bào, mẫu tinh dầu cành cây </w:t>
      </w:r>
      <w:r w:rsidR="004422CA" w:rsidRPr="000121E3">
        <w:rPr>
          <w:sz w:val="24"/>
          <w:szCs w:val="24"/>
        </w:rPr>
        <w:t>g</w:t>
      </w:r>
      <w:r w:rsidRPr="000121E3">
        <w:rPr>
          <w:sz w:val="24"/>
          <w:szCs w:val="24"/>
        </w:rPr>
        <w:t xml:space="preserve">iổi </w:t>
      </w:r>
      <w:r w:rsidRPr="000121E3">
        <w:rPr>
          <w:sz w:val="24"/>
          <w:szCs w:val="24"/>
        </w:rPr>
        <w:lastRenderedPageBreak/>
        <w:t>xanh lâu năm có hoạt tính cao trên cả hai dòng tế bào KB và Hep</w:t>
      </w:r>
      <w:r w:rsidR="002E6E58" w:rsidRPr="000121E3">
        <w:rPr>
          <w:sz w:val="24"/>
          <w:szCs w:val="24"/>
        </w:rPr>
        <w:t>-</w:t>
      </w:r>
      <w:r w:rsidRPr="000121E3">
        <w:rPr>
          <w:sz w:val="24"/>
          <w:szCs w:val="24"/>
        </w:rPr>
        <w:t>G2.</w:t>
      </w:r>
      <w:bookmarkEnd w:id="24"/>
      <w:r w:rsidRPr="000121E3">
        <w:rPr>
          <w:sz w:val="24"/>
          <w:szCs w:val="24"/>
        </w:rPr>
        <w:t xml:space="preserve"> </w:t>
      </w:r>
      <w:r w:rsidR="002E6E58" w:rsidRPr="000121E3">
        <w:rPr>
          <w:sz w:val="24"/>
          <w:szCs w:val="24"/>
        </w:rPr>
        <w:t>Vì vậy,</w:t>
      </w:r>
      <w:r w:rsidRPr="000121E3">
        <w:rPr>
          <w:sz w:val="24"/>
          <w:szCs w:val="24"/>
        </w:rPr>
        <w:t xml:space="preserve"> cần tiếp tục nghiên cứu, phân lập các thành phần trong mẫu tinh dầu cành cây </w:t>
      </w:r>
      <w:r w:rsidR="004A5FB8" w:rsidRPr="000121E3">
        <w:rPr>
          <w:sz w:val="24"/>
          <w:szCs w:val="24"/>
        </w:rPr>
        <w:t>g</w:t>
      </w:r>
      <w:r w:rsidRPr="000121E3">
        <w:rPr>
          <w:sz w:val="24"/>
          <w:szCs w:val="24"/>
        </w:rPr>
        <w:t xml:space="preserve">iổi xanh lâu năm, xác định thành phần chính gây hoạt tính trên dòng tế bào </w:t>
      </w:r>
      <w:r w:rsidR="004A5FB8" w:rsidRPr="000121E3">
        <w:rPr>
          <w:sz w:val="24"/>
          <w:szCs w:val="24"/>
        </w:rPr>
        <w:t xml:space="preserve">ung thư </w:t>
      </w:r>
      <w:r w:rsidRPr="000121E3">
        <w:rPr>
          <w:sz w:val="24"/>
          <w:szCs w:val="24"/>
        </w:rPr>
        <w:t>KB và Hep</w:t>
      </w:r>
      <w:r w:rsidR="004A5FB8" w:rsidRPr="000121E3">
        <w:rPr>
          <w:sz w:val="24"/>
          <w:szCs w:val="24"/>
        </w:rPr>
        <w:t>-</w:t>
      </w:r>
      <w:r w:rsidRPr="000121E3">
        <w:rPr>
          <w:sz w:val="24"/>
          <w:szCs w:val="24"/>
        </w:rPr>
        <w:t>G2 nhằm tiến tới nghiên cứu tổng hợp và đề xuất ứng dụng trong lĩnh vực y dược.</w:t>
      </w:r>
    </w:p>
    <w:bookmarkEnd w:id="22"/>
    <w:p w:rsidR="006A0804" w:rsidRPr="000121E3" w:rsidRDefault="006A0804" w:rsidP="00852800">
      <w:pPr>
        <w:spacing w:line="288" w:lineRule="auto"/>
        <w:ind w:firstLine="567"/>
        <w:jc w:val="both"/>
        <w:outlineLvl w:val="1"/>
        <w:rPr>
          <w:sz w:val="24"/>
          <w:szCs w:val="24"/>
        </w:rPr>
      </w:pPr>
      <w:r w:rsidRPr="000121E3">
        <w:rPr>
          <w:sz w:val="24"/>
          <w:szCs w:val="24"/>
        </w:rPr>
        <w:t>Kết quả phân tích</w:t>
      </w:r>
      <w:r w:rsidR="00726D7B" w:rsidRPr="000121E3">
        <w:rPr>
          <w:sz w:val="24"/>
          <w:szCs w:val="24"/>
        </w:rPr>
        <w:t xml:space="preserve"> hoạt tính sinh học tinh d</w:t>
      </w:r>
      <w:r w:rsidR="004422CA" w:rsidRPr="000121E3">
        <w:rPr>
          <w:sz w:val="24"/>
          <w:szCs w:val="24"/>
        </w:rPr>
        <w:t>ầ</w:t>
      </w:r>
      <w:r w:rsidR="00726D7B" w:rsidRPr="000121E3">
        <w:rPr>
          <w:sz w:val="24"/>
          <w:szCs w:val="24"/>
        </w:rPr>
        <w:t xml:space="preserve">u lá cây giổi xanh non </w:t>
      </w:r>
      <w:r w:rsidRPr="000121E3">
        <w:rPr>
          <w:sz w:val="24"/>
          <w:szCs w:val="24"/>
        </w:rPr>
        <w:t xml:space="preserve">cho thấy mẫu tinh dầu </w:t>
      </w:r>
      <w:r w:rsidR="00726D7B" w:rsidRPr="000121E3">
        <w:rPr>
          <w:sz w:val="24"/>
          <w:szCs w:val="24"/>
        </w:rPr>
        <w:t xml:space="preserve">cũng có hoạt tính </w:t>
      </w:r>
      <w:r w:rsidRPr="000121E3">
        <w:rPr>
          <w:sz w:val="24"/>
          <w:szCs w:val="24"/>
        </w:rPr>
        <w:t xml:space="preserve">gây độc tế bào trên cả </w:t>
      </w:r>
      <w:r w:rsidR="00726D7B" w:rsidRPr="000121E3">
        <w:rPr>
          <w:sz w:val="24"/>
          <w:szCs w:val="24"/>
        </w:rPr>
        <w:t xml:space="preserve">hai dòng tế bào </w:t>
      </w:r>
      <w:r w:rsidR="00DD432E" w:rsidRPr="000121E3">
        <w:rPr>
          <w:sz w:val="24"/>
          <w:szCs w:val="24"/>
        </w:rPr>
        <w:t xml:space="preserve">ung thư </w:t>
      </w:r>
      <w:r w:rsidR="00726D7B" w:rsidRPr="000121E3">
        <w:rPr>
          <w:sz w:val="24"/>
          <w:szCs w:val="24"/>
        </w:rPr>
        <w:t>KB và Hep</w:t>
      </w:r>
      <w:r w:rsidR="00C675B0" w:rsidRPr="000121E3">
        <w:rPr>
          <w:sz w:val="24"/>
          <w:szCs w:val="24"/>
        </w:rPr>
        <w:t>-</w:t>
      </w:r>
      <w:r w:rsidR="00726D7B" w:rsidRPr="000121E3">
        <w:rPr>
          <w:sz w:val="24"/>
          <w:szCs w:val="24"/>
        </w:rPr>
        <w:t>G2.</w:t>
      </w:r>
    </w:p>
    <w:bookmarkEnd w:id="20"/>
    <w:p w:rsidR="006B34B2" w:rsidRPr="000121E3" w:rsidRDefault="00315771" w:rsidP="000E606D">
      <w:pPr>
        <w:widowControl w:val="0"/>
        <w:spacing w:before="120" w:after="120"/>
        <w:jc w:val="both"/>
        <w:rPr>
          <w:b/>
          <w:sz w:val="24"/>
          <w:szCs w:val="24"/>
        </w:rPr>
      </w:pPr>
      <w:r w:rsidRPr="000121E3">
        <w:rPr>
          <w:b/>
          <w:sz w:val="24"/>
          <w:szCs w:val="24"/>
        </w:rPr>
        <w:t>4</w:t>
      </w:r>
      <w:r w:rsidR="007B03EC" w:rsidRPr="000121E3">
        <w:rPr>
          <w:b/>
          <w:sz w:val="24"/>
          <w:szCs w:val="24"/>
        </w:rPr>
        <w:t>. KẾT LUẬN</w:t>
      </w:r>
    </w:p>
    <w:p w:rsidR="00B52E3D" w:rsidRPr="000121E3" w:rsidRDefault="00B52E3D" w:rsidP="00C92873">
      <w:pPr>
        <w:widowControl w:val="0"/>
        <w:spacing w:line="288" w:lineRule="auto"/>
        <w:ind w:firstLine="567"/>
        <w:jc w:val="both"/>
        <w:rPr>
          <w:sz w:val="24"/>
          <w:szCs w:val="24"/>
        </w:rPr>
      </w:pPr>
      <w:bookmarkStart w:id="25" w:name="_Toc451689870"/>
      <w:bookmarkStart w:id="26" w:name="_Toc451690092"/>
      <w:bookmarkStart w:id="27" w:name="_Toc451750406"/>
      <w:bookmarkStart w:id="28" w:name="_Toc451764747"/>
      <w:bookmarkStart w:id="29" w:name="_Toc452287845"/>
      <w:r w:rsidRPr="000121E3">
        <w:rPr>
          <w:sz w:val="24"/>
          <w:szCs w:val="24"/>
        </w:rPr>
        <w:t>Kết quả nghiên cứu đã xác định hàm lượng tinh dầu lá, cành cây giổi xanh non và cây giổi xanh lâu năm ở Quảng Bình, trong đó hàm lượng tinh dầ</w:t>
      </w:r>
      <w:r w:rsidR="009A7BF3" w:rsidRPr="000121E3">
        <w:rPr>
          <w:sz w:val="24"/>
          <w:szCs w:val="24"/>
        </w:rPr>
        <w:t>u trong lá cây giổi xanh non có</w:t>
      </w:r>
      <w:r w:rsidRPr="000121E3">
        <w:rPr>
          <w:sz w:val="24"/>
          <w:szCs w:val="24"/>
        </w:rPr>
        <w:t xml:space="preserve"> hàm lượng cao nhất (0,13%). Thành phần hóa học của lá cây giổi xanh non thu hái ở khu vực thành phố Đồng Hới, tỉnh Quảng Bình được xác định bằng phương pháp GC/MS. Trong đó, có 57 hợp chất đã được định danh chiếm 82,57% như: </w:t>
      </w:r>
      <w:r w:rsidRPr="000121E3">
        <w:rPr>
          <w:i/>
          <w:sz w:val="24"/>
          <w:szCs w:val="24"/>
        </w:rPr>
        <w:t>β-</w:t>
      </w:r>
      <w:r w:rsidRPr="000121E3">
        <w:rPr>
          <w:sz w:val="24"/>
          <w:szCs w:val="24"/>
        </w:rPr>
        <w:t xml:space="preserve">pinene (15,86%), Caryophyllene oxide (9,43%), </w:t>
      </w:r>
      <w:r w:rsidRPr="000121E3">
        <w:rPr>
          <w:i/>
          <w:sz w:val="24"/>
          <w:szCs w:val="24"/>
        </w:rPr>
        <w:t>α-</w:t>
      </w:r>
      <w:r w:rsidRPr="000121E3">
        <w:rPr>
          <w:sz w:val="24"/>
          <w:szCs w:val="24"/>
        </w:rPr>
        <w:t xml:space="preserve">pinene (4,92%), </w:t>
      </w:r>
      <w:r w:rsidRPr="000121E3">
        <w:rPr>
          <w:i/>
          <w:sz w:val="24"/>
          <w:szCs w:val="24"/>
        </w:rPr>
        <w:t>(E)-</w:t>
      </w:r>
      <w:r w:rsidRPr="000121E3">
        <w:rPr>
          <w:sz w:val="24"/>
          <w:szCs w:val="24"/>
        </w:rPr>
        <w:t>caryophylene (4,40%)...</w:t>
      </w:r>
    </w:p>
    <w:p w:rsidR="006B645B" w:rsidRPr="000121E3" w:rsidRDefault="006E4A76" w:rsidP="00C92873">
      <w:pPr>
        <w:spacing w:line="288" w:lineRule="auto"/>
        <w:ind w:firstLine="567"/>
        <w:jc w:val="both"/>
        <w:rPr>
          <w:sz w:val="24"/>
          <w:szCs w:val="24"/>
        </w:rPr>
      </w:pPr>
      <w:r w:rsidRPr="000121E3">
        <w:rPr>
          <w:sz w:val="24"/>
          <w:szCs w:val="24"/>
        </w:rPr>
        <w:t>Nghiên cứu</w:t>
      </w:r>
      <w:r w:rsidR="00012CE1" w:rsidRPr="000121E3">
        <w:rPr>
          <w:sz w:val="24"/>
          <w:szCs w:val="24"/>
        </w:rPr>
        <w:t xml:space="preserve"> đã xác định được hoạt tính sinh học của tinh dầu </w:t>
      </w:r>
      <w:r w:rsidR="004422CA" w:rsidRPr="000121E3">
        <w:rPr>
          <w:sz w:val="24"/>
          <w:szCs w:val="24"/>
        </w:rPr>
        <w:t xml:space="preserve">lá và </w:t>
      </w:r>
      <w:r w:rsidR="00012CE1" w:rsidRPr="000121E3">
        <w:rPr>
          <w:sz w:val="24"/>
          <w:szCs w:val="24"/>
        </w:rPr>
        <w:t xml:space="preserve">cành cây giổi xanh với 4 chỉ tiêu: kháng khuẩn, </w:t>
      </w:r>
      <w:r w:rsidR="00012CE1" w:rsidRPr="000121E3">
        <w:rPr>
          <w:sz w:val="24"/>
          <w:szCs w:val="24"/>
        </w:rPr>
        <w:lastRenderedPageBreak/>
        <w:t xml:space="preserve">kháng nấm, gây độc tế bào và chống oxy hóa DPPH. Trong đó, đặc biệt chú ý mẫu tinh dầu cành cây giổi xanh lâu năm và lá cây giổi xanh non đều có hoạt tính gây độc tế bào trên cả hai dòng tế bào </w:t>
      </w:r>
      <w:r w:rsidR="00B52E3D" w:rsidRPr="000121E3">
        <w:rPr>
          <w:sz w:val="24"/>
          <w:szCs w:val="24"/>
        </w:rPr>
        <w:t xml:space="preserve">ung thư </w:t>
      </w:r>
      <w:r w:rsidR="00012CE1" w:rsidRPr="000121E3">
        <w:rPr>
          <w:sz w:val="24"/>
          <w:szCs w:val="24"/>
        </w:rPr>
        <w:t>KB (ung thư biểu mô) và Hep</w:t>
      </w:r>
      <w:r w:rsidR="00B52E3D" w:rsidRPr="000121E3">
        <w:rPr>
          <w:sz w:val="24"/>
          <w:szCs w:val="24"/>
        </w:rPr>
        <w:t>-</w:t>
      </w:r>
      <w:r w:rsidR="00475F22" w:rsidRPr="000121E3">
        <w:rPr>
          <w:sz w:val="24"/>
          <w:szCs w:val="24"/>
        </w:rPr>
        <w:t>G2 (ung thư gan).</w:t>
      </w:r>
    </w:p>
    <w:p w:rsidR="00864FA3" w:rsidRPr="000121E3" w:rsidRDefault="00C911CD" w:rsidP="004F3090">
      <w:pPr>
        <w:widowControl w:val="0"/>
        <w:spacing w:before="120" w:after="120"/>
        <w:rPr>
          <w:b/>
          <w:sz w:val="24"/>
          <w:szCs w:val="24"/>
        </w:rPr>
      </w:pPr>
      <w:r w:rsidRPr="000121E3">
        <w:rPr>
          <w:b/>
          <w:sz w:val="24"/>
          <w:szCs w:val="24"/>
        </w:rPr>
        <w:t>TÀI LIỆU THAM KHẢO</w:t>
      </w:r>
    </w:p>
    <w:p w:rsidR="00160A4F" w:rsidRPr="003F5432" w:rsidRDefault="008010DB" w:rsidP="00852800">
      <w:pPr>
        <w:widowControl w:val="0"/>
        <w:spacing w:before="120" w:line="288" w:lineRule="auto"/>
        <w:rPr>
          <w:b/>
          <w:sz w:val="22"/>
          <w:szCs w:val="22"/>
        </w:rPr>
      </w:pPr>
      <w:r w:rsidRPr="003F5432">
        <w:rPr>
          <w:b/>
          <w:sz w:val="22"/>
          <w:szCs w:val="22"/>
        </w:rPr>
        <w:t xml:space="preserve">Tiếng </w:t>
      </w:r>
      <w:r w:rsidR="004F3090" w:rsidRPr="003F5432">
        <w:rPr>
          <w:b/>
          <w:sz w:val="22"/>
          <w:szCs w:val="22"/>
        </w:rPr>
        <w:t>Việt</w:t>
      </w:r>
      <w:r w:rsidR="003F5432" w:rsidRPr="003F5432">
        <w:rPr>
          <w:b/>
          <w:sz w:val="22"/>
          <w:szCs w:val="22"/>
        </w:rPr>
        <w:t>:</w:t>
      </w:r>
    </w:p>
    <w:p w:rsidR="00A44D8A" w:rsidRPr="000121E3" w:rsidRDefault="00DC0030" w:rsidP="008F3B49">
      <w:pPr>
        <w:shd w:val="clear" w:color="auto" w:fill="FFFFFF"/>
        <w:tabs>
          <w:tab w:val="left" w:pos="426"/>
        </w:tabs>
        <w:spacing w:before="120"/>
        <w:ind w:left="425" w:hanging="425"/>
        <w:jc w:val="both"/>
        <w:rPr>
          <w:sz w:val="22"/>
          <w:szCs w:val="22"/>
        </w:rPr>
      </w:pPr>
      <w:r w:rsidRPr="000121E3">
        <w:rPr>
          <w:sz w:val="22"/>
          <w:szCs w:val="22"/>
        </w:rPr>
        <w:t>[1</w:t>
      </w:r>
      <w:r w:rsidR="00D34039" w:rsidRPr="000121E3">
        <w:rPr>
          <w:sz w:val="22"/>
          <w:szCs w:val="22"/>
        </w:rPr>
        <w:t>]</w:t>
      </w:r>
      <w:r w:rsidR="00286F2C" w:rsidRPr="000121E3">
        <w:rPr>
          <w:sz w:val="22"/>
          <w:szCs w:val="22"/>
        </w:rPr>
        <w:tab/>
      </w:r>
      <w:r w:rsidR="00A44D8A" w:rsidRPr="000121E3">
        <w:rPr>
          <w:sz w:val="22"/>
          <w:szCs w:val="22"/>
          <w:shd w:val="clear" w:color="auto" w:fill="FFFFFF"/>
        </w:rPr>
        <w:t>Hoàng Văn Uy (2015),</w:t>
      </w:r>
      <w:r w:rsidR="00D34039" w:rsidRPr="000121E3">
        <w:rPr>
          <w:sz w:val="22"/>
          <w:szCs w:val="22"/>
          <w:shd w:val="clear" w:color="auto" w:fill="FFFFFF"/>
        </w:rPr>
        <w:t> “</w:t>
      </w:r>
      <w:r w:rsidR="00D34039" w:rsidRPr="000121E3">
        <w:rPr>
          <w:i/>
          <w:sz w:val="22"/>
          <w:szCs w:val="22"/>
          <w:shd w:val="clear" w:color="auto" w:fill="FFFFFF"/>
        </w:rPr>
        <w:t>Đánh giá thực trạng rừng trồng giổi xanh, đề xuất biện pháp kỹ thuật gây trồng và phát triển tại huyện Lục Yên tỉnh Yên Bái”</w:t>
      </w:r>
      <w:r w:rsidR="00286F2C" w:rsidRPr="000121E3">
        <w:rPr>
          <w:i/>
          <w:sz w:val="22"/>
          <w:szCs w:val="22"/>
          <w:shd w:val="clear" w:color="auto" w:fill="FFFFFF"/>
        </w:rPr>
        <w:t xml:space="preserve">, </w:t>
      </w:r>
      <w:r w:rsidR="00286F2C" w:rsidRPr="000121E3">
        <w:rPr>
          <w:sz w:val="22"/>
          <w:szCs w:val="22"/>
          <w:shd w:val="clear" w:color="auto" w:fill="FFFFFF"/>
        </w:rPr>
        <w:t>Trường Đ</w:t>
      </w:r>
      <w:r w:rsidR="00D34039" w:rsidRPr="000121E3">
        <w:rPr>
          <w:sz w:val="22"/>
          <w:szCs w:val="22"/>
          <w:shd w:val="clear" w:color="auto" w:fill="FFFFFF"/>
        </w:rPr>
        <w:t xml:space="preserve">ại học </w:t>
      </w:r>
      <w:r w:rsidR="00286F2C" w:rsidRPr="000121E3">
        <w:rPr>
          <w:sz w:val="22"/>
          <w:szCs w:val="22"/>
          <w:shd w:val="clear" w:color="auto" w:fill="FFFFFF"/>
        </w:rPr>
        <w:t>N</w:t>
      </w:r>
      <w:r w:rsidR="00A44D8A" w:rsidRPr="000121E3">
        <w:rPr>
          <w:sz w:val="22"/>
          <w:szCs w:val="22"/>
          <w:shd w:val="clear" w:color="auto" w:fill="FFFFFF"/>
        </w:rPr>
        <w:t xml:space="preserve">ông lâm </w:t>
      </w:r>
      <w:r w:rsidR="00B52E3D" w:rsidRPr="000121E3">
        <w:rPr>
          <w:sz w:val="22"/>
          <w:szCs w:val="22"/>
          <w:shd w:val="clear" w:color="auto" w:fill="FFFFFF"/>
        </w:rPr>
        <w:t xml:space="preserve">- </w:t>
      </w:r>
      <w:r w:rsidR="00D34039" w:rsidRPr="000121E3">
        <w:rPr>
          <w:sz w:val="22"/>
          <w:szCs w:val="22"/>
          <w:shd w:val="clear" w:color="auto" w:fill="FFFFFF"/>
        </w:rPr>
        <w:t xml:space="preserve">Đại học </w:t>
      </w:r>
      <w:r w:rsidR="00A44D8A" w:rsidRPr="000121E3">
        <w:rPr>
          <w:sz w:val="22"/>
          <w:szCs w:val="22"/>
          <w:shd w:val="clear" w:color="auto" w:fill="FFFFFF"/>
        </w:rPr>
        <w:t>Thái Nguyên</w:t>
      </w:r>
      <w:r w:rsidR="00A44D8A" w:rsidRPr="000121E3">
        <w:rPr>
          <w:sz w:val="22"/>
          <w:szCs w:val="22"/>
        </w:rPr>
        <w:t>.</w:t>
      </w:r>
    </w:p>
    <w:p w:rsidR="00D34039" w:rsidRPr="000121E3" w:rsidRDefault="00A44D8A" w:rsidP="008F3B49">
      <w:pPr>
        <w:widowControl w:val="0"/>
        <w:shd w:val="clear" w:color="auto" w:fill="FFFFFF"/>
        <w:tabs>
          <w:tab w:val="left" w:pos="426"/>
        </w:tabs>
        <w:spacing w:before="120"/>
        <w:ind w:left="425" w:hanging="425"/>
        <w:jc w:val="both"/>
        <w:rPr>
          <w:sz w:val="22"/>
          <w:szCs w:val="22"/>
        </w:rPr>
      </w:pPr>
      <w:r w:rsidRPr="000121E3">
        <w:rPr>
          <w:sz w:val="22"/>
          <w:szCs w:val="22"/>
        </w:rPr>
        <w:t>[2</w:t>
      </w:r>
      <w:r w:rsidR="00D34039" w:rsidRPr="000121E3">
        <w:rPr>
          <w:sz w:val="22"/>
          <w:szCs w:val="22"/>
        </w:rPr>
        <w:t>]</w:t>
      </w:r>
      <w:r w:rsidR="00286F2C" w:rsidRPr="000121E3">
        <w:rPr>
          <w:sz w:val="22"/>
          <w:szCs w:val="22"/>
        </w:rPr>
        <w:tab/>
      </w:r>
      <w:r w:rsidR="00D34039" w:rsidRPr="000121E3">
        <w:rPr>
          <w:sz w:val="22"/>
          <w:szCs w:val="22"/>
          <w:lang w:eastAsia="vi-VN"/>
        </w:rPr>
        <w:t>Phan Văn Thắng (2013), “</w:t>
      </w:r>
      <w:r w:rsidR="00D34039" w:rsidRPr="000121E3">
        <w:rPr>
          <w:i/>
          <w:sz w:val="22"/>
          <w:szCs w:val="22"/>
          <w:lang w:eastAsia="vi-VN"/>
        </w:rPr>
        <w:t xml:space="preserve">Ảnh hưởng của một số nhân tố hoàn cảnh đến khả năng tái sinh và sinh trưởng của cây </w:t>
      </w:r>
      <w:r w:rsidR="002937D8" w:rsidRPr="000121E3">
        <w:rPr>
          <w:i/>
          <w:sz w:val="22"/>
          <w:szCs w:val="22"/>
          <w:lang w:eastAsia="vi-VN"/>
        </w:rPr>
        <w:t>g</w:t>
      </w:r>
      <w:r w:rsidR="00D34039" w:rsidRPr="000121E3">
        <w:rPr>
          <w:i/>
          <w:sz w:val="22"/>
          <w:szCs w:val="22"/>
          <w:lang w:eastAsia="vi-VN"/>
        </w:rPr>
        <w:t>iổi xanh (Michelia Mediocris Dandy)”</w:t>
      </w:r>
      <w:r w:rsidR="00286F2C" w:rsidRPr="000121E3">
        <w:rPr>
          <w:i/>
          <w:sz w:val="22"/>
          <w:szCs w:val="22"/>
          <w:lang w:eastAsia="vi-VN"/>
        </w:rPr>
        <w:t>,</w:t>
      </w:r>
      <w:r w:rsidR="00130109" w:rsidRPr="000121E3">
        <w:rPr>
          <w:i/>
          <w:sz w:val="22"/>
          <w:szCs w:val="22"/>
          <w:lang w:eastAsia="vi-VN"/>
        </w:rPr>
        <w:t xml:space="preserve"> </w:t>
      </w:r>
      <w:r w:rsidR="002F0B1F" w:rsidRPr="000121E3">
        <w:rPr>
          <w:sz w:val="22"/>
          <w:szCs w:val="22"/>
          <w:lang w:eastAsia="vi-VN"/>
        </w:rPr>
        <w:t>Trung tâm nghiên cứu lâm sản -</w:t>
      </w:r>
      <w:r w:rsidR="00204BD9" w:rsidRPr="000121E3">
        <w:rPr>
          <w:sz w:val="22"/>
          <w:szCs w:val="22"/>
          <w:lang w:eastAsia="vi-VN"/>
        </w:rPr>
        <w:t xml:space="preserve"> Viện Khoa học L</w:t>
      </w:r>
      <w:r w:rsidR="00D34039" w:rsidRPr="000121E3">
        <w:rPr>
          <w:sz w:val="22"/>
          <w:szCs w:val="22"/>
          <w:lang w:eastAsia="vi-VN"/>
        </w:rPr>
        <w:t>âm nghiệp Việt Nam.</w:t>
      </w:r>
    </w:p>
    <w:p w:rsidR="00D34039" w:rsidRPr="000121E3" w:rsidRDefault="00D34039" w:rsidP="008F3B49">
      <w:pPr>
        <w:shd w:val="clear" w:color="auto" w:fill="FFFFFF"/>
        <w:tabs>
          <w:tab w:val="left" w:pos="426"/>
        </w:tabs>
        <w:spacing w:before="120"/>
        <w:ind w:left="425" w:hanging="425"/>
        <w:jc w:val="both"/>
        <w:rPr>
          <w:sz w:val="22"/>
          <w:szCs w:val="22"/>
        </w:rPr>
      </w:pPr>
      <w:r w:rsidRPr="000121E3">
        <w:rPr>
          <w:sz w:val="22"/>
          <w:szCs w:val="22"/>
        </w:rPr>
        <w:t>[</w:t>
      </w:r>
      <w:r w:rsidR="00A44D8A" w:rsidRPr="000121E3">
        <w:rPr>
          <w:sz w:val="22"/>
          <w:szCs w:val="22"/>
        </w:rPr>
        <w:t>3</w:t>
      </w:r>
      <w:r w:rsidR="00262092" w:rsidRPr="000121E3">
        <w:rPr>
          <w:sz w:val="22"/>
          <w:szCs w:val="22"/>
        </w:rPr>
        <w:t>]</w:t>
      </w:r>
      <w:r w:rsidR="00286F2C" w:rsidRPr="000121E3">
        <w:rPr>
          <w:sz w:val="22"/>
          <w:szCs w:val="22"/>
        </w:rPr>
        <w:tab/>
      </w:r>
      <w:r w:rsidRPr="000121E3">
        <w:rPr>
          <w:sz w:val="22"/>
          <w:szCs w:val="22"/>
        </w:rPr>
        <w:t>Phan Văn Thắng (2014)</w:t>
      </w:r>
      <w:r w:rsidR="002937D8" w:rsidRPr="000121E3">
        <w:rPr>
          <w:i/>
          <w:sz w:val="22"/>
          <w:szCs w:val="22"/>
        </w:rPr>
        <w:t>, “Nghiên cứu một số đ</w:t>
      </w:r>
      <w:r w:rsidR="00262092" w:rsidRPr="000121E3">
        <w:rPr>
          <w:i/>
          <w:sz w:val="22"/>
          <w:szCs w:val="22"/>
        </w:rPr>
        <w:t>ặ</w:t>
      </w:r>
      <w:r w:rsidRPr="000121E3">
        <w:rPr>
          <w:i/>
          <w:sz w:val="22"/>
          <w:szCs w:val="22"/>
        </w:rPr>
        <w:t xml:space="preserve">c điểm sinh học và biện pháp kĩ thuật chọn tạo giống và cây trồng rừng </w:t>
      </w:r>
      <w:r w:rsidR="002937D8" w:rsidRPr="000121E3">
        <w:rPr>
          <w:i/>
          <w:sz w:val="22"/>
          <w:szCs w:val="22"/>
        </w:rPr>
        <w:t>g</w:t>
      </w:r>
      <w:r w:rsidR="002F0B1F" w:rsidRPr="000121E3">
        <w:rPr>
          <w:i/>
          <w:sz w:val="22"/>
          <w:szCs w:val="22"/>
        </w:rPr>
        <w:t xml:space="preserve">iổi xanh (Michelia mediocris Dandy) </w:t>
      </w:r>
      <w:r w:rsidRPr="000121E3">
        <w:rPr>
          <w:i/>
          <w:sz w:val="22"/>
          <w:szCs w:val="22"/>
        </w:rPr>
        <w:t>làm cơ sở để đề xuất biện pháp k</w:t>
      </w:r>
      <w:r w:rsidR="002937D8" w:rsidRPr="000121E3">
        <w:rPr>
          <w:i/>
          <w:sz w:val="22"/>
          <w:szCs w:val="22"/>
        </w:rPr>
        <w:t>ỹ</w:t>
      </w:r>
      <w:r w:rsidRPr="000121E3">
        <w:rPr>
          <w:i/>
          <w:sz w:val="22"/>
          <w:szCs w:val="22"/>
        </w:rPr>
        <w:t xml:space="preserve"> thuật nhằm nâng cao năng suất và chất lượng rừng’’</w:t>
      </w:r>
      <w:r w:rsidR="00286F2C" w:rsidRPr="000121E3">
        <w:rPr>
          <w:i/>
          <w:sz w:val="22"/>
          <w:szCs w:val="22"/>
        </w:rPr>
        <w:t>,</w:t>
      </w:r>
      <w:r w:rsidR="00204BD9" w:rsidRPr="000121E3">
        <w:rPr>
          <w:sz w:val="22"/>
          <w:szCs w:val="22"/>
        </w:rPr>
        <w:t>Viện khoa học và L</w:t>
      </w:r>
      <w:r w:rsidRPr="000121E3">
        <w:rPr>
          <w:sz w:val="22"/>
          <w:szCs w:val="22"/>
        </w:rPr>
        <w:t>âm nghiệp Việt Nam.</w:t>
      </w:r>
    </w:p>
    <w:p w:rsidR="00286F2C" w:rsidRPr="003F5432" w:rsidRDefault="004F3090" w:rsidP="00516F40">
      <w:pPr>
        <w:shd w:val="clear" w:color="auto" w:fill="FFFFFF"/>
        <w:spacing w:before="120" w:line="288" w:lineRule="auto"/>
        <w:ind w:left="629" w:hanging="629"/>
        <w:jc w:val="both"/>
        <w:rPr>
          <w:b/>
          <w:sz w:val="22"/>
          <w:szCs w:val="22"/>
        </w:rPr>
      </w:pPr>
      <w:r w:rsidRPr="003F5432">
        <w:rPr>
          <w:b/>
          <w:sz w:val="22"/>
          <w:szCs w:val="22"/>
        </w:rPr>
        <w:t>Tiếng Anh</w:t>
      </w:r>
      <w:r w:rsidR="003F5432" w:rsidRPr="003F5432">
        <w:rPr>
          <w:b/>
          <w:sz w:val="22"/>
          <w:szCs w:val="22"/>
        </w:rPr>
        <w:t>:</w:t>
      </w:r>
    </w:p>
    <w:p w:rsidR="00DC0030" w:rsidRPr="000121E3" w:rsidRDefault="00DC0030" w:rsidP="008F3B49">
      <w:pPr>
        <w:shd w:val="clear" w:color="auto" w:fill="FFFFFF"/>
        <w:tabs>
          <w:tab w:val="left" w:pos="426"/>
        </w:tabs>
        <w:spacing w:before="120"/>
        <w:ind w:left="425" w:hanging="425"/>
        <w:jc w:val="both"/>
        <w:rPr>
          <w:i/>
          <w:sz w:val="22"/>
          <w:szCs w:val="22"/>
        </w:rPr>
      </w:pPr>
      <w:r w:rsidRPr="000121E3">
        <w:rPr>
          <w:sz w:val="22"/>
          <w:szCs w:val="22"/>
        </w:rPr>
        <w:t>[</w:t>
      </w:r>
      <w:r w:rsidR="00A44D8A" w:rsidRPr="000121E3">
        <w:rPr>
          <w:sz w:val="22"/>
          <w:szCs w:val="22"/>
        </w:rPr>
        <w:t>4</w:t>
      </w:r>
      <w:r w:rsidRPr="000121E3">
        <w:rPr>
          <w:sz w:val="22"/>
          <w:szCs w:val="22"/>
        </w:rPr>
        <w:t>]</w:t>
      </w:r>
      <w:r w:rsidR="00286F2C" w:rsidRPr="000121E3">
        <w:rPr>
          <w:sz w:val="22"/>
          <w:szCs w:val="22"/>
        </w:rPr>
        <w:tab/>
      </w:r>
      <w:r w:rsidRPr="000121E3">
        <w:rPr>
          <w:sz w:val="22"/>
          <w:szCs w:val="22"/>
        </w:rPr>
        <w:t xml:space="preserve">Do N. Dai, Isiaka A. Ogunwande, Tran D. Thang (2016) </w:t>
      </w:r>
      <w:r w:rsidR="00130109" w:rsidRPr="000121E3">
        <w:rPr>
          <w:i/>
          <w:sz w:val="22"/>
          <w:szCs w:val="22"/>
        </w:rPr>
        <w:t>“</w:t>
      </w:r>
      <w:r w:rsidRPr="000121E3">
        <w:rPr>
          <w:i/>
          <w:sz w:val="22"/>
          <w:szCs w:val="22"/>
        </w:rPr>
        <w:t>Essential Oil Composition of Four Magnoliaceae Species Cultivated in Vietnam”,</w:t>
      </w:r>
      <w:r w:rsidRPr="000121E3">
        <w:rPr>
          <w:sz w:val="22"/>
          <w:szCs w:val="22"/>
        </w:rPr>
        <w:t xml:space="preserve"> Journal of Herbs, Spices &amp; Medicinal Plants.</w:t>
      </w:r>
    </w:p>
    <w:bookmarkEnd w:id="25"/>
    <w:bookmarkEnd w:id="26"/>
    <w:bookmarkEnd w:id="27"/>
    <w:bookmarkEnd w:id="28"/>
    <w:bookmarkEnd w:id="29"/>
    <w:p w:rsidR="009B3F6D" w:rsidRPr="000121E3" w:rsidRDefault="009B3F6D" w:rsidP="00850016">
      <w:pPr>
        <w:widowControl w:val="0"/>
        <w:spacing w:line="288" w:lineRule="auto"/>
        <w:rPr>
          <w:b/>
          <w:sz w:val="24"/>
          <w:szCs w:val="24"/>
        </w:rPr>
        <w:sectPr w:rsidR="009B3F6D" w:rsidRPr="000121E3" w:rsidSect="00E05CDD">
          <w:type w:val="continuous"/>
          <w:pgSz w:w="10773" w:h="15309" w:code="9"/>
          <w:pgMar w:top="1134" w:right="1134" w:bottom="1134" w:left="1134" w:header="720" w:footer="505" w:gutter="0"/>
          <w:cols w:num="2" w:space="454"/>
          <w:docGrid w:linePitch="6827"/>
        </w:sectPr>
      </w:pPr>
    </w:p>
    <w:p w:rsidR="00286F2C" w:rsidRPr="000121E3" w:rsidRDefault="00286F2C" w:rsidP="00160A4F">
      <w:pPr>
        <w:widowControl w:val="0"/>
        <w:spacing w:line="288" w:lineRule="auto"/>
        <w:rPr>
          <w:b/>
          <w:sz w:val="24"/>
          <w:szCs w:val="24"/>
        </w:rPr>
      </w:pPr>
    </w:p>
    <w:p w:rsidR="00737930" w:rsidRPr="000121E3" w:rsidRDefault="00737930" w:rsidP="00160A4F">
      <w:pPr>
        <w:widowControl w:val="0"/>
        <w:spacing w:line="288" w:lineRule="auto"/>
        <w:rPr>
          <w:b/>
          <w:sz w:val="24"/>
          <w:szCs w:val="24"/>
        </w:rPr>
      </w:pPr>
    </w:p>
    <w:p w:rsidR="008F3B49" w:rsidRPr="000121E3" w:rsidRDefault="008F3B49" w:rsidP="00160A4F">
      <w:pPr>
        <w:widowControl w:val="0"/>
        <w:spacing w:line="288" w:lineRule="auto"/>
        <w:rPr>
          <w:b/>
          <w:sz w:val="24"/>
          <w:szCs w:val="24"/>
        </w:rPr>
      </w:pPr>
    </w:p>
    <w:p w:rsidR="008F3B49" w:rsidRDefault="008F3B49" w:rsidP="00160A4F">
      <w:pPr>
        <w:widowControl w:val="0"/>
        <w:spacing w:line="288" w:lineRule="auto"/>
        <w:rPr>
          <w:b/>
          <w:sz w:val="24"/>
          <w:szCs w:val="24"/>
        </w:rPr>
      </w:pPr>
    </w:p>
    <w:p w:rsidR="00D63E1E" w:rsidRDefault="00D63E1E" w:rsidP="00160A4F">
      <w:pPr>
        <w:widowControl w:val="0"/>
        <w:spacing w:line="288" w:lineRule="auto"/>
        <w:rPr>
          <w:b/>
          <w:sz w:val="24"/>
          <w:szCs w:val="24"/>
        </w:rPr>
      </w:pPr>
    </w:p>
    <w:p w:rsidR="00D63E1E" w:rsidRPr="000121E3" w:rsidRDefault="00D63E1E" w:rsidP="00160A4F">
      <w:pPr>
        <w:widowControl w:val="0"/>
        <w:spacing w:line="288" w:lineRule="auto"/>
        <w:rPr>
          <w:b/>
          <w:sz w:val="24"/>
          <w:szCs w:val="24"/>
        </w:rPr>
      </w:pPr>
    </w:p>
    <w:p w:rsidR="00224B8A" w:rsidRPr="00224B8A" w:rsidRDefault="00224B8A" w:rsidP="00224B8A">
      <w:pPr>
        <w:widowControl w:val="0"/>
        <w:ind w:firstLine="567"/>
        <w:jc w:val="center"/>
        <w:rPr>
          <w:b/>
          <w:sz w:val="26"/>
          <w:szCs w:val="26"/>
        </w:rPr>
      </w:pPr>
      <w:r w:rsidRPr="00224B8A">
        <w:rPr>
          <w:b/>
          <w:sz w:val="26"/>
          <w:szCs w:val="26"/>
        </w:rPr>
        <w:lastRenderedPageBreak/>
        <w:t>A STUDY ON THE</w:t>
      </w:r>
      <w:r w:rsidRPr="00224B8A">
        <w:rPr>
          <w:i/>
          <w:sz w:val="26"/>
          <w:szCs w:val="26"/>
        </w:rPr>
        <w:t xml:space="preserve"> </w:t>
      </w:r>
      <w:r w:rsidRPr="00224B8A">
        <w:rPr>
          <w:b/>
          <w:sz w:val="26"/>
          <w:szCs w:val="26"/>
        </w:rPr>
        <w:t>CHEMICAL COMPOSITION AND BIOLOGICAL ACTIVITY OF ESSENTIAL OIL OF GIOI XANH TREES (</w:t>
      </w:r>
      <w:r w:rsidRPr="00224B8A">
        <w:rPr>
          <w:b/>
          <w:i/>
          <w:sz w:val="26"/>
          <w:szCs w:val="26"/>
        </w:rPr>
        <w:t>MICHELIA MEDIOCRIS</w:t>
      </w:r>
      <w:r w:rsidRPr="00224B8A">
        <w:rPr>
          <w:b/>
          <w:sz w:val="26"/>
          <w:szCs w:val="26"/>
        </w:rPr>
        <w:t>) IN QUANG BINH PROVINCE</w:t>
      </w:r>
    </w:p>
    <w:p w:rsidR="00224B8A" w:rsidRPr="00224B8A" w:rsidRDefault="00224B8A" w:rsidP="00224B8A">
      <w:pPr>
        <w:spacing w:line="288" w:lineRule="auto"/>
        <w:ind w:firstLine="567"/>
        <w:jc w:val="both"/>
        <w:rPr>
          <w:b/>
          <w:sz w:val="24"/>
          <w:szCs w:val="24"/>
        </w:rPr>
      </w:pPr>
    </w:p>
    <w:p w:rsidR="00224B8A" w:rsidRPr="00224B8A" w:rsidRDefault="00224B8A" w:rsidP="00224B8A">
      <w:pPr>
        <w:spacing w:line="288" w:lineRule="auto"/>
        <w:ind w:firstLine="567"/>
        <w:jc w:val="both"/>
        <w:rPr>
          <w:i/>
          <w:sz w:val="24"/>
          <w:szCs w:val="24"/>
        </w:rPr>
      </w:pPr>
      <w:r w:rsidRPr="00224B8A">
        <w:rPr>
          <w:b/>
          <w:i/>
          <w:sz w:val="24"/>
          <w:szCs w:val="24"/>
        </w:rPr>
        <w:t>Abstract.</w:t>
      </w:r>
      <w:r w:rsidRPr="00224B8A">
        <w:rPr>
          <w:i/>
          <w:sz w:val="24"/>
          <w:szCs w:val="24"/>
        </w:rPr>
        <w:t xml:space="preserve"> Chemical composition of the leaf oil of Michelia Mediocris Dandy from Quang Binh province, Viet Nam has been determined by GC/MS. The results show that major constituents were terpenoids. In addition, some compounds with a relatively large amount  have been identified such as β-pinene (15,86%), Caryophyllene oxide (9,43%), α-pinene (4,92%), (E)-caryophylene (β-caryophylene; (4,40%)… The  bough oil sample of Michelia Mediocris has selective antimicrobial activity with Bacillus subtilis. In particular, both of leaf and beauty oil of Michelia Mediocris have high activity on KB and Hep-G2 cell lines.</w:t>
      </w:r>
    </w:p>
    <w:p w:rsidR="00224B8A" w:rsidRPr="00224B8A" w:rsidRDefault="00224B8A" w:rsidP="00224B8A">
      <w:pPr>
        <w:spacing w:line="288" w:lineRule="auto"/>
        <w:ind w:firstLine="567"/>
        <w:jc w:val="both"/>
        <w:rPr>
          <w:i/>
          <w:sz w:val="22"/>
          <w:szCs w:val="24"/>
        </w:rPr>
      </w:pPr>
    </w:p>
    <w:p w:rsidR="00224B8A" w:rsidRPr="00224B8A" w:rsidRDefault="00224B8A" w:rsidP="00224B8A">
      <w:pPr>
        <w:spacing w:line="288" w:lineRule="auto"/>
        <w:ind w:firstLine="567"/>
        <w:jc w:val="both"/>
        <w:rPr>
          <w:i/>
          <w:sz w:val="24"/>
          <w:szCs w:val="24"/>
        </w:rPr>
      </w:pPr>
      <w:r w:rsidRPr="00224B8A">
        <w:rPr>
          <w:b/>
          <w:i/>
          <w:sz w:val="24"/>
          <w:szCs w:val="24"/>
        </w:rPr>
        <w:t xml:space="preserve">Keywords: </w:t>
      </w:r>
      <w:r w:rsidRPr="00224B8A">
        <w:rPr>
          <w:i/>
          <w:sz w:val="24"/>
          <w:szCs w:val="24"/>
        </w:rPr>
        <w:t>Michelia Mediocris, leaf oil, essential oil, steam distillation method.</w:t>
      </w:r>
    </w:p>
    <w:p w:rsidR="00130109" w:rsidRPr="000121E3" w:rsidRDefault="00130109" w:rsidP="004C5DB7">
      <w:pPr>
        <w:spacing w:line="288" w:lineRule="auto"/>
        <w:ind w:firstLine="567"/>
        <w:jc w:val="both"/>
        <w:rPr>
          <w:i/>
          <w:sz w:val="24"/>
          <w:szCs w:val="24"/>
          <w:lang w:val="vi-VN"/>
        </w:rPr>
      </w:pPr>
    </w:p>
    <w:p w:rsidR="004C5DB7" w:rsidRPr="000121E3" w:rsidRDefault="00852800" w:rsidP="004C5DB7">
      <w:pPr>
        <w:spacing w:line="288" w:lineRule="auto"/>
        <w:ind w:firstLine="567"/>
        <w:jc w:val="both"/>
        <w:rPr>
          <w:b/>
          <w:sz w:val="24"/>
          <w:szCs w:val="24"/>
          <w:lang w:val="vi-VN"/>
        </w:rPr>
      </w:pPr>
      <w:r w:rsidRPr="000121E3">
        <w:rPr>
          <w:b/>
          <w:sz w:val="24"/>
          <w:szCs w:val="24"/>
          <w:lang w:val="vi-VN"/>
        </w:rPr>
        <w:t>Liên hệ:</w:t>
      </w:r>
    </w:p>
    <w:p w:rsidR="004C5DB7" w:rsidRPr="000121E3" w:rsidRDefault="004C5DB7" w:rsidP="004C5DB7">
      <w:pPr>
        <w:spacing w:line="288" w:lineRule="auto"/>
        <w:ind w:firstLine="567"/>
        <w:jc w:val="both"/>
        <w:rPr>
          <w:sz w:val="24"/>
          <w:szCs w:val="24"/>
        </w:rPr>
      </w:pPr>
      <w:r w:rsidRPr="000121E3">
        <w:rPr>
          <w:sz w:val="24"/>
          <w:szCs w:val="24"/>
          <w:lang w:val="vi-VN"/>
        </w:rPr>
        <w:t xml:space="preserve">ThS. </w:t>
      </w:r>
      <w:r w:rsidRPr="000121E3">
        <w:rPr>
          <w:sz w:val="24"/>
          <w:szCs w:val="24"/>
        </w:rPr>
        <w:t>Lý Thị Thu Hoài</w:t>
      </w:r>
    </w:p>
    <w:p w:rsidR="00FB686A" w:rsidRDefault="004C5DB7" w:rsidP="00852800">
      <w:pPr>
        <w:spacing w:line="288" w:lineRule="auto"/>
        <w:ind w:left="567"/>
        <w:jc w:val="both"/>
        <w:rPr>
          <w:i/>
          <w:sz w:val="24"/>
          <w:szCs w:val="24"/>
          <w:lang w:val="vi-VN"/>
        </w:rPr>
      </w:pPr>
      <w:r w:rsidRPr="000121E3">
        <w:rPr>
          <w:i/>
          <w:sz w:val="24"/>
          <w:szCs w:val="24"/>
        </w:rPr>
        <w:t>Phòng Đào tạo</w:t>
      </w:r>
      <w:r w:rsidR="00E13F6C">
        <w:rPr>
          <w:i/>
          <w:sz w:val="24"/>
          <w:szCs w:val="24"/>
          <w:lang w:val="vi-VN"/>
        </w:rPr>
        <w:t>, Trường Đại học Quảng Bình</w:t>
      </w:r>
    </w:p>
    <w:p w:rsidR="004C5DB7" w:rsidRPr="000121E3" w:rsidRDefault="004C5DB7" w:rsidP="00852800">
      <w:pPr>
        <w:spacing w:line="288" w:lineRule="auto"/>
        <w:ind w:left="567"/>
        <w:jc w:val="both"/>
        <w:rPr>
          <w:i/>
          <w:sz w:val="24"/>
          <w:szCs w:val="24"/>
          <w:lang w:val="vi-VN"/>
        </w:rPr>
      </w:pPr>
      <w:r w:rsidRPr="000121E3">
        <w:rPr>
          <w:i/>
          <w:sz w:val="24"/>
          <w:szCs w:val="24"/>
          <w:lang w:val="vi-VN"/>
        </w:rPr>
        <w:t xml:space="preserve">312 lý Thường </w:t>
      </w:r>
      <w:r w:rsidR="00E13F6C">
        <w:rPr>
          <w:i/>
          <w:sz w:val="24"/>
          <w:szCs w:val="24"/>
          <w:lang w:val="vi-VN"/>
        </w:rPr>
        <w:t>Kiệt, Đồng Hới, Quảng Bình</w:t>
      </w:r>
    </w:p>
    <w:p w:rsidR="004C5DB7" w:rsidRPr="000121E3" w:rsidRDefault="004C5DB7" w:rsidP="004C5DB7">
      <w:pPr>
        <w:spacing w:line="288" w:lineRule="auto"/>
        <w:ind w:firstLine="567"/>
        <w:jc w:val="both"/>
        <w:rPr>
          <w:i/>
          <w:sz w:val="26"/>
          <w:szCs w:val="26"/>
          <w:lang w:val="vi-VN"/>
        </w:rPr>
      </w:pPr>
      <w:r w:rsidRPr="000121E3">
        <w:rPr>
          <w:i/>
          <w:sz w:val="24"/>
          <w:szCs w:val="24"/>
          <w:lang w:val="vi-VN"/>
        </w:rPr>
        <w:t>Email:</w:t>
      </w:r>
      <w:r w:rsidRPr="000121E3">
        <w:t xml:space="preserve"> </w:t>
      </w:r>
      <w:r w:rsidR="004468D2" w:rsidRPr="000121E3">
        <w:rPr>
          <w:i/>
          <w:sz w:val="24"/>
          <w:szCs w:val="24"/>
          <w:lang w:val="vi-VN"/>
        </w:rPr>
        <w:t>lythuhoaiqb@gmail.com</w:t>
      </w:r>
    </w:p>
    <w:sectPr w:rsidR="004C5DB7" w:rsidRPr="000121E3" w:rsidSect="00E05CDD">
      <w:type w:val="continuous"/>
      <w:pgSz w:w="10773" w:h="15309" w:code="9"/>
      <w:pgMar w:top="1134" w:right="1134" w:bottom="1134" w:left="1134" w:header="720" w:footer="505" w:gutter="0"/>
      <w:cols w:space="720"/>
      <w:docGrid w:linePitch="682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D6E" w:rsidRDefault="00F46D6E">
      <w:r>
        <w:separator/>
      </w:r>
    </w:p>
  </w:endnote>
  <w:endnote w:type="continuationSeparator" w:id="0">
    <w:p w:rsidR="00F46D6E" w:rsidRDefault="00F46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884" w:rsidRDefault="00A43E75" w:rsidP="003F4A1C">
    <w:pPr>
      <w:pStyle w:val="Footer"/>
      <w:framePr w:wrap="around" w:vAnchor="text" w:hAnchor="margin" w:xAlign="right" w:y="1"/>
      <w:rPr>
        <w:rStyle w:val="PageNumber"/>
      </w:rPr>
    </w:pPr>
    <w:r>
      <w:rPr>
        <w:rStyle w:val="PageNumber"/>
      </w:rPr>
      <w:fldChar w:fldCharType="begin"/>
    </w:r>
    <w:r w:rsidR="00330884">
      <w:rPr>
        <w:rStyle w:val="PageNumber"/>
      </w:rPr>
      <w:instrText xml:space="preserve">PAGE  </w:instrText>
    </w:r>
    <w:r>
      <w:rPr>
        <w:rStyle w:val="PageNumber"/>
      </w:rPr>
      <w:fldChar w:fldCharType="end"/>
    </w:r>
  </w:p>
  <w:p w:rsidR="00330884" w:rsidRDefault="00330884" w:rsidP="00FE256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884" w:rsidRDefault="00A43E75" w:rsidP="003F4A1C">
    <w:pPr>
      <w:pStyle w:val="Footer"/>
      <w:framePr w:wrap="around" w:vAnchor="text" w:hAnchor="margin" w:xAlign="right" w:y="1"/>
      <w:rPr>
        <w:rStyle w:val="PageNumber"/>
      </w:rPr>
    </w:pPr>
    <w:r>
      <w:rPr>
        <w:rStyle w:val="PageNumber"/>
      </w:rPr>
      <w:fldChar w:fldCharType="begin"/>
    </w:r>
    <w:r w:rsidR="00330884">
      <w:rPr>
        <w:rStyle w:val="PageNumber"/>
      </w:rPr>
      <w:instrText xml:space="preserve">PAGE  </w:instrText>
    </w:r>
    <w:r>
      <w:rPr>
        <w:rStyle w:val="PageNumber"/>
      </w:rPr>
      <w:fldChar w:fldCharType="separate"/>
    </w:r>
    <w:r w:rsidR="00DB4707">
      <w:rPr>
        <w:rStyle w:val="PageNumber"/>
        <w:noProof/>
      </w:rPr>
      <w:t>5</w:t>
    </w:r>
    <w:r>
      <w:rPr>
        <w:rStyle w:val="PageNumber"/>
      </w:rPr>
      <w:fldChar w:fldCharType="end"/>
    </w:r>
  </w:p>
  <w:p w:rsidR="00330884" w:rsidRDefault="00330884" w:rsidP="0008226A">
    <w:pPr>
      <w:pStyle w:val="Footer"/>
      <w:ind w:right="3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D6E" w:rsidRDefault="00F46D6E">
      <w:r>
        <w:separator/>
      </w:r>
    </w:p>
  </w:footnote>
  <w:footnote w:type="continuationSeparator" w:id="0">
    <w:p w:rsidR="00F46D6E" w:rsidRDefault="00F46D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4CF9"/>
    <w:multiLevelType w:val="hybridMultilevel"/>
    <w:tmpl w:val="9D5E8E60"/>
    <w:lvl w:ilvl="0" w:tplc="13E6B32E">
      <w:start w:val="1"/>
      <w:numFmt w:val="decimal"/>
      <w:lvlText w:val="%1."/>
      <w:lvlJc w:val="left"/>
      <w:pPr>
        <w:tabs>
          <w:tab w:val="num" w:pos="5405"/>
        </w:tabs>
        <w:ind w:left="5405" w:hanging="360"/>
      </w:pPr>
      <w:rPr>
        <w:rFonts w:hint="default"/>
      </w:rPr>
    </w:lvl>
    <w:lvl w:ilvl="1" w:tplc="04090019" w:tentative="1">
      <w:start w:val="1"/>
      <w:numFmt w:val="lowerLetter"/>
      <w:lvlText w:val="%2."/>
      <w:lvlJc w:val="left"/>
      <w:pPr>
        <w:tabs>
          <w:tab w:val="num" w:pos="6125"/>
        </w:tabs>
        <w:ind w:left="6125" w:hanging="360"/>
      </w:pPr>
    </w:lvl>
    <w:lvl w:ilvl="2" w:tplc="0409001B" w:tentative="1">
      <w:start w:val="1"/>
      <w:numFmt w:val="lowerRoman"/>
      <w:lvlText w:val="%3."/>
      <w:lvlJc w:val="right"/>
      <w:pPr>
        <w:tabs>
          <w:tab w:val="num" w:pos="6845"/>
        </w:tabs>
        <w:ind w:left="6845" w:hanging="180"/>
      </w:pPr>
    </w:lvl>
    <w:lvl w:ilvl="3" w:tplc="0409000F" w:tentative="1">
      <w:start w:val="1"/>
      <w:numFmt w:val="decimal"/>
      <w:lvlText w:val="%4."/>
      <w:lvlJc w:val="left"/>
      <w:pPr>
        <w:tabs>
          <w:tab w:val="num" w:pos="7565"/>
        </w:tabs>
        <w:ind w:left="7565" w:hanging="360"/>
      </w:pPr>
    </w:lvl>
    <w:lvl w:ilvl="4" w:tplc="04090019" w:tentative="1">
      <w:start w:val="1"/>
      <w:numFmt w:val="lowerLetter"/>
      <w:lvlText w:val="%5."/>
      <w:lvlJc w:val="left"/>
      <w:pPr>
        <w:tabs>
          <w:tab w:val="num" w:pos="8285"/>
        </w:tabs>
        <w:ind w:left="8285" w:hanging="360"/>
      </w:pPr>
    </w:lvl>
    <w:lvl w:ilvl="5" w:tplc="0409001B" w:tentative="1">
      <w:start w:val="1"/>
      <w:numFmt w:val="lowerRoman"/>
      <w:lvlText w:val="%6."/>
      <w:lvlJc w:val="right"/>
      <w:pPr>
        <w:tabs>
          <w:tab w:val="num" w:pos="9005"/>
        </w:tabs>
        <w:ind w:left="9005" w:hanging="180"/>
      </w:pPr>
    </w:lvl>
    <w:lvl w:ilvl="6" w:tplc="0409000F" w:tentative="1">
      <w:start w:val="1"/>
      <w:numFmt w:val="decimal"/>
      <w:lvlText w:val="%7."/>
      <w:lvlJc w:val="left"/>
      <w:pPr>
        <w:tabs>
          <w:tab w:val="num" w:pos="9725"/>
        </w:tabs>
        <w:ind w:left="9725" w:hanging="360"/>
      </w:pPr>
    </w:lvl>
    <w:lvl w:ilvl="7" w:tplc="04090019" w:tentative="1">
      <w:start w:val="1"/>
      <w:numFmt w:val="lowerLetter"/>
      <w:lvlText w:val="%8."/>
      <w:lvlJc w:val="left"/>
      <w:pPr>
        <w:tabs>
          <w:tab w:val="num" w:pos="10445"/>
        </w:tabs>
        <w:ind w:left="10445" w:hanging="360"/>
      </w:pPr>
    </w:lvl>
    <w:lvl w:ilvl="8" w:tplc="0409001B" w:tentative="1">
      <w:start w:val="1"/>
      <w:numFmt w:val="lowerRoman"/>
      <w:lvlText w:val="%9."/>
      <w:lvlJc w:val="right"/>
      <w:pPr>
        <w:tabs>
          <w:tab w:val="num" w:pos="11165"/>
        </w:tabs>
        <w:ind w:left="11165" w:hanging="180"/>
      </w:pPr>
    </w:lvl>
  </w:abstractNum>
  <w:abstractNum w:abstractNumId="1" w15:restartNumberingAfterBreak="0">
    <w:nsid w:val="163D6544"/>
    <w:multiLevelType w:val="hybridMultilevel"/>
    <w:tmpl w:val="ADA64F90"/>
    <w:lvl w:ilvl="0" w:tplc="C1AA2ED6">
      <w:start w:val="1"/>
      <w:numFmt w:val="decimal"/>
      <w:lvlText w:val="%1"/>
      <w:lvlJc w:val="left"/>
      <w:pPr>
        <w:ind w:left="50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22925"/>
    <w:multiLevelType w:val="hybridMultilevel"/>
    <w:tmpl w:val="6C7A1C38"/>
    <w:lvl w:ilvl="0" w:tplc="46F221B4">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60749"/>
    <w:multiLevelType w:val="hybridMultilevel"/>
    <w:tmpl w:val="9280A26A"/>
    <w:lvl w:ilvl="0" w:tplc="04090009">
      <w:start w:val="1"/>
      <w:numFmt w:val="bullet"/>
      <w:lvlText w:val=""/>
      <w:lvlJc w:val="left"/>
      <w:pPr>
        <w:tabs>
          <w:tab w:val="num" w:pos="1145"/>
        </w:tabs>
        <w:ind w:left="1145" w:hanging="360"/>
      </w:pPr>
      <w:rPr>
        <w:rFonts w:ascii="Wingdings" w:hAnsi="Wingdings" w:hint="default"/>
      </w:rPr>
    </w:lvl>
    <w:lvl w:ilvl="1" w:tplc="04090003" w:tentative="1">
      <w:start w:val="1"/>
      <w:numFmt w:val="bullet"/>
      <w:lvlText w:val="o"/>
      <w:lvlJc w:val="left"/>
      <w:pPr>
        <w:tabs>
          <w:tab w:val="num" w:pos="1865"/>
        </w:tabs>
        <w:ind w:left="1865" w:hanging="360"/>
      </w:pPr>
      <w:rPr>
        <w:rFonts w:ascii="Courier New" w:hAnsi="Courier New" w:cs="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cs="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cs="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abstractNum w:abstractNumId="4" w15:restartNumberingAfterBreak="0">
    <w:nsid w:val="2EEF35C4"/>
    <w:multiLevelType w:val="multilevel"/>
    <w:tmpl w:val="92C2A414"/>
    <w:lvl w:ilvl="0">
      <w:start w:val="1"/>
      <w:numFmt w:val="decimal"/>
      <w:lvlText w:val="%1"/>
      <w:lvlJc w:val="left"/>
      <w:pPr>
        <w:tabs>
          <w:tab w:val="num" w:pos="1087"/>
        </w:tabs>
        <w:ind w:left="1087" w:hanging="97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D4B1927"/>
    <w:multiLevelType w:val="hybridMultilevel"/>
    <w:tmpl w:val="45AE99CE"/>
    <w:lvl w:ilvl="0" w:tplc="0A78F28E">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2E753F5"/>
    <w:multiLevelType w:val="hybridMultilevel"/>
    <w:tmpl w:val="42BC8150"/>
    <w:lvl w:ilvl="0" w:tplc="04090009">
      <w:start w:val="1"/>
      <w:numFmt w:val="bullet"/>
      <w:lvlText w:val=""/>
      <w:lvlJc w:val="left"/>
      <w:pPr>
        <w:tabs>
          <w:tab w:val="num" w:pos="1145"/>
        </w:tabs>
        <w:ind w:left="1145" w:hanging="360"/>
      </w:pPr>
      <w:rPr>
        <w:rFonts w:ascii="Wingdings" w:hAnsi="Wingdings" w:hint="default"/>
      </w:rPr>
    </w:lvl>
    <w:lvl w:ilvl="1" w:tplc="04090003" w:tentative="1">
      <w:start w:val="1"/>
      <w:numFmt w:val="bullet"/>
      <w:lvlText w:val="o"/>
      <w:lvlJc w:val="left"/>
      <w:pPr>
        <w:tabs>
          <w:tab w:val="num" w:pos="1865"/>
        </w:tabs>
        <w:ind w:left="1865" w:hanging="360"/>
      </w:pPr>
      <w:rPr>
        <w:rFonts w:ascii="Courier New" w:hAnsi="Courier New" w:cs="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cs="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cs="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abstractNum w:abstractNumId="7" w15:restartNumberingAfterBreak="0">
    <w:nsid w:val="552C3170"/>
    <w:multiLevelType w:val="hybridMultilevel"/>
    <w:tmpl w:val="92C2A414"/>
    <w:lvl w:ilvl="0" w:tplc="76343B08">
      <w:start w:val="1"/>
      <w:numFmt w:val="decimal"/>
      <w:lvlText w:val="%1"/>
      <w:lvlJc w:val="left"/>
      <w:pPr>
        <w:tabs>
          <w:tab w:val="num" w:pos="1087"/>
        </w:tabs>
        <w:ind w:left="1087" w:hanging="97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8C1311F"/>
    <w:multiLevelType w:val="hybridMultilevel"/>
    <w:tmpl w:val="C6B232D4"/>
    <w:lvl w:ilvl="0" w:tplc="DD6888C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7"/>
  </w:num>
  <w:num w:numId="4">
    <w:abstractNumId w:val="4"/>
  </w:num>
  <w:num w:numId="5">
    <w:abstractNumId w:val="0"/>
  </w:num>
  <w:num w:numId="6">
    <w:abstractNumId w:val="3"/>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6827"/>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B6553"/>
    <w:rsid w:val="00001236"/>
    <w:rsid w:val="00002723"/>
    <w:rsid w:val="00002B56"/>
    <w:rsid w:val="00003DDF"/>
    <w:rsid w:val="000049C6"/>
    <w:rsid w:val="0000545C"/>
    <w:rsid w:val="000063D7"/>
    <w:rsid w:val="00007A7C"/>
    <w:rsid w:val="00010640"/>
    <w:rsid w:val="00010D4F"/>
    <w:rsid w:val="00012152"/>
    <w:rsid w:val="000121E3"/>
    <w:rsid w:val="00012CE1"/>
    <w:rsid w:val="00013761"/>
    <w:rsid w:val="00014DC6"/>
    <w:rsid w:val="000228BF"/>
    <w:rsid w:val="000236D7"/>
    <w:rsid w:val="0002464D"/>
    <w:rsid w:val="000249C9"/>
    <w:rsid w:val="00025EE5"/>
    <w:rsid w:val="00025F60"/>
    <w:rsid w:val="000312AB"/>
    <w:rsid w:val="00033285"/>
    <w:rsid w:val="00033D74"/>
    <w:rsid w:val="00033ED4"/>
    <w:rsid w:val="00037F5F"/>
    <w:rsid w:val="0004304D"/>
    <w:rsid w:val="0004421C"/>
    <w:rsid w:val="000478DE"/>
    <w:rsid w:val="00051F49"/>
    <w:rsid w:val="00061AFD"/>
    <w:rsid w:val="00062367"/>
    <w:rsid w:val="00064721"/>
    <w:rsid w:val="000732BF"/>
    <w:rsid w:val="00074651"/>
    <w:rsid w:val="00075A6F"/>
    <w:rsid w:val="00080023"/>
    <w:rsid w:val="0008226A"/>
    <w:rsid w:val="00082ED9"/>
    <w:rsid w:val="0009210E"/>
    <w:rsid w:val="00092BE7"/>
    <w:rsid w:val="000A0FA2"/>
    <w:rsid w:val="000A1B22"/>
    <w:rsid w:val="000A3789"/>
    <w:rsid w:val="000A3E52"/>
    <w:rsid w:val="000B16B4"/>
    <w:rsid w:val="000B304E"/>
    <w:rsid w:val="000B42F6"/>
    <w:rsid w:val="000C14AD"/>
    <w:rsid w:val="000C17E1"/>
    <w:rsid w:val="000C5FF9"/>
    <w:rsid w:val="000C6223"/>
    <w:rsid w:val="000C657B"/>
    <w:rsid w:val="000D0378"/>
    <w:rsid w:val="000D23F2"/>
    <w:rsid w:val="000D3D70"/>
    <w:rsid w:val="000D65CE"/>
    <w:rsid w:val="000E0750"/>
    <w:rsid w:val="000E094F"/>
    <w:rsid w:val="000E0EA5"/>
    <w:rsid w:val="000E3FDD"/>
    <w:rsid w:val="000E470A"/>
    <w:rsid w:val="000E58CD"/>
    <w:rsid w:val="000E606D"/>
    <w:rsid w:val="000E7931"/>
    <w:rsid w:val="000E7ECD"/>
    <w:rsid w:val="000F0D67"/>
    <w:rsid w:val="000F765B"/>
    <w:rsid w:val="0010016C"/>
    <w:rsid w:val="00100DA2"/>
    <w:rsid w:val="001021DE"/>
    <w:rsid w:val="001067DD"/>
    <w:rsid w:val="001102B6"/>
    <w:rsid w:val="00112EF4"/>
    <w:rsid w:val="00113981"/>
    <w:rsid w:val="001149A3"/>
    <w:rsid w:val="001157D0"/>
    <w:rsid w:val="001223A0"/>
    <w:rsid w:val="00122B56"/>
    <w:rsid w:val="0012520B"/>
    <w:rsid w:val="00130109"/>
    <w:rsid w:val="00130420"/>
    <w:rsid w:val="0013219C"/>
    <w:rsid w:val="00132CD2"/>
    <w:rsid w:val="00134A47"/>
    <w:rsid w:val="00136B45"/>
    <w:rsid w:val="00141741"/>
    <w:rsid w:val="00146DA8"/>
    <w:rsid w:val="00152EDE"/>
    <w:rsid w:val="001541EA"/>
    <w:rsid w:val="00154688"/>
    <w:rsid w:val="00155569"/>
    <w:rsid w:val="001557C9"/>
    <w:rsid w:val="00160A4F"/>
    <w:rsid w:val="00164A61"/>
    <w:rsid w:val="001713AF"/>
    <w:rsid w:val="001721BC"/>
    <w:rsid w:val="001755C3"/>
    <w:rsid w:val="001771D7"/>
    <w:rsid w:val="001808A9"/>
    <w:rsid w:val="00180CA6"/>
    <w:rsid w:val="00181BD7"/>
    <w:rsid w:val="00181F21"/>
    <w:rsid w:val="001834F5"/>
    <w:rsid w:val="00183EC1"/>
    <w:rsid w:val="00184E94"/>
    <w:rsid w:val="00185269"/>
    <w:rsid w:val="00185EB9"/>
    <w:rsid w:val="00186A72"/>
    <w:rsid w:val="00192D07"/>
    <w:rsid w:val="00193D74"/>
    <w:rsid w:val="00194E1B"/>
    <w:rsid w:val="00196C76"/>
    <w:rsid w:val="001975F4"/>
    <w:rsid w:val="001A1E63"/>
    <w:rsid w:val="001B09AF"/>
    <w:rsid w:val="001B7C9C"/>
    <w:rsid w:val="001C1317"/>
    <w:rsid w:val="001C5DE9"/>
    <w:rsid w:val="001C6565"/>
    <w:rsid w:val="001D5C12"/>
    <w:rsid w:val="001D6CDD"/>
    <w:rsid w:val="001E0B28"/>
    <w:rsid w:val="001E0B6B"/>
    <w:rsid w:val="001E0EC1"/>
    <w:rsid w:val="001E5984"/>
    <w:rsid w:val="001E5A2B"/>
    <w:rsid w:val="001E679F"/>
    <w:rsid w:val="001E6E5A"/>
    <w:rsid w:val="001E75F0"/>
    <w:rsid w:val="001E773E"/>
    <w:rsid w:val="001E7A68"/>
    <w:rsid w:val="001F1BA0"/>
    <w:rsid w:val="001F3C60"/>
    <w:rsid w:val="001F483C"/>
    <w:rsid w:val="001F4E12"/>
    <w:rsid w:val="001F67AF"/>
    <w:rsid w:val="001F73B0"/>
    <w:rsid w:val="00204BD9"/>
    <w:rsid w:val="00210B4F"/>
    <w:rsid w:val="00213137"/>
    <w:rsid w:val="002131B0"/>
    <w:rsid w:val="00214F4F"/>
    <w:rsid w:val="0021510D"/>
    <w:rsid w:val="00215673"/>
    <w:rsid w:val="0021673A"/>
    <w:rsid w:val="00217F51"/>
    <w:rsid w:val="002225DE"/>
    <w:rsid w:val="002232C7"/>
    <w:rsid w:val="0022336B"/>
    <w:rsid w:val="00224B8A"/>
    <w:rsid w:val="002267EE"/>
    <w:rsid w:val="00226DB0"/>
    <w:rsid w:val="002272E5"/>
    <w:rsid w:val="00227F3C"/>
    <w:rsid w:val="00230171"/>
    <w:rsid w:val="00232004"/>
    <w:rsid w:val="00232450"/>
    <w:rsid w:val="002327B4"/>
    <w:rsid w:val="0023390A"/>
    <w:rsid w:val="002362F9"/>
    <w:rsid w:val="002422ED"/>
    <w:rsid w:val="00247320"/>
    <w:rsid w:val="002478D0"/>
    <w:rsid w:val="00247BCD"/>
    <w:rsid w:val="00251860"/>
    <w:rsid w:val="002518AB"/>
    <w:rsid w:val="0025266C"/>
    <w:rsid w:val="002531B7"/>
    <w:rsid w:val="0025553F"/>
    <w:rsid w:val="00256506"/>
    <w:rsid w:val="002610C6"/>
    <w:rsid w:val="00262092"/>
    <w:rsid w:val="002655C8"/>
    <w:rsid w:val="00265695"/>
    <w:rsid w:val="00265BEE"/>
    <w:rsid w:val="00267DEE"/>
    <w:rsid w:val="002708E8"/>
    <w:rsid w:val="00271BEC"/>
    <w:rsid w:val="0027313E"/>
    <w:rsid w:val="002750E8"/>
    <w:rsid w:val="002804DF"/>
    <w:rsid w:val="00281DD4"/>
    <w:rsid w:val="002853B7"/>
    <w:rsid w:val="00286F2C"/>
    <w:rsid w:val="002870FF"/>
    <w:rsid w:val="00290469"/>
    <w:rsid w:val="00290F87"/>
    <w:rsid w:val="0029168D"/>
    <w:rsid w:val="002919A5"/>
    <w:rsid w:val="00291ED5"/>
    <w:rsid w:val="002937D8"/>
    <w:rsid w:val="002958CB"/>
    <w:rsid w:val="00295AC9"/>
    <w:rsid w:val="00297019"/>
    <w:rsid w:val="002A0879"/>
    <w:rsid w:val="002A0ACD"/>
    <w:rsid w:val="002A0FA3"/>
    <w:rsid w:val="002A6B00"/>
    <w:rsid w:val="002B02F0"/>
    <w:rsid w:val="002B0AC4"/>
    <w:rsid w:val="002B688F"/>
    <w:rsid w:val="002C15BA"/>
    <w:rsid w:val="002C6347"/>
    <w:rsid w:val="002D045A"/>
    <w:rsid w:val="002D25DA"/>
    <w:rsid w:val="002D6985"/>
    <w:rsid w:val="002E2045"/>
    <w:rsid w:val="002E3CC1"/>
    <w:rsid w:val="002E6032"/>
    <w:rsid w:val="002E6E58"/>
    <w:rsid w:val="002E77E7"/>
    <w:rsid w:val="002F054B"/>
    <w:rsid w:val="002F0B1F"/>
    <w:rsid w:val="002F1F7C"/>
    <w:rsid w:val="002F5782"/>
    <w:rsid w:val="002F58E6"/>
    <w:rsid w:val="002F691C"/>
    <w:rsid w:val="0030206F"/>
    <w:rsid w:val="00303523"/>
    <w:rsid w:val="00305C19"/>
    <w:rsid w:val="00307077"/>
    <w:rsid w:val="0030713A"/>
    <w:rsid w:val="00307156"/>
    <w:rsid w:val="00310564"/>
    <w:rsid w:val="00310B8F"/>
    <w:rsid w:val="0031100C"/>
    <w:rsid w:val="00313AB2"/>
    <w:rsid w:val="003140A7"/>
    <w:rsid w:val="00314379"/>
    <w:rsid w:val="00314FF4"/>
    <w:rsid w:val="00315771"/>
    <w:rsid w:val="003162EF"/>
    <w:rsid w:val="003167B1"/>
    <w:rsid w:val="003228EA"/>
    <w:rsid w:val="00325A0E"/>
    <w:rsid w:val="00327136"/>
    <w:rsid w:val="003304A8"/>
    <w:rsid w:val="00330884"/>
    <w:rsid w:val="003324B8"/>
    <w:rsid w:val="0033587D"/>
    <w:rsid w:val="003359AB"/>
    <w:rsid w:val="00342245"/>
    <w:rsid w:val="0034224D"/>
    <w:rsid w:val="00344147"/>
    <w:rsid w:val="003453A5"/>
    <w:rsid w:val="00346B9D"/>
    <w:rsid w:val="00350467"/>
    <w:rsid w:val="00352E23"/>
    <w:rsid w:val="003532B3"/>
    <w:rsid w:val="00353E6D"/>
    <w:rsid w:val="003570BD"/>
    <w:rsid w:val="00361656"/>
    <w:rsid w:val="003617D3"/>
    <w:rsid w:val="00364E85"/>
    <w:rsid w:val="00365A0B"/>
    <w:rsid w:val="00372732"/>
    <w:rsid w:val="00372A91"/>
    <w:rsid w:val="0037344A"/>
    <w:rsid w:val="00376E02"/>
    <w:rsid w:val="00383733"/>
    <w:rsid w:val="003904BA"/>
    <w:rsid w:val="0039205A"/>
    <w:rsid w:val="0039577A"/>
    <w:rsid w:val="003A2EF1"/>
    <w:rsid w:val="003A3770"/>
    <w:rsid w:val="003A450B"/>
    <w:rsid w:val="003A7704"/>
    <w:rsid w:val="003B1D15"/>
    <w:rsid w:val="003B2802"/>
    <w:rsid w:val="003B3368"/>
    <w:rsid w:val="003B4717"/>
    <w:rsid w:val="003C0D92"/>
    <w:rsid w:val="003C4621"/>
    <w:rsid w:val="003D08D1"/>
    <w:rsid w:val="003D3905"/>
    <w:rsid w:val="003D432F"/>
    <w:rsid w:val="003D57DB"/>
    <w:rsid w:val="003D6219"/>
    <w:rsid w:val="003D669F"/>
    <w:rsid w:val="003D7373"/>
    <w:rsid w:val="003E2EC2"/>
    <w:rsid w:val="003E3053"/>
    <w:rsid w:val="003E376D"/>
    <w:rsid w:val="003E504F"/>
    <w:rsid w:val="003E5620"/>
    <w:rsid w:val="003E5E17"/>
    <w:rsid w:val="003E675B"/>
    <w:rsid w:val="003E7729"/>
    <w:rsid w:val="003F0B8F"/>
    <w:rsid w:val="003F143A"/>
    <w:rsid w:val="003F4A1C"/>
    <w:rsid w:val="003F5432"/>
    <w:rsid w:val="003F622D"/>
    <w:rsid w:val="0040046E"/>
    <w:rsid w:val="00401D87"/>
    <w:rsid w:val="00402800"/>
    <w:rsid w:val="00405480"/>
    <w:rsid w:val="004068EA"/>
    <w:rsid w:val="0041118A"/>
    <w:rsid w:val="0041226A"/>
    <w:rsid w:val="00414188"/>
    <w:rsid w:val="004149F3"/>
    <w:rsid w:val="004151C3"/>
    <w:rsid w:val="004174C1"/>
    <w:rsid w:val="00422822"/>
    <w:rsid w:val="004233AB"/>
    <w:rsid w:val="00423636"/>
    <w:rsid w:val="00434781"/>
    <w:rsid w:val="004404A3"/>
    <w:rsid w:val="004422CA"/>
    <w:rsid w:val="00442524"/>
    <w:rsid w:val="00445459"/>
    <w:rsid w:val="004458FB"/>
    <w:rsid w:val="004468D2"/>
    <w:rsid w:val="004555D7"/>
    <w:rsid w:val="00455DF6"/>
    <w:rsid w:val="00456586"/>
    <w:rsid w:val="00456C30"/>
    <w:rsid w:val="004636C7"/>
    <w:rsid w:val="004679A8"/>
    <w:rsid w:val="00467E6D"/>
    <w:rsid w:val="00474DAF"/>
    <w:rsid w:val="004754E7"/>
    <w:rsid w:val="00475F22"/>
    <w:rsid w:val="00476BE9"/>
    <w:rsid w:val="00482CFF"/>
    <w:rsid w:val="00484E5E"/>
    <w:rsid w:val="00484EA4"/>
    <w:rsid w:val="00485608"/>
    <w:rsid w:val="004904DF"/>
    <w:rsid w:val="0049071C"/>
    <w:rsid w:val="00496FB3"/>
    <w:rsid w:val="004A1766"/>
    <w:rsid w:val="004A1955"/>
    <w:rsid w:val="004A25D1"/>
    <w:rsid w:val="004A29F7"/>
    <w:rsid w:val="004A2ED3"/>
    <w:rsid w:val="004A3ADB"/>
    <w:rsid w:val="004A46E1"/>
    <w:rsid w:val="004A5FB8"/>
    <w:rsid w:val="004A6FB0"/>
    <w:rsid w:val="004B13A0"/>
    <w:rsid w:val="004B1689"/>
    <w:rsid w:val="004B22D2"/>
    <w:rsid w:val="004B2BEC"/>
    <w:rsid w:val="004B3E62"/>
    <w:rsid w:val="004B5412"/>
    <w:rsid w:val="004B5834"/>
    <w:rsid w:val="004B6553"/>
    <w:rsid w:val="004B719C"/>
    <w:rsid w:val="004B75B9"/>
    <w:rsid w:val="004C1A0A"/>
    <w:rsid w:val="004C2D4F"/>
    <w:rsid w:val="004C5DB7"/>
    <w:rsid w:val="004C76AD"/>
    <w:rsid w:val="004D0EB2"/>
    <w:rsid w:val="004D233B"/>
    <w:rsid w:val="004D3E5E"/>
    <w:rsid w:val="004D5B44"/>
    <w:rsid w:val="004E13C0"/>
    <w:rsid w:val="004E18DF"/>
    <w:rsid w:val="004F175A"/>
    <w:rsid w:val="004F2EB0"/>
    <w:rsid w:val="004F3090"/>
    <w:rsid w:val="004F3585"/>
    <w:rsid w:val="004F403E"/>
    <w:rsid w:val="004F482A"/>
    <w:rsid w:val="004F49D8"/>
    <w:rsid w:val="004F539B"/>
    <w:rsid w:val="004F6A15"/>
    <w:rsid w:val="00500684"/>
    <w:rsid w:val="005047B2"/>
    <w:rsid w:val="00504EF1"/>
    <w:rsid w:val="005068D4"/>
    <w:rsid w:val="00507916"/>
    <w:rsid w:val="00511BA7"/>
    <w:rsid w:val="0051372C"/>
    <w:rsid w:val="005169EB"/>
    <w:rsid w:val="00516F40"/>
    <w:rsid w:val="00524C8B"/>
    <w:rsid w:val="00525E97"/>
    <w:rsid w:val="00527856"/>
    <w:rsid w:val="005302E5"/>
    <w:rsid w:val="0053523D"/>
    <w:rsid w:val="00535942"/>
    <w:rsid w:val="00536A42"/>
    <w:rsid w:val="00536C69"/>
    <w:rsid w:val="00540EA8"/>
    <w:rsid w:val="005429FE"/>
    <w:rsid w:val="00545F62"/>
    <w:rsid w:val="00546719"/>
    <w:rsid w:val="00551A83"/>
    <w:rsid w:val="00555761"/>
    <w:rsid w:val="00556C3D"/>
    <w:rsid w:val="00557F09"/>
    <w:rsid w:val="00563546"/>
    <w:rsid w:val="0056406C"/>
    <w:rsid w:val="005654B1"/>
    <w:rsid w:val="005727C4"/>
    <w:rsid w:val="00572D4A"/>
    <w:rsid w:val="005757A1"/>
    <w:rsid w:val="00576006"/>
    <w:rsid w:val="00584D5E"/>
    <w:rsid w:val="005860D7"/>
    <w:rsid w:val="00591AFA"/>
    <w:rsid w:val="0059382E"/>
    <w:rsid w:val="00594E8C"/>
    <w:rsid w:val="00595D7B"/>
    <w:rsid w:val="00596CDF"/>
    <w:rsid w:val="00597C6B"/>
    <w:rsid w:val="005A035C"/>
    <w:rsid w:val="005A2B8C"/>
    <w:rsid w:val="005A32BA"/>
    <w:rsid w:val="005A43A8"/>
    <w:rsid w:val="005A7438"/>
    <w:rsid w:val="005B081E"/>
    <w:rsid w:val="005B11C9"/>
    <w:rsid w:val="005B459A"/>
    <w:rsid w:val="005B5072"/>
    <w:rsid w:val="005B5E62"/>
    <w:rsid w:val="005B5FBB"/>
    <w:rsid w:val="005C0402"/>
    <w:rsid w:val="005C10DB"/>
    <w:rsid w:val="005C2E03"/>
    <w:rsid w:val="005C4988"/>
    <w:rsid w:val="005D12D3"/>
    <w:rsid w:val="005D1A50"/>
    <w:rsid w:val="005D224A"/>
    <w:rsid w:val="005D347A"/>
    <w:rsid w:val="005D59F7"/>
    <w:rsid w:val="005E1605"/>
    <w:rsid w:val="005E2F88"/>
    <w:rsid w:val="005E7ECB"/>
    <w:rsid w:val="005F7174"/>
    <w:rsid w:val="005F7820"/>
    <w:rsid w:val="00601013"/>
    <w:rsid w:val="00601609"/>
    <w:rsid w:val="0060508E"/>
    <w:rsid w:val="00611E82"/>
    <w:rsid w:val="00612665"/>
    <w:rsid w:val="0062060F"/>
    <w:rsid w:val="00621479"/>
    <w:rsid w:val="00622B1B"/>
    <w:rsid w:val="00622FFB"/>
    <w:rsid w:val="006242DD"/>
    <w:rsid w:val="006249D5"/>
    <w:rsid w:val="00625319"/>
    <w:rsid w:val="006302B0"/>
    <w:rsid w:val="006313B9"/>
    <w:rsid w:val="00632117"/>
    <w:rsid w:val="006335C5"/>
    <w:rsid w:val="00633D8B"/>
    <w:rsid w:val="00635275"/>
    <w:rsid w:val="00640739"/>
    <w:rsid w:val="006427E5"/>
    <w:rsid w:val="0064336E"/>
    <w:rsid w:val="00644BB3"/>
    <w:rsid w:val="006451EA"/>
    <w:rsid w:val="006463CE"/>
    <w:rsid w:val="006516D8"/>
    <w:rsid w:val="00651BC4"/>
    <w:rsid w:val="00653587"/>
    <w:rsid w:val="00655B0D"/>
    <w:rsid w:val="0066207F"/>
    <w:rsid w:val="00663AA2"/>
    <w:rsid w:val="00663C41"/>
    <w:rsid w:val="006753D0"/>
    <w:rsid w:val="00676349"/>
    <w:rsid w:val="0068019D"/>
    <w:rsid w:val="00685200"/>
    <w:rsid w:val="00685B85"/>
    <w:rsid w:val="006912F5"/>
    <w:rsid w:val="006922C8"/>
    <w:rsid w:val="006A0804"/>
    <w:rsid w:val="006A2161"/>
    <w:rsid w:val="006A272E"/>
    <w:rsid w:val="006A2951"/>
    <w:rsid w:val="006B0A04"/>
    <w:rsid w:val="006B34B2"/>
    <w:rsid w:val="006B3D21"/>
    <w:rsid w:val="006B50ED"/>
    <w:rsid w:val="006B645B"/>
    <w:rsid w:val="006C5082"/>
    <w:rsid w:val="006C5593"/>
    <w:rsid w:val="006C69B5"/>
    <w:rsid w:val="006D2682"/>
    <w:rsid w:val="006D40C4"/>
    <w:rsid w:val="006D4EE1"/>
    <w:rsid w:val="006D588F"/>
    <w:rsid w:val="006D5A86"/>
    <w:rsid w:val="006D5FE6"/>
    <w:rsid w:val="006D6211"/>
    <w:rsid w:val="006E0429"/>
    <w:rsid w:val="006E0C75"/>
    <w:rsid w:val="006E4A76"/>
    <w:rsid w:val="006E4E60"/>
    <w:rsid w:val="006E7585"/>
    <w:rsid w:val="006F456A"/>
    <w:rsid w:val="006F4DCC"/>
    <w:rsid w:val="007007A8"/>
    <w:rsid w:val="00704968"/>
    <w:rsid w:val="0071060C"/>
    <w:rsid w:val="00711465"/>
    <w:rsid w:val="0071323E"/>
    <w:rsid w:val="00715383"/>
    <w:rsid w:val="0071766E"/>
    <w:rsid w:val="00721A70"/>
    <w:rsid w:val="007240AE"/>
    <w:rsid w:val="00725188"/>
    <w:rsid w:val="00726D7B"/>
    <w:rsid w:val="007309DB"/>
    <w:rsid w:val="00736737"/>
    <w:rsid w:val="007369B7"/>
    <w:rsid w:val="00736C59"/>
    <w:rsid w:val="00737930"/>
    <w:rsid w:val="007426D1"/>
    <w:rsid w:val="00742B76"/>
    <w:rsid w:val="00753543"/>
    <w:rsid w:val="00753848"/>
    <w:rsid w:val="007564B9"/>
    <w:rsid w:val="0075707D"/>
    <w:rsid w:val="007603E8"/>
    <w:rsid w:val="007651D9"/>
    <w:rsid w:val="00765A3D"/>
    <w:rsid w:val="00765CA4"/>
    <w:rsid w:val="00773C99"/>
    <w:rsid w:val="007806D1"/>
    <w:rsid w:val="0078164C"/>
    <w:rsid w:val="00782183"/>
    <w:rsid w:val="0078417E"/>
    <w:rsid w:val="00785E1C"/>
    <w:rsid w:val="007909EF"/>
    <w:rsid w:val="00791678"/>
    <w:rsid w:val="0079335B"/>
    <w:rsid w:val="00796A0F"/>
    <w:rsid w:val="007A1079"/>
    <w:rsid w:val="007A26D5"/>
    <w:rsid w:val="007A39C7"/>
    <w:rsid w:val="007A7C6A"/>
    <w:rsid w:val="007A7DC1"/>
    <w:rsid w:val="007B03EC"/>
    <w:rsid w:val="007B6428"/>
    <w:rsid w:val="007B7818"/>
    <w:rsid w:val="007C4A8D"/>
    <w:rsid w:val="007C59CE"/>
    <w:rsid w:val="007C724A"/>
    <w:rsid w:val="007D0E2C"/>
    <w:rsid w:val="007D4F44"/>
    <w:rsid w:val="007D53FB"/>
    <w:rsid w:val="007D5CA9"/>
    <w:rsid w:val="007D79AF"/>
    <w:rsid w:val="007D7FD1"/>
    <w:rsid w:val="007E78EE"/>
    <w:rsid w:val="007F49D0"/>
    <w:rsid w:val="008010DB"/>
    <w:rsid w:val="00803DC1"/>
    <w:rsid w:val="00805EEF"/>
    <w:rsid w:val="0080659C"/>
    <w:rsid w:val="00807B02"/>
    <w:rsid w:val="00811248"/>
    <w:rsid w:val="008142A0"/>
    <w:rsid w:val="008142B4"/>
    <w:rsid w:val="00816009"/>
    <w:rsid w:val="00816D6F"/>
    <w:rsid w:val="00820934"/>
    <w:rsid w:val="00824BBE"/>
    <w:rsid w:val="00831B18"/>
    <w:rsid w:val="00833032"/>
    <w:rsid w:val="0083384B"/>
    <w:rsid w:val="00836B18"/>
    <w:rsid w:val="00837E06"/>
    <w:rsid w:val="00841F7B"/>
    <w:rsid w:val="00842848"/>
    <w:rsid w:val="008437DD"/>
    <w:rsid w:val="00845F1C"/>
    <w:rsid w:val="0084638E"/>
    <w:rsid w:val="00850016"/>
    <w:rsid w:val="00852015"/>
    <w:rsid w:val="00852800"/>
    <w:rsid w:val="0085617C"/>
    <w:rsid w:val="00856813"/>
    <w:rsid w:val="0085689C"/>
    <w:rsid w:val="008602C3"/>
    <w:rsid w:val="00860615"/>
    <w:rsid w:val="00860799"/>
    <w:rsid w:val="00861B46"/>
    <w:rsid w:val="008648FC"/>
    <w:rsid w:val="008649C3"/>
    <w:rsid w:val="00864FA3"/>
    <w:rsid w:val="00865328"/>
    <w:rsid w:val="0087035B"/>
    <w:rsid w:val="008719B2"/>
    <w:rsid w:val="00874395"/>
    <w:rsid w:val="00876074"/>
    <w:rsid w:val="00876F6A"/>
    <w:rsid w:val="0087771E"/>
    <w:rsid w:val="00880D04"/>
    <w:rsid w:val="00880F74"/>
    <w:rsid w:val="00882774"/>
    <w:rsid w:val="008843EB"/>
    <w:rsid w:val="00885339"/>
    <w:rsid w:val="00885DEC"/>
    <w:rsid w:val="008872F3"/>
    <w:rsid w:val="00887C16"/>
    <w:rsid w:val="00890F32"/>
    <w:rsid w:val="00891462"/>
    <w:rsid w:val="0089464B"/>
    <w:rsid w:val="008A24BC"/>
    <w:rsid w:val="008A5B3D"/>
    <w:rsid w:val="008C0842"/>
    <w:rsid w:val="008C1AC7"/>
    <w:rsid w:val="008C3EFF"/>
    <w:rsid w:val="008C4237"/>
    <w:rsid w:val="008C5AF8"/>
    <w:rsid w:val="008D0391"/>
    <w:rsid w:val="008D11E3"/>
    <w:rsid w:val="008D1BB4"/>
    <w:rsid w:val="008D4E10"/>
    <w:rsid w:val="008D5303"/>
    <w:rsid w:val="008D79B8"/>
    <w:rsid w:val="008E360A"/>
    <w:rsid w:val="008F2DD0"/>
    <w:rsid w:val="008F3B49"/>
    <w:rsid w:val="008F4FB8"/>
    <w:rsid w:val="008F5B04"/>
    <w:rsid w:val="008F745D"/>
    <w:rsid w:val="00900618"/>
    <w:rsid w:val="00903FD6"/>
    <w:rsid w:val="0090420F"/>
    <w:rsid w:val="00913723"/>
    <w:rsid w:val="00917825"/>
    <w:rsid w:val="00920EFD"/>
    <w:rsid w:val="00921131"/>
    <w:rsid w:val="00922B41"/>
    <w:rsid w:val="0092441C"/>
    <w:rsid w:val="009318F1"/>
    <w:rsid w:val="00936435"/>
    <w:rsid w:val="0093784E"/>
    <w:rsid w:val="0094037E"/>
    <w:rsid w:val="00941E1B"/>
    <w:rsid w:val="009438F0"/>
    <w:rsid w:val="00945F8E"/>
    <w:rsid w:val="00953C85"/>
    <w:rsid w:val="00953DAC"/>
    <w:rsid w:val="009549FD"/>
    <w:rsid w:val="00954EC2"/>
    <w:rsid w:val="00955121"/>
    <w:rsid w:val="009557FE"/>
    <w:rsid w:val="00961AF3"/>
    <w:rsid w:val="00961D71"/>
    <w:rsid w:val="009621F7"/>
    <w:rsid w:val="009632F1"/>
    <w:rsid w:val="00963570"/>
    <w:rsid w:val="009645A2"/>
    <w:rsid w:val="00965360"/>
    <w:rsid w:val="00970C27"/>
    <w:rsid w:val="0097613B"/>
    <w:rsid w:val="00981A3F"/>
    <w:rsid w:val="00981F01"/>
    <w:rsid w:val="009855A4"/>
    <w:rsid w:val="00994523"/>
    <w:rsid w:val="00994DD4"/>
    <w:rsid w:val="009A1561"/>
    <w:rsid w:val="009A6967"/>
    <w:rsid w:val="009A7BF3"/>
    <w:rsid w:val="009B0192"/>
    <w:rsid w:val="009B3F6D"/>
    <w:rsid w:val="009B5EB2"/>
    <w:rsid w:val="009B615E"/>
    <w:rsid w:val="009B7C04"/>
    <w:rsid w:val="009C59CD"/>
    <w:rsid w:val="009C6404"/>
    <w:rsid w:val="009D4F56"/>
    <w:rsid w:val="009D6F0B"/>
    <w:rsid w:val="009E1A63"/>
    <w:rsid w:val="009E22F6"/>
    <w:rsid w:val="009F0E7B"/>
    <w:rsid w:val="009F3CF0"/>
    <w:rsid w:val="009F3D84"/>
    <w:rsid w:val="009F4F1B"/>
    <w:rsid w:val="009F5F71"/>
    <w:rsid w:val="009F754F"/>
    <w:rsid w:val="00A00B3A"/>
    <w:rsid w:val="00A028A4"/>
    <w:rsid w:val="00A03EEE"/>
    <w:rsid w:val="00A06141"/>
    <w:rsid w:val="00A061B5"/>
    <w:rsid w:val="00A07731"/>
    <w:rsid w:val="00A11E39"/>
    <w:rsid w:val="00A132B6"/>
    <w:rsid w:val="00A15738"/>
    <w:rsid w:val="00A16490"/>
    <w:rsid w:val="00A17338"/>
    <w:rsid w:val="00A17961"/>
    <w:rsid w:val="00A20DEA"/>
    <w:rsid w:val="00A23340"/>
    <w:rsid w:val="00A24A32"/>
    <w:rsid w:val="00A25DB6"/>
    <w:rsid w:val="00A2609F"/>
    <w:rsid w:val="00A26551"/>
    <w:rsid w:val="00A30824"/>
    <w:rsid w:val="00A320C8"/>
    <w:rsid w:val="00A32F87"/>
    <w:rsid w:val="00A363A5"/>
    <w:rsid w:val="00A36FB8"/>
    <w:rsid w:val="00A37975"/>
    <w:rsid w:val="00A410AF"/>
    <w:rsid w:val="00A41BA5"/>
    <w:rsid w:val="00A41C6B"/>
    <w:rsid w:val="00A42EB8"/>
    <w:rsid w:val="00A43E75"/>
    <w:rsid w:val="00A44D8A"/>
    <w:rsid w:val="00A54C35"/>
    <w:rsid w:val="00A55E07"/>
    <w:rsid w:val="00A6078F"/>
    <w:rsid w:val="00A62555"/>
    <w:rsid w:val="00A630B8"/>
    <w:rsid w:val="00A661AE"/>
    <w:rsid w:val="00A71607"/>
    <w:rsid w:val="00A716A5"/>
    <w:rsid w:val="00A7208F"/>
    <w:rsid w:val="00A726D1"/>
    <w:rsid w:val="00A73959"/>
    <w:rsid w:val="00A74EB1"/>
    <w:rsid w:val="00A803CE"/>
    <w:rsid w:val="00A82FC4"/>
    <w:rsid w:val="00A845C9"/>
    <w:rsid w:val="00A90B7A"/>
    <w:rsid w:val="00A92A72"/>
    <w:rsid w:val="00AA727F"/>
    <w:rsid w:val="00AB43C4"/>
    <w:rsid w:val="00AC2429"/>
    <w:rsid w:val="00AC4574"/>
    <w:rsid w:val="00AC52AF"/>
    <w:rsid w:val="00AC7D58"/>
    <w:rsid w:val="00AD19C4"/>
    <w:rsid w:val="00AD2C43"/>
    <w:rsid w:val="00AD688D"/>
    <w:rsid w:val="00AD7FA5"/>
    <w:rsid w:val="00AE08B6"/>
    <w:rsid w:val="00AE1493"/>
    <w:rsid w:val="00AE330B"/>
    <w:rsid w:val="00AE3633"/>
    <w:rsid w:val="00AE5CDD"/>
    <w:rsid w:val="00AE773D"/>
    <w:rsid w:val="00AF1414"/>
    <w:rsid w:val="00AF436F"/>
    <w:rsid w:val="00AF5C26"/>
    <w:rsid w:val="00AF6C94"/>
    <w:rsid w:val="00B00ABE"/>
    <w:rsid w:val="00B02931"/>
    <w:rsid w:val="00B07A2C"/>
    <w:rsid w:val="00B109F8"/>
    <w:rsid w:val="00B11D00"/>
    <w:rsid w:val="00B131DD"/>
    <w:rsid w:val="00B21429"/>
    <w:rsid w:val="00B23729"/>
    <w:rsid w:val="00B26E48"/>
    <w:rsid w:val="00B32E55"/>
    <w:rsid w:val="00B33BA6"/>
    <w:rsid w:val="00B353D4"/>
    <w:rsid w:val="00B41460"/>
    <w:rsid w:val="00B464E2"/>
    <w:rsid w:val="00B51B33"/>
    <w:rsid w:val="00B52E3D"/>
    <w:rsid w:val="00B53717"/>
    <w:rsid w:val="00B57F08"/>
    <w:rsid w:val="00B61D1F"/>
    <w:rsid w:val="00B63D80"/>
    <w:rsid w:val="00B63E84"/>
    <w:rsid w:val="00B65875"/>
    <w:rsid w:val="00B75D07"/>
    <w:rsid w:val="00B7774F"/>
    <w:rsid w:val="00B777F4"/>
    <w:rsid w:val="00B818CA"/>
    <w:rsid w:val="00B838F5"/>
    <w:rsid w:val="00B9105D"/>
    <w:rsid w:val="00B93483"/>
    <w:rsid w:val="00BA1F2F"/>
    <w:rsid w:val="00BB1CFC"/>
    <w:rsid w:val="00BB4F76"/>
    <w:rsid w:val="00BB6BD9"/>
    <w:rsid w:val="00BC2AE5"/>
    <w:rsid w:val="00BC3F7E"/>
    <w:rsid w:val="00BC4F20"/>
    <w:rsid w:val="00BC73AF"/>
    <w:rsid w:val="00BD0437"/>
    <w:rsid w:val="00BD227D"/>
    <w:rsid w:val="00BD35F5"/>
    <w:rsid w:val="00BD431C"/>
    <w:rsid w:val="00BD5470"/>
    <w:rsid w:val="00BD6964"/>
    <w:rsid w:val="00BE7745"/>
    <w:rsid w:val="00BF2CB4"/>
    <w:rsid w:val="00BF4E91"/>
    <w:rsid w:val="00BF7D9E"/>
    <w:rsid w:val="00BF7F18"/>
    <w:rsid w:val="00C011D8"/>
    <w:rsid w:val="00C05EF8"/>
    <w:rsid w:val="00C07531"/>
    <w:rsid w:val="00C07D99"/>
    <w:rsid w:val="00C10A61"/>
    <w:rsid w:val="00C11482"/>
    <w:rsid w:val="00C12321"/>
    <w:rsid w:val="00C1539F"/>
    <w:rsid w:val="00C17BF6"/>
    <w:rsid w:val="00C25FD0"/>
    <w:rsid w:val="00C30578"/>
    <w:rsid w:val="00C3481A"/>
    <w:rsid w:val="00C34C85"/>
    <w:rsid w:val="00C36130"/>
    <w:rsid w:val="00C41A8F"/>
    <w:rsid w:val="00C443C8"/>
    <w:rsid w:val="00C44492"/>
    <w:rsid w:val="00C44750"/>
    <w:rsid w:val="00C44F8E"/>
    <w:rsid w:val="00C55853"/>
    <w:rsid w:val="00C566D2"/>
    <w:rsid w:val="00C641DF"/>
    <w:rsid w:val="00C66AB9"/>
    <w:rsid w:val="00C675B0"/>
    <w:rsid w:val="00C72C84"/>
    <w:rsid w:val="00C75816"/>
    <w:rsid w:val="00C75A3D"/>
    <w:rsid w:val="00C75DFF"/>
    <w:rsid w:val="00C7666E"/>
    <w:rsid w:val="00C80344"/>
    <w:rsid w:val="00C80A16"/>
    <w:rsid w:val="00C82302"/>
    <w:rsid w:val="00C82806"/>
    <w:rsid w:val="00C902CE"/>
    <w:rsid w:val="00C90B07"/>
    <w:rsid w:val="00C911CD"/>
    <w:rsid w:val="00C91720"/>
    <w:rsid w:val="00C92873"/>
    <w:rsid w:val="00C97991"/>
    <w:rsid w:val="00CA034B"/>
    <w:rsid w:val="00CA2FB1"/>
    <w:rsid w:val="00CA7EB5"/>
    <w:rsid w:val="00CB3602"/>
    <w:rsid w:val="00CB3B2F"/>
    <w:rsid w:val="00CB7349"/>
    <w:rsid w:val="00CB7C6F"/>
    <w:rsid w:val="00CC0D25"/>
    <w:rsid w:val="00CC18C7"/>
    <w:rsid w:val="00CC357D"/>
    <w:rsid w:val="00CC61AC"/>
    <w:rsid w:val="00CD1402"/>
    <w:rsid w:val="00CD29AE"/>
    <w:rsid w:val="00CD395D"/>
    <w:rsid w:val="00CD7932"/>
    <w:rsid w:val="00CD7A2C"/>
    <w:rsid w:val="00CD7FF4"/>
    <w:rsid w:val="00CE0AC9"/>
    <w:rsid w:val="00CE11A8"/>
    <w:rsid w:val="00CE586E"/>
    <w:rsid w:val="00CE5BC4"/>
    <w:rsid w:val="00CF153B"/>
    <w:rsid w:val="00CF4813"/>
    <w:rsid w:val="00CF6B4E"/>
    <w:rsid w:val="00CF7D09"/>
    <w:rsid w:val="00D008F6"/>
    <w:rsid w:val="00D02F2F"/>
    <w:rsid w:val="00D04FF5"/>
    <w:rsid w:val="00D05612"/>
    <w:rsid w:val="00D05930"/>
    <w:rsid w:val="00D1146A"/>
    <w:rsid w:val="00D153C7"/>
    <w:rsid w:val="00D15C0D"/>
    <w:rsid w:val="00D15DCA"/>
    <w:rsid w:val="00D17B9D"/>
    <w:rsid w:val="00D2014D"/>
    <w:rsid w:val="00D25487"/>
    <w:rsid w:val="00D2731D"/>
    <w:rsid w:val="00D30D15"/>
    <w:rsid w:val="00D34039"/>
    <w:rsid w:val="00D4081F"/>
    <w:rsid w:val="00D45B68"/>
    <w:rsid w:val="00D52457"/>
    <w:rsid w:val="00D54D90"/>
    <w:rsid w:val="00D568AF"/>
    <w:rsid w:val="00D56B73"/>
    <w:rsid w:val="00D61F99"/>
    <w:rsid w:val="00D6252F"/>
    <w:rsid w:val="00D63DCA"/>
    <w:rsid w:val="00D63E1E"/>
    <w:rsid w:val="00D658B8"/>
    <w:rsid w:val="00D6658F"/>
    <w:rsid w:val="00D70398"/>
    <w:rsid w:val="00D70794"/>
    <w:rsid w:val="00D71827"/>
    <w:rsid w:val="00D738D2"/>
    <w:rsid w:val="00D76034"/>
    <w:rsid w:val="00D76182"/>
    <w:rsid w:val="00D77601"/>
    <w:rsid w:val="00D81929"/>
    <w:rsid w:val="00D82A4C"/>
    <w:rsid w:val="00D82EB2"/>
    <w:rsid w:val="00D85C27"/>
    <w:rsid w:val="00D85DC3"/>
    <w:rsid w:val="00D87BDE"/>
    <w:rsid w:val="00D90961"/>
    <w:rsid w:val="00D947E3"/>
    <w:rsid w:val="00D954D1"/>
    <w:rsid w:val="00D95DAB"/>
    <w:rsid w:val="00DA1B18"/>
    <w:rsid w:val="00DA262E"/>
    <w:rsid w:val="00DA4FA3"/>
    <w:rsid w:val="00DB1FD8"/>
    <w:rsid w:val="00DB4707"/>
    <w:rsid w:val="00DB5478"/>
    <w:rsid w:val="00DC0030"/>
    <w:rsid w:val="00DC31ED"/>
    <w:rsid w:val="00DC4A5B"/>
    <w:rsid w:val="00DD02F0"/>
    <w:rsid w:val="00DD2043"/>
    <w:rsid w:val="00DD2356"/>
    <w:rsid w:val="00DD4113"/>
    <w:rsid w:val="00DD432E"/>
    <w:rsid w:val="00DD4970"/>
    <w:rsid w:val="00DD4DD8"/>
    <w:rsid w:val="00DD5268"/>
    <w:rsid w:val="00DD65CC"/>
    <w:rsid w:val="00DE1003"/>
    <w:rsid w:val="00DE3999"/>
    <w:rsid w:val="00DE4336"/>
    <w:rsid w:val="00DF2AAE"/>
    <w:rsid w:val="00DF69A9"/>
    <w:rsid w:val="00E04B15"/>
    <w:rsid w:val="00E05CDD"/>
    <w:rsid w:val="00E074AD"/>
    <w:rsid w:val="00E075A8"/>
    <w:rsid w:val="00E07E34"/>
    <w:rsid w:val="00E13F6C"/>
    <w:rsid w:val="00E274C7"/>
    <w:rsid w:val="00E27B5C"/>
    <w:rsid w:val="00E306FD"/>
    <w:rsid w:val="00E33597"/>
    <w:rsid w:val="00E3377D"/>
    <w:rsid w:val="00E3458A"/>
    <w:rsid w:val="00E41F4C"/>
    <w:rsid w:val="00E5022B"/>
    <w:rsid w:val="00E52ED4"/>
    <w:rsid w:val="00E53C4E"/>
    <w:rsid w:val="00E54204"/>
    <w:rsid w:val="00E61A73"/>
    <w:rsid w:val="00E61B06"/>
    <w:rsid w:val="00E624BD"/>
    <w:rsid w:val="00E62626"/>
    <w:rsid w:val="00E63F81"/>
    <w:rsid w:val="00E66060"/>
    <w:rsid w:val="00E67CD3"/>
    <w:rsid w:val="00E67EA4"/>
    <w:rsid w:val="00E7241E"/>
    <w:rsid w:val="00E749E5"/>
    <w:rsid w:val="00E75F75"/>
    <w:rsid w:val="00E76960"/>
    <w:rsid w:val="00E76D16"/>
    <w:rsid w:val="00E85675"/>
    <w:rsid w:val="00E87E00"/>
    <w:rsid w:val="00E908E7"/>
    <w:rsid w:val="00E917FE"/>
    <w:rsid w:val="00E91A6B"/>
    <w:rsid w:val="00E93B6F"/>
    <w:rsid w:val="00E94CCE"/>
    <w:rsid w:val="00E96D87"/>
    <w:rsid w:val="00E97E35"/>
    <w:rsid w:val="00EA0480"/>
    <w:rsid w:val="00EA2605"/>
    <w:rsid w:val="00EB390E"/>
    <w:rsid w:val="00EB4C74"/>
    <w:rsid w:val="00EC07C9"/>
    <w:rsid w:val="00EC2BCE"/>
    <w:rsid w:val="00EC4446"/>
    <w:rsid w:val="00ED256E"/>
    <w:rsid w:val="00ED2B13"/>
    <w:rsid w:val="00ED34CC"/>
    <w:rsid w:val="00ED4FAC"/>
    <w:rsid w:val="00ED75CF"/>
    <w:rsid w:val="00ED76E9"/>
    <w:rsid w:val="00EE1371"/>
    <w:rsid w:val="00EE6371"/>
    <w:rsid w:val="00EE75DE"/>
    <w:rsid w:val="00EE7802"/>
    <w:rsid w:val="00EF2831"/>
    <w:rsid w:val="00EF28E2"/>
    <w:rsid w:val="00EF3132"/>
    <w:rsid w:val="00EF39E1"/>
    <w:rsid w:val="00EF3A92"/>
    <w:rsid w:val="00F01BD5"/>
    <w:rsid w:val="00F0204D"/>
    <w:rsid w:val="00F021B1"/>
    <w:rsid w:val="00F05462"/>
    <w:rsid w:val="00F11A6F"/>
    <w:rsid w:val="00F141F3"/>
    <w:rsid w:val="00F15285"/>
    <w:rsid w:val="00F15563"/>
    <w:rsid w:val="00F15BCF"/>
    <w:rsid w:val="00F1600F"/>
    <w:rsid w:val="00F219B7"/>
    <w:rsid w:val="00F21A26"/>
    <w:rsid w:val="00F24A3B"/>
    <w:rsid w:val="00F255B3"/>
    <w:rsid w:val="00F273E4"/>
    <w:rsid w:val="00F2785E"/>
    <w:rsid w:val="00F34045"/>
    <w:rsid w:val="00F348F4"/>
    <w:rsid w:val="00F3579F"/>
    <w:rsid w:val="00F37B17"/>
    <w:rsid w:val="00F37F6D"/>
    <w:rsid w:val="00F428B3"/>
    <w:rsid w:val="00F46D6E"/>
    <w:rsid w:val="00F510E8"/>
    <w:rsid w:val="00F537ED"/>
    <w:rsid w:val="00F56B28"/>
    <w:rsid w:val="00F56FE8"/>
    <w:rsid w:val="00F575C3"/>
    <w:rsid w:val="00F6001D"/>
    <w:rsid w:val="00F62C9A"/>
    <w:rsid w:val="00F62E90"/>
    <w:rsid w:val="00F65635"/>
    <w:rsid w:val="00F7105D"/>
    <w:rsid w:val="00F7110F"/>
    <w:rsid w:val="00F72B12"/>
    <w:rsid w:val="00F73081"/>
    <w:rsid w:val="00F74792"/>
    <w:rsid w:val="00F802FB"/>
    <w:rsid w:val="00F84910"/>
    <w:rsid w:val="00F8545A"/>
    <w:rsid w:val="00F86638"/>
    <w:rsid w:val="00F92011"/>
    <w:rsid w:val="00F92A61"/>
    <w:rsid w:val="00F93956"/>
    <w:rsid w:val="00F97BE2"/>
    <w:rsid w:val="00FA62B4"/>
    <w:rsid w:val="00FA6B49"/>
    <w:rsid w:val="00FA70F6"/>
    <w:rsid w:val="00FA735F"/>
    <w:rsid w:val="00FB02AB"/>
    <w:rsid w:val="00FB1369"/>
    <w:rsid w:val="00FB20BC"/>
    <w:rsid w:val="00FB24EF"/>
    <w:rsid w:val="00FB4399"/>
    <w:rsid w:val="00FB686A"/>
    <w:rsid w:val="00FB6FD7"/>
    <w:rsid w:val="00FC4A29"/>
    <w:rsid w:val="00FC4E9E"/>
    <w:rsid w:val="00FC5566"/>
    <w:rsid w:val="00FD214F"/>
    <w:rsid w:val="00FD2F9D"/>
    <w:rsid w:val="00FD3316"/>
    <w:rsid w:val="00FE0080"/>
    <w:rsid w:val="00FE2566"/>
    <w:rsid w:val="00FE2EF1"/>
    <w:rsid w:val="00FE3D9E"/>
    <w:rsid w:val="00FE4A36"/>
    <w:rsid w:val="00FE4B36"/>
    <w:rsid w:val="00FE5181"/>
    <w:rsid w:val="00FE5D0E"/>
    <w:rsid w:val="00FF0FE7"/>
    <w:rsid w:val="00FF1AFF"/>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67A44B4B"/>
  <w15:docId w15:val="{86E5F388-1DCC-4693-A65F-763CB996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DAC"/>
    <w:rPr>
      <w:sz w:val="28"/>
      <w:szCs w:val="28"/>
    </w:rPr>
  </w:style>
  <w:style w:type="paragraph" w:styleId="Heading2">
    <w:name w:val="heading 2"/>
    <w:basedOn w:val="Normal"/>
    <w:next w:val="Normal"/>
    <w:link w:val="Heading2Char"/>
    <w:qFormat/>
    <w:rsid w:val="00315771"/>
    <w:pPr>
      <w:keepNext/>
      <w:spacing w:before="240" w:after="60"/>
      <w:outlineLvl w:val="1"/>
    </w:pPr>
    <w:rPr>
      <w:rFonts w:ascii="Cambria" w:hAnsi="Cambria"/>
      <w:b/>
      <w:bCs/>
      <w:i/>
      <w:iCs/>
    </w:rPr>
  </w:style>
  <w:style w:type="paragraph" w:styleId="Heading3">
    <w:name w:val="heading 3"/>
    <w:aliases w:val="hinh"/>
    <w:basedOn w:val="Normal"/>
    <w:next w:val="Normal"/>
    <w:link w:val="Heading3Char"/>
    <w:uiPriority w:val="9"/>
    <w:qFormat/>
    <w:rsid w:val="00A23340"/>
    <w:pPr>
      <w:keepNext/>
      <w:spacing w:before="240" w:after="60" w:line="312" w:lineRule="auto"/>
      <w:ind w:firstLine="567"/>
      <w:jc w:val="center"/>
      <w:outlineLvl w:val="2"/>
    </w:pPr>
    <w:rPr>
      <w:b/>
      <w:bCs/>
      <w:sz w:val="24"/>
      <w:szCs w:val="26"/>
    </w:rPr>
  </w:style>
  <w:style w:type="paragraph" w:styleId="Heading4">
    <w:name w:val="heading 4"/>
    <w:basedOn w:val="Normal"/>
    <w:next w:val="Normal"/>
    <w:link w:val="Heading4Char"/>
    <w:qFormat/>
    <w:rsid w:val="00315771"/>
    <w:pPr>
      <w:keepNext/>
      <w:spacing w:before="240" w:after="60"/>
      <w:outlineLvl w:val="3"/>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3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hinh Char"/>
    <w:link w:val="Heading3"/>
    <w:uiPriority w:val="9"/>
    <w:rsid w:val="00A23340"/>
    <w:rPr>
      <w:b/>
      <w:bCs/>
      <w:sz w:val="24"/>
      <w:szCs w:val="26"/>
    </w:rPr>
  </w:style>
  <w:style w:type="character" w:customStyle="1" w:styleId="Heading2Char">
    <w:name w:val="Heading 2 Char"/>
    <w:link w:val="Heading2"/>
    <w:semiHidden/>
    <w:rsid w:val="00315771"/>
    <w:rPr>
      <w:rFonts w:ascii="Cambria" w:eastAsia="Times New Roman" w:hAnsi="Cambria" w:cs="Times New Roman"/>
      <w:b/>
      <w:bCs/>
      <w:i/>
      <w:iCs/>
      <w:sz w:val="28"/>
      <w:szCs w:val="28"/>
    </w:rPr>
  </w:style>
  <w:style w:type="character" w:customStyle="1" w:styleId="Heading4Char">
    <w:name w:val="Heading 4 Char"/>
    <w:link w:val="Heading4"/>
    <w:semiHidden/>
    <w:rsid w:val="00315771"/>
    <w:rPr>
      <w:rFonts w:ascii="Calibri" w:eastAsia="Times New Roman" w:hAnsi="Calibri" w:cs="Times New Roman"/>
      <w:b/>
      <w:bCs/>
      <w:sz w:val="28"/>
      <w:szCs w:val="28"/>
    </w:rPr>
  </w:style>
  <w:style w:type="character" w:customStyle="1" w:styleId="apple-converted-space">
    <w:name w:val="apple-converted-space"/>
    <w:basedOn w:val="DefaultParagraphFont"/>
    <w:rsid w:val="00EF39E1"/>
  </w:style>
  <w:style w:type="paragraph" w:styleId="Footer">
    <w:name w:val="footer"/>
    <w:basedOn w:val="Normal"/>
    <w:rsid w:val="00FE2566"/>
    <w:pPr>
      <w:tabs>
        <w:tab w:val="center" w:pos="4320"/>
        <w:tab w:val="right" w:pos="8640"/>
      </w:tabs>
    </w:pPr>
  </w:style>
  <w:style w:type="character" w:styleId="PageNumber">
    <w:name w:val="page number"/>
    <w:basedOn w:val="DefaultParagraphFont"/>
    <w:rsid w:val="00FE2566"/>
  </w:style>
  <w:style w:type="character" w:styleId="CommentReference">
    <w:name w:val="annotation reference"/>
    <w:uiPriority w:val="99"/>
    <w:semiHidden/>
    <w:rsid w:val="00635275"/>
    <w:rPr>
      <w:sz w:val="16"/>
      <w:szCs w:val="16"/>
    </w:rPr>
  </w:style>
  <w:style w:type="paragraph" w:styleId="CommentText">
    <w:name w:val="annotation text"/>
    <w:basedOn w:val="Normal"/>
    <w:link w:val="CommentTextChar"/>
    <w:uiPriority w:val="99"/>
    <w:semiHidden/>
    <w:rsid w:val="00635275"/>
    <w:rPr>
      <w:sz w:val="20"/>
      <w:szCs w:val="20"/>
    </w:rPr>
  </w:style>
  <w:style w:type="paragraph" w:styleId="CommentSubject">
    <w:name w:val="annotation subject"/>
    <w:basedOn w:val="CommentText"/>
    <w:next w:val="CommentText"/>
    <w:semiHidden/>
    <w:rsid w:val="00635275"/>
    <w:rPr>
      <w:b/>
      <w:bCs/>
    </w:rPr>
  </w:style>
  <w:style w:type="paragraph" w:styleId="BalloonText">
    <w:name w:val="Balloon Text"/>
    <w:basedOn w:val="Normal"/>
    <w:semiHidden/>
    <w:rsid w:val="00635275"/>
    <w:rPr>
      <w:rFonts w:ascii="Tahoma" w:hAnsi="Tahoma" w:cs="Tahoma"/>
      <w:sz w:val="16"/>
      <w:szCs w:val="16"/>
    </w:rPr>
  </w:style>
  <w:style w:type="paragraph" w:styleId="Header">
    <w:name w:val="header"/>
    <w:basedOn w:val="Normal"/>
    <w:link w:val="HeaderChar"/>
    <w:rsid w:val="0008226A"/>
    <w:pPr>
      <w:tabs>
        <w:tab w:val="center" w:pos="4680"/>
        <w:tab w:val="right" w:pos="9360"/>
      </w:tabs>
    </w:pPr>
  </w:style>
  <w:style w:type="character" w:customStyle="1" w:styleId="HeaderChar">
    <w:name w:val="Header Char"/>
    <w:link w:val="Header"/>
    <w:rsid w:val="0008226A"/>
    <w:rPr>
      <w:sz w:val="28"/>
      <w:szCs w:val="28"/>
    </w:rPr>
  </w:style>
  <w:style w:type="paragraph" w:styleId="NormalWeb">
    <w:name w:val="Normal (Web)"/>
    <w:basedOn w:val="Normal"/>
    <w:uiPriority w:val="99"/>
    <w:unhideWhenUsed/>
    <w:rsid w:val="00F7110F"/>
    <w:pPr>
      <w:spacing w:before="100" w:beforeAutospacing="1" w:after="100" w:afterAutospacing="1"/>
    </w:pPr>
    <w:rPr>
      <w:sz w:val="24"/>
      <w:szCs w:val="24"/>
      <w:lang w:val="vi-VN" w:eastAsia="vi-VN"/>
    </w:rPr>
  </w:style>
  <w:style w:type="character" w:styleId="Hyperlink">
    <w:name w:val="Hyperlink"/>
    <w:uiPriority w:val="99"/>
    <w:unhideWhenUsed/>
    <w:rsid w:val="00644BB3"/>
    <w:rPr>
      <w:color w:val="0000FF"/>
      <w:u w:val="single"/>
    </w:rPr>
  </w:style>
  <w:style w:type="character" w:styleId="Strong">
    <w:name w:val="Strong"/>
    <w:uiPriority w:val="22"/>
    <w:qFormat/>
    <w:rsid w:val="00644BB3"/>
    <w:rPr>
      <w:b/>
      <w:bCs/>
    </w:rPr>
  </w:style>
  <w:style w:type="paragraph" w:styleId="HTMLPreformatted">
    <w:name w:val="HTML Preformatted"/>
    <w:basedOn w:val="Normal"/>
    <w:link w:val="HTMLPreformattedChar"/>
    <w:uiPriority w:val="99"/>
    <w:unhideWhenUsed/>
    <w:rsid w:val="00644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644BB3"/>
    <w:rPr>
      <w:rFonts w:ascii="Courier New" w:hAnsi="Courier New"/>
    </w:rPr>
  </w:style>
  <w:style w:type="paragraph" w:styleId="ListParagraph">
    <w:name w:val="List Paragraph"/>
    <w:basedOn w:val="Normal"/>
    <w:uiPriority w:val="34"/>
    <w:qFormat/>
    <w:rsid w:val="00CA2FB1"/>
    <w:pPr>
      <w:ind w:left="720"/>
      <w:contextualSpacing/>
    </w:pPr>
  </w:style>
  <w:style w:type="character" w:customStyle="1" w:styleId="CommentTextChar">
    <w:name w:val="Comment Text Char"/>
    <w:basedOn w:val="DefaultParagraphFont"/>
    <w:link w:val="CommentText"/>
    <w:uiPriority w:val="99"/>
    <w:semiHidden/>
    <w:locked/>
    <w:rsid w:val="00B52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345256">
      <w:bodyDiv w:val="1"/>
      <w:marLeft w:val="0"/>
      <w:marRight w:val="0"/>
      <w:marTop w:val="0"/>
      <w:marBottom w:val="0"/>
      <w:divBdr>
        <w:top w:val="none" w:sz="0" w:space="0" w:color="auto"/>
        <w:left w:val="none" w:sz="0" w:space="0" w:color="auto"/>
        <w:bottom w:val="none" w:sz="0" w:space="0" w:color="auto"/>
        <w:right w:val="none" w:sz="0" w:space="0" w:color="auto"/>
      </w:divBdr>
      <w:divsChild>
        <w:div w:id="892496779">
          <w:marLeft w:val="0"/>
          <w:marRight w:val="0"/>
          <w:marTop w:val="0"/>
          <w:marBottom w:val="0"/>
          <w:divBdr>
            <w:top w:val="none" w:sz="0" w:space="0" w:color="auto"/>
            <w:left w:val="none" w:sz="0" w:space="0" w:color="auto"/>
            <w:bottom w:val="none" w:sz="0" w:space="0" w:color="auto"/>
            <w:right w:val="none" w:sz="0" w:space="0" w:color="auto"/>
          </w:divBdr>
          <w:divsChild>
            <w:div w:id="104426318">
              <w:marLeft w:val="0"/>
              <w:marRight w:val="50"/>
              <w:marTop w:val="0"/>
              <w:marBottom w:val="0"/>
              <w:divBdr>
                <w:top w:val="none" w:sz="0" w:space="0" w:color="auto"/>
                <w:left w:val="none" w:sz="0" w:space="0" w:color="auto"/>
                <w:bottom w:val="none" w:sz="0" w:space="0" w:color="auto"/>
                <w:right w:val="none" w:sz="0" w:space="0" w:color="auto"/>
              </w:divBdr>
              <w:divsChild>
                <w:div w:id="454833783">
                  <w:marLeft w:val="0"/>
                  <w:marRight w:val="0"/>
                  <w:marTop w:val="0"/>
                  <w:marBottom w:val="100"/>
                  <w:divBdr>
                    <w:top w:val="single" w:sz="4" w:space="0" w:color="C0C0C0"/>
                    <w:left w:val="single" w:sz="4" w:space="0" w:color="D9D9D9"/>
                    <w:bottom w:val="single" w:sz="4" w:space="0" w:color="D9D9D9"/>
                    <w:right w:val="single" w:sz="4" w:space="0" w:color="D9D9D9"/>
                  </w:divBdr>
                  <w:divsChild>
                    <w:div w:id="1772702822">
                      <w:marLeft w:val="0"/>
                      <w:marRight w:val="0"/>
                      <w:marTop w:val="0"/>
                      <w:marBottom w:val="0"/>
                      <w:divBdr>
                        <w:top w:val="none" w:sz="0" w:space="0" w:color="auto"/>
                        <w:left w:val="none" w:sz="0" w:space="0" w:color="auto"/>
                        <w:bottom w:val="none" w:sz="0" w:space="0" w:color="auto"/>
                        <w:right w:val="none" w:sz="0" w:space="0" w:color="auto"/>
                      </w:divBdr>
                    </w:div>
                    <w:div w:id="19837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6124">
          <w:marLeft w:val="0"/>
          <w:marRight w:val="0"/>
          <w:marTop w:val="0"/>
          <w:marBottom w:val="0"/>
          <w:divBdr>
            <w:top w:val="none" w:sz="0" w:space="0" w:color="auto"/>
            <w:left w:val="none" w:sz="0" w:space="0" w:color="auto"/>
            <w:bottom w:val="none" w:sz="0" w:space="0" w:color="auto"/>
            <w:right w:val="none" w:sz="0" w:space="0" w:color="auto"/>
          </w:divBdr>
          <w:divsChild>
            <w:div w:id="1167136196">
              <w:marLeft w:val="50"/>
              <w:marRight w:val="0"/>
              <w:marTop w:val="0"/>
              <w:marBottom w:val="0"/>
              <w:divBdr>
                <w:top w:val="none" w:sz="0" w:space="0" w:color="auto"/>
                <w:left w:val="none" w:sz="0" w:space="0" w:color="auto"/>
                <w:bottom w:val="none" w:sz="0" w:space="0" w:color="auto"/>
                <w:right w:val="none" w:sz="0" w:space="0" w:color="auto"/>
              </w:divBdr>
              <w:divsChild>
                <w:div w:id="631715048">
                  <w:marLeft w:val="0"/>
                  <w:marRight w:val="0"/>
                  <w:marTop w:val="0"/>
                  <w:marBottom w:val="0"/>
                  <w:divBdr>
                    <w:top w:val="none" w:sz="0" w:space="0" w:color="auto"/>
                    <w:left w:val="none" w:sz="0" w:space="0" w:color="auto"/>
                    <w:bottom w:val="none" w:sz="0" w:space="0" w:color="auto"/>
                    <w:right w:val="none" w:sz="0" w:space="0" w:color="auto"/>
                  </w:divBdr>
                  <w:divsChild>
                    <w:div w:id="2145924127">
                      <w:marLeft w:val="0"/>
                      <w:marRight w:val="0"/>
                      <w:marTop w:val="0"/>
                      <w:marBottom w:val="100"/>
                      <w:divBdr>
                        <w:top w:val="single" w:sz="4" w:space="0" w:color="F5F5F5"/>
                        <w:left w:val="single" w:sz="4" w:space="0" w:color="F5F5F5"/>
                        <w:bottom w:val="single" w:sz="4" w:space="0" w:color="F5F5F5"/>
                        <w:right w:val="single" w:sz="4" w:space="0" w:color="F5F5F5"/>
                      </w:divBdr>
                      <w:divsChild>
                        <w:div w:id="450779616">
                          <w:marLeft w:val="0"/>
                          <w:marRight w:val="0"/>
                          <w:marTop w:val="0"/>
                          <w:marBottom w:val="0"/>
                          <w:divBdr>
                            <w:top w:val="none" w:sz="0" w:space="0" w:color="auto"/>
                            <w:left w:val="none" w:sz="0" w:space="0" w:color="auto"/>
                            <w:bottom w:val="none" w:sz="0" w:space="0" w:color="auto"/>
                            <w:right w:val="none" w:sz="0" w:space="0" w:color="auto"/>
                          </w:divBdr>
                          <w:divsChild>
                            <w:div w:id="18033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9A1DD-8C8D-4612-BF80-D0233E19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7</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Major constituents in flowers oils of curcuma pierreana from Quang Binh, Viet Nam</vt:lpstr>
    </vt:vector>
  </TitlesOfParts>
  <Company>AcerVIP</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constituents in flowers oils of curcuma pierreana from Quang Binh, Viet Nam</dc:title>
  <dc:creator>VIP</dc:creator>
  <cp:lastModifiedBy>Admin</cp:lastModifiedBy>
  <cp:revision>231</cp:revision>
  <cp:lastPrinted>2018-06-16T04:17:00Z</cp:lastPrinted>
  <dcterms:created xsi:type="dcterms:W3CDTF">2018-06-16T01:54:00Z</dcterms:created>
  <dcterms:modified xsi:type="dcterms:W3CDTF">2018-11-09T07:42:00Z</dcterms:modified>
</cp:coreProperties>
</file>