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7C" w:rsidRPr="0024187C" w:rsidRDefault="0024187C" w:rsidP="0024187C">
      <w:pPr>
        <w:spacing w:after="0" w:line="240" w:lineRule="auto"/>
        <w:jc w:val="center"/>
        <w:rPr>
          <w:rFonts w:ascii="Times New Roman" w:eastAsia="Calibri" w:hAnsi="Times New Roman" w:cs="Times New Roman"/>
          <w:b/>
          <w:sz w:val="26"/>
          <w:szCs w:val="26"/>
        </w:rPr>
      </w:pPr>
      <w:r w:rsidRPr="0024187C">
        <w:rPr>
          <w:rFonts w:ascii="Times New Roman" w:eastAsia="Calibri" w:hAnsi="Times New Roman" w:cs="Times New Roman"/>
          <w:b/>
          <w:sz w:val="26"/>
          <w:szCs w:val="26"/>
        </w:rPr>
        <w:t>ĐÁNH GIÁ TÁC ĐỘNG RỦI RO TÍN DỤNG ĐẾN KHẢ NĂNG SINH LỜI CỦA CÁC NGÂN HÀNG THƯƠNG MẠI VIỆT NAM</w:t>
      </w:r>
    </w:p>
    <w:p w:rsidR="0024187C" w:rsidRPr="0024187C" w:rsidRDefault="0024187C" w:rsidP="0024187C">
      <w:pPr>
        <w:spacing w:after="0" w:line="240" w:lineRule="auto"/>
        <w:jc w:val="center"/>
        <w:rPr>
          <w:rFonts w:ascii="Times New Roman" w:eastAsia="Calibri" w:hAnsi="Times New Roman" w:cs="Times New Roman"/>
          <w:b/>
          <w:sz w:val="24"/>
          <w:szCs w:val="26"/>
        </w:rPr>
      </w:pPr>
    </w:p>
    <w:p w:rsidR="0024187C" w:rsidRPr="0024187C" w:rsidRDefault="0024187C" w:rsidP="0024187C">
      <w:pPr>
        <w:spacing w:after="0" w:line="240" w:lineRule="auto"/>
        <w:jc w:val="center"/>
        <w:rPr>
          <w:rFonts w:ascii="Times New Roman" w:eastAsia="Calibri" w:hAnsi="Times New Roman" w:cs="Times New Roman"/>
          <w:b/>
          <w:sz w:val="24"/>
          <w:szCs w:val="24"/>
        </w:rPr>
      </w:pPr>
      <w:r w:rsidRPr="0024187C">
        <w:rPr>
          <w:rFonts w:ascii="Times New Roman" w:eastAsia="Calibri" w:hAnsi="Times New Roman" w:cs="Times New Roman"/>
          <w:b/>
          <w:sz w:val="24"/>
          <w:szCs w:val="24"/>
        </w:rPr>
        <w:t>Bùi Khắc Hoài Phương</w:t>
      </w:r>
    </w:p>
    <w:p w:rsidR="0024187C" w:rsidRPr="0024187C" w:rsidRDefault="0024187C" w:rsidP="0024187C">
      <w:pPr>
        <w:spacing w:after="0" w:line="240" w:lineRule="auto"/>
        <w:jc w:val="center"/>
        <w:rPr>
          <w:rFonts w:ascii="Times New Roman" w:eastAsia="Calibri" w:hAnsi="Times New Roman" w:cs="Times New Roman"/>
          <w:i/>
        </w:rPr>
      </w:pPr>
      <w:r w:rsidRPr="0024187C">
        <w:rPr>
          <w:rFonts w:ascii="Times New Roman" w:eastAsia="Calibri" w:hAnsi="Times New Roman" w:cs="Times New Roman"/>
          <w:i/>
        </w:rPr>
        <w:t>Trường Đại học Quảng Bình</w:t>
      </w:r>
    </w:p>
    <w:p w:rsidR="0024187C" w:rsidRPr="0024187C" w:rsidRDefault="0024187C" w:rsidP="0024187C">
      <w:pPr>
        <w:spacing w:after="0" w:line="240" w:lineRule="auto"/>
        <w:jc w:val="center"/>
        <w:rPr>
          <w:rFonts w:ascii="Times New Roman" w:eastAsia="Calibri" w:hAnsi="Times New Roman" w:cs="Times New Roman"/>
          <w:i/>
        </w:rPr>
      </w:pPr>
    </w:p>
    <w:p w:rsidR="0024187C" w:rsidRPr="0024187C" w:rsidRDefault="0024187C" w:rsidP="0024187C">
      <w:pPr>
        <w:spacing w:after="0" w:line="288" w:lineRule="auto"/>
        <w:ind w:firstLine="567"/>
        <w:jc w:val="both"/>
        <w:rPr>
          <w:rFonts w:ascii="Times New Roman" w:eastAsia="Calibri" w:hAnsi="Times New Roman" w:cs="Times New Roman"/>
        </w:rPr>
      </w:pPr>
      <w:r w:rsidRPr="0024187C">
        <w:rPr>
          <w:rFonts w:ascii="Times New Roman" w:eastAsia="Calibri" w:hAnsi="Times New Roman" w:cs="Times New Roman"/>
          <w:b/>
          <w:i/>
        </w:rPr>
        <w:t>Tóm tắt</w:t>
      </w:r>
      <w:r w:rsidRPr="0024187C">
        <w:rPr>
          <w:rFonts w:ascii="Times New Roman" w:eastAsia="Calibri" w:hAnsi="Times New Roman" w:cs="Times New Roman"/>
          <w:b/>
        </w:rPr>
        <w:t>.</w:t>
      </w:r>
      <w:r w:rsidRPr="0024187C">
        <w:rPr>
          <w:rFonts w:ascii="Times New Roman" w:eastAsia="Calibri" w:hAnsi="Times New Roman" w:cs="Times New Roman"/>
        </w:rPr>
        <w:t xml:space="preserve"> </w:t>
      </w:r>
      <w:r w:rsidRPr="0024187C">
        <w:rPr>
          <w:rFonts w:ascii="Times New Roman" w:eastAsia="Calibri" w:hAnsi="Times New Roman" w:cs="Times New Roman"/>
          <w:i/>
        </w:rPr>
        <w:t xml:space="preserve">Quản lý rủi ro tín dụng có vai trò quan trọng đối với </w:t>
      </w:r>
      <w:r w:rsidRPr="0024187C">
        <w:rPr>
          <w:rFonts w:ascii="Times New Roman" w:eastAsia="Calibri" w:hAnsi="Times New Roman" w:cs="Times New Roman"/>
        </w:rPr>
        <w:t>“</w:t>
      </w:r>
      <w:r w:rsidRPr="0024187C">
        <w:rPr>
          <w:rFonts w:ascii="Times New Roman" w:eastAsia="Calibri" w:hAnsi="Times New Roman" w:cs="Times New Roman"/>
          <w:i/>
        </w:rPr>
        <w:t>sức khỏe</w:t>
      </w:r>
      <w:r w:rsidRPr="0024187C">
        <w:rPr>
          <w:rFonts w:ascii="Times New Roman" w:eastAsia="Calibri" w:hAnsi="Times New Roman" w:cs="Times New Roman"/>
        </w:rPr>
        <w:t>”</w:t>
      </w:r>
      <w:r w:rsidRPr="0024187C">
        <w:rPr>
          <w:rFonts w:ascii="Times New Roman" w:eastAsia="Calibri" w:hAnsi="Times New Roman" w:cs="Times New Roman"/>
          <w:i/>
        </w:rPr>
        <w:t xml:space="preserve"> của các ngân hàng. Với chính sách quản lý rủi ro tín dụng tốt có tác dụng thúc đẩy tăng trưởng và đem lại thu nhập cho ngân hàng, ngược lại nó có thể tác động tiêu cực đến khả năng sinh lời của các ngân hàng. Nhằm đánh giá tác động rủi ro tín dụng đến hiệu quả sinh lời của ngân hàng thương mại, nghiên cứu sử dụng mô hình hồi quy dữ liệu bảng với bộ dữ liệu thứ cấp được thu thập từ 12 ngân hàng thương mại trong vòng11 năm (2007- 2017). Kết quả nghiên cứu cho thấy, các tiêu chí phản ánh rủi ro tín dụng bao gồm: tỷ lệ nợ xấu so với dư nợ, nợ có khả năng mất vốn so với dư nợ và tỷ lệ dự phòng cho vay có tác động đáng kể đến lợi nhuận của các ngân hàng thương mại Việt Nam. Vì vậy, cần tăng cường quản lý rủi ro tín dụng để duy trì khả năng sinh lời hiện tại của các ngân hàng thương mại Việt Nam</w:t>
      </w:r>
      <w:r w:rsidRPr="0024187C">
        <w:rPr>
          <w:rFonts w:ascii="Times New Roman" w:eastAsia="Calibri" w:hAnsi="Times New Roman" w:cs="Times New Roman"/>
        </w:rPr>
        <w:t>.</w:t>
      </w:r>
    </w:p>
    <w:p w:rsidR="0024187C" w:rsidRPr="0024187C" w:rsidRDefault="0024187C" w:rsidP="0024187C">
      <w:pPr>
        <w:spacing w:after="0" w:line="288" w:lineRule="auto"/>
        <w:ind w:firstLine="567"/>
        <w:jc w:val="both"/>
        <w:rPr>
          <w:rFonts w:ascii="Times New Roman" w:eastAsia="Calibri" w:hAnsi="Times New Roman" w:cs="Times New Roman"/>
        </w:rPr>
      </w:pPr>
    </w:p>
    <w:p w:rsidR="0024187C" w:rsidRPr="0024187C" w:rsidRDefault="0024187C" w:rsidP="0024187C">
      <w:pPr>
        <w:spacing w:after="0" w:line="240" w:lineRule="auto"/>
        <w:ind w:firstLine="567"/>
        <w:jc w:val="both"/>
        <w:rPr>
          <w:rFonts w:ascii="Times New Roman" w:eastAsia="Calibri" w:hAnsi="Times New Roman" w:cs="Times New Roman"/>
          <w:i/>
        </w:rPr>
      </w:pPr>
      <w:r w:rsidRPr="0024187C">
        <w:rPr>
          <w:rFonts w:ascii="Times New Roman" w:eastAsia="Calibri" w:hAnsi="Times New Roman" w:cs="Times New Roman"/>
          <w:b/>
          <w:i/>
        </w:rPr>
        <w:t xml:space="preserve">Từ khóa: </w:t>
      </w:r>
      <w:r w:rsidRPr="0024187C">
        <w:rPr>
          <w:rFonts w:ascii="Times New Roman" w:eastAsia="Calibri" w:hAnsi="Times New Roman" w:cs="Times New Roman"/>
          <w:i/>
        </w:rPr>
        <w:t>Nợ xấu, khả năng sinh lời, rủi ro tín dụng, ngân hàng thương mại</w:t>
      </w:r>
    </w:p>
    <w:p w:rsidR="00622104" w:rsidRPr="00387596" w:rsidRDefault="00622104" w:rsidP="00EA31C3">
      <w:pPr>
        <w:spacing w:after="0" w:line="288" w:lineRule="auto"/>
        <w:ind w:firstLine="567"/>
        <w:jc w:val="both"/>
        <w:rPr>
          <w:rFonts w:ascii="Times New Roman" w:hAnsi="Times New Roman" w:cs="Times New Roman"/>
          <w:i/>
          <w:sz w:val="20"/>
        </w:rPr>
      </w:pPr>
    </w:p>
    <w:p w:rsidR="003C5D87" w:rsidRDefault="003C5D87" w:rsidP="00231A80">
      <w:pPr>
        <w:spacing w:before="120" w:after="120" w:line="288" w:lineRule="auto"/>
        <w:jc w:val="both"/>
        <w:rPr>
          <w:rFonts w:ascii="Times New Roman" w:hAnsi="Times New Roman" w:cs="Times New Roman"/>
          <w:b/>
          <w:sz w:val="26"/>
          <w:szCs w:val="26"/>
        </w:rPr>
        <w:sectPr w:rsidR="003C5D87" w:rsidSect="00412254">
          <w:footnotePr>
            <w:numFmt w:val="upperRoman"/>
          </w:footnotePr>
          <w:type w:val="continuous"/>
          <w:pgSz w:w="10773" w:h="15309" w:code="9"/>
          <w:pgMar w:top="1134" w:right="1134" w:bottom="1134" w:left="1134" w:header="0" w:footer="0" w:gutter="0"/>
          <w:cols w:space="720"/>
          <w:docGrid w:linePitch="360"/>
        </w:sectPr>
      </w:pPr>
    </w:p>
    <w:p w:rsidR="00B4466D" w:rsidRPr="00622104" w:rsidRDefault="0060053C" w:rsidP="00622104">
      <w:pPr>
        <w:spacing w:after="120" w:line="240" w:lineRule="auto"/>
        <w:ind w:right="-221"/>
        <w:jc w:val="both"/>
        <w:rPr>
          <w:rFonts w:ascii="Times New Roman" w:hAnsi="Times New Roman" w:cs="Times New Roman"/>
          <w:szCs w:val="24"/>
        </w:rPr>
      </w:pPr>
      <w:r w:rsidRPr="00622104">
        <w:rPr>
          <w:rFonts w:ascii="Times New Roman" w:hAnsi="Times New Roman" w:cs="Times New Roman"/>
          <w:b/>
          <w:sz w:val="24"/>
          <w:szCs w:val="26"/>
        </w:rPr>
        <w:lastRenderedPageBreak/>
        <w:t>1. ĐẶT VẤN ĐỀ</w:t>
      </w:r>
    </w:p>
    <w:p w:rsidR="00FB2B62" w:rsidRPr="00EA31C3" w:rsidRDefault="00FB2B62" w:rsidP="00622104">
      <w:pPr>
        <w:spacing w:after="0" w:line="288" w:lineRule="auto"/>
        <w:ind w:firstLine="567"/>
        <w:jc w:val="both"/>
        <w:rPr>
          <w:rFonts w:ascii="Times New Roman" w:hAnsi="Times New Roman" w:cs="Times New Roman"/>
          <w:sz w:val="24"/>
          <w:szCs w:val="24"/>
        </w:rPr>
      </w:pPr>
      <w:r w:rsidRPr="00EA31C3">
        <w:rPr>
          <w:rFonts w:ascii="Times New Roman" w:hAnsi="Times New Roman" w:cs="Times New Roman"/>
          <w:sz w:val="24"/>
          <w:szCs w:val="24"/>
        </w:rPr>
        <w:t>Rủi ro tín dụng, theo Hiệp ướ</w:t>
      </w:r>
      <w:r w:rsidR="008F1721">
        <w:rPr>
          <w:rFonts w:ascii="Times New Roman" w:hAnsi="Times New Roman" w:cs="Times New Roman"/>
          <w:sz w:val="24"/>
          <w:szCs w:val="24"/>
        </w:rPr>
        <w:t>c Basel</w:t>
      </w:r>
      <w:r w:rsidR="00F87B57">
        <w:rPr>
          <w:rFonts w:ascii="Times New Roman" w:hAnsi="Times New Roman" w:cs="Times New Roman"/>
          <w:sz w:val="24"/>
          <w:szCs w:val="24"/>
        </w:rPr>
        <w:t xml:space="preserve"> [9]</w:t>
      </w:r>
      <w:r w:rsidRPr="00EA31C3">
        <w:rPr>
          <w:rFonts w:ascii="Times New Roman" w:hAnsi="Times New Roman" w:cs="Times New Roman"/>
          <w:sz w:val="24"/>
          <w:szCs w:val="24"/>
        </w:rPr>
        <w:t xml:space="preserve"> và Rose (2002)</w:t>
      </w:r>
      <w:r w:rsidR="00F87B57">
        <w:rPr>
          <w:rFonts w:ascii="Times New Roman" w:hAnsi="Times New Roman" w:cs="Times New Roman"/>
          <w:sz w:val="24"/>
          <w:szCs w:val="24"/>
        </w:rPr>
        <w:t xml:space="preserve"> [1</w:t>
      </w:r>
      <w:r w:rsidR="00226ADA">
        <w:rPr>
          <w:rFonts w:ascii="Times New Roman" w:hAnsi="Times New Roman" w:cs="Times New Roman"/>
          <w:sz w:val="24"/>
          <w:szCs w:val="24"/>
        </w:rPr>
        <w:t>5</w:t>
      </w:r>
      <w:r w:rsidR="00F87B57">
        <w:rPr>
          <w:rFonts w:ascii="Times New Roman" w:hAnsi="Times New Roman" w:cs="Times New Roman"/>
          <w:sz w:val="24"/>
          <w:szCs w:val="24"/>
        </w:rPr>
        <w:t>]</w:t>
      </w:r>
      <w:r w:rsidRPr="00EA31C3">
        <w:rPr>
          <w:rFonts w:ascii="Times New Roman" w:hAnsi="Times New Roman" w:cs="Times New Roman"/>
          <w:sz w:val="24"/>
          <w:szCs w:val="24"/>
        </w:rPr>
        <w:t xml:space="preserve">, là khả năng mà ngân hàng sẽ </w:t>
      </w:r>
      <w:r w:rsidR="008616AF" w:rsidRPr="00EA31C3">
        <w:rPr>
          <w:rFonts w:ascii="Times New Roman" w:hAnsi="Times New Roman" w:cs="Times New Roman"/>
          <w:sz w:val="24"/>
          <w:szCs w:val="24"/>
        </w:rPr>
        <w:t>mất</w:t>
      </w:r>
      <w:r w:rsidRPr="00EA31C3">
        <w:rPr>
          <w:rFonts w:ascii="Times New Roman" w:hAnsi="Times New Roman" w:cs="Times New Roman"/>
          <w:sz w:val="24"/>
          <w:szCs w:val="24"/>
        </w:rPr>
        <w:t xml:space="preserve"> một phần hoặc toàn bộ khoản vay từ những sự kiện đe dọa khả năng thanh toán của khách hàng. Các sự kiện khôngmong muốn này bao gồm phá sản của khách hàng hoặc sự cố tình từ chối thanh toán khoản nợ của khách hàng. Theo Thông tư số 02/2013/TT-NHNN</w:t>
      </w:r>
      <w:r w:rsidR="004F4A12">
        <w:rPr>
          <w:rFonts w:ascii="Times New Roman" w:hAnsi="Times New Roman" w:cs="Times New Roman"/>
          <w:sz w:val="24"/>
          <w:szCs w:val="24"/>
        </w:rPr>
        <w:t xml:space="preserve"> [7] </w:t>
      </w:r>
      <w:r w:rsidR="002307EA" w:rsidRPr="00EA31C3">
        <w:rPr>
          <w:rFonts w:ascii="Times New Roman" w:hAnsi="Times New Roman" w:cs="Times New Roman"/>
          <w:sz w:val="24"/>
          <w:szCs w:val="24"/>
        </w:rPr>
        <w:t xml:space="preserve">và thông tư số 09/2014/TT-NHNN </w:t>
      </w:r>
      <w:r w:rsidR="004F4A12">
        <w:rPr>
          <w:rFonts w:ascii="Times New Roman" w:hAnsi="Times New Roman" w:cs="Times New Roman"/>
          <w:sz w:val="24"/>
          <w:szCs w:val="24"/>
        </w:rPr>
        <w:t xml:space="preserve">[8] </w:t>
      </w:r>
      <w:r w:rsidR="004C7AD2" w:rsidRPr="00EA31C3">
        <w:rPr>
          <w:rFonts w:ascii="Times New Roman" w:hAnsi="Times New Roman" w:cs="Times New Roman"/>
          <w:sz w:val="24"/>
          <w:szCs w:val="24"/>
        </w:rPr>
        <w:t>về</w:t>
      </w:r>
      <w:r w:rsidRPr="00EA31C3">
        <w:rPr>
          <w:rFonts w:ascii="Times New Roman" w:hAnsi="Times New Roman" w:cs="Times New Roman"/>
          <w:sz w:val="24"/>
          <w:szCs w:val="24"/>
        </w:rPr>
        <w:t xml:space="preserve"> việc sử dụng dự phòng để xử lý rủi ro trong hoạt động của tổ chức tín dụng, chi nhánh ngân hàng nước ngoài thì rủi ro tín dụng trong hoạt động ngân hàng là tổn thất có khả năng xảy ra đối với nợ của tổ chức tín dụng do khách hàng không thực hiện hoặc không có khả năng thực hiện một phần hoặc toàn bộ nghĩa vụ của mình theo cam kết. Như vậy, </w:t>
      </w:r>
      <w:r w:rsidR="008616AF" w:rsidRPr="00EA31C3">
        <w:rPr>
          <w:rFonts w:ascii="Times New Roman" w:hAnsi="Times New Roman" w:cs="Times New Roman"/>
          <w:sz w:val="24"/>
          <w:szCs w:val="24"/>
        </w:rPr>
        <w:t xml:space="preserve">có những quan điểm khác nhau về rủi ro </w:t>
      </w:r>
      <w:r w:rsidR="00906771">
        <w:rPr>
          <w:rFonts w:ascii="Times New Roman" w:hAnsi="Times New Roman" w:cs="Times New Roman"/>
          <w:sz w:val="24"/>
          <w:szCs w:val="24"/>
        </w:rPr>
        <w:t>tín</w:t>
      </w:r>
      <w:r w:rsidR="008616AF" w:rsidRPr="00EA31C3">
        <w:rPr>
          <w:rFonts w:ascii="Times New Roman" w:hAnsi="Times New Roman" w:cs="Times New Roman"/>
          <w:sz w:val="24"/>
          <w:szCs w:val="24"/>
        </w:rPr>
        <w:t xml:space="preserve"> dụng nhưng giữa chúng đều có điểm chung</w:t>
      </w:r>
      <w:r w:rsidR="00BF3478">
        <w:rPr>
          <w:rFonts w:ascii="Times New Roman" w:hAnsi="Times New Roman" w:cs="Times New Roman"/>
          <w:sz w:val="24"/>
          <w:szCs w:val="24"/>
        </w:rPr>
        <w:t xml:space="preserve"> </w:t>
      </w:r>
      <w:r w:rsidRPr="00EA31C3">
        <w:rPr>
          <w:rFonts w:ascii="Times New Roman" w:hAnsi="Times New Roman" w:cs="Times New Roman"/>
          <w:sz w:val="24"/>
          <w:szCs w:val="24"/>
        </w:rPr>
        <w:t xml:space="preserve">là rủi ro tín </w:t>
      </w:r>
      <w:r w:rsidRPr="00EA31C3">
        <w:rPr>
          <w:rFonts w:ascii="Times New Roman" w:hAnsi="Times New Roman" w:cs="Times New Roman"/>
          <w:sz w:val="24"/>
          <w:szCs w:val="24"/>
        </w:rPr>
        <w:lastRenderedPageBreak/>
        <w:t xml:space="preserve">dụng </w:t>
      </w:r>
      <w:r w:rsidR="008616AF" w:rsidRPr="00EA31C3">
        <w:rPr>
          <w:rFonts w:ascii="Times New Roman" w:hAnsi="Times New Roman" w:cs="Times New Roman"/>
          <w:sz w:val="24"/>
          <w:szCs w:val="24"/>
        </w:rPr>
        <w:t>phản ánh</w:t>
      </w:r>
      <w:r w:rsidRPr="00EA31C3">
        <w:rPr>
          <w:rFonts w:ascii="Times New Roman" w:hAnsi="Times New Roman" w:cs="Times New Roman"/>
          <w:sz w:val="24"/>
          <w:szCs w:val="24"/>
        </w:rPr>
        <w:t xml:space="preserve"> tổn thất mà ngân hàng có thể gặp phải từ sự không thực hiện đầy đủ nghĩa vụ thanh toán củ</w:t>
      </w:r>
      <w:r w:rsidR="008616AF" w:rsidRPr="00EA31C3">
        <w:rPr>
          <w:rFonts w:ascii="Times New Roman" w:hAnsi="Times New Roman" w:cs="Times New Roman"/>
          <w:sz w:val="24"/>
          <w:szCs w:val="24"/>
        </w:rPr>
        <w:t>a khách hàng vay vố</w:t>
      </w:r>
      <w:r w:rsidR="00622104">
        <w:rPr>
          <w:rFonts w:ascii="Times New Roman" w:hAnsi="Times New Roman" w:cs="Times New Roman"/>
          <w:sz w:val="24"/>
          <w:szCs w:val="24"/>
        </w:rPr>
        <w:t>n.</w:t>
      </w:r>
    </w:p>
    <w:p w:rsidR="004B31EC" w:rsidRPr="00EA31C3" w:rsidRDefault="009346C7" w:rsidP="00622104">
      <w:pPr>
        <w:spacing w:after="0" w:line="288" w:lineRule="auto"/>
        <w:ind w:firstLine="567"/>
        <w:jc w:val="both"/>
        <w:rPr>
          <w:rFonts w:ascii="Times New Roman" w:hAnsi="Times New Roman" w:cs="Times New Roman"/>
          <w:sz w:val="24"/>
          <w:szCs w:val="24"/>
        </w:rPr>
      </w:pPr>
      <w:r w:rsidRPr="00EA31C3">
        <w:rPr>
          <w:rFonts w:ascii="Times New Roman" w:hAnsi="Times New Roman" w:cs="Times New Roman"/>
          <w:sz w:val="24"/>
          <w:szCs w:val="24"/>
        </w:rPr>
        <w:t xml:space="preserve">Các nghiên cứu về </w:t>
      </w:r>
      <w:r w:rsidR="004B31EC" w:rsidRPr="00EA31C3">
        <w:rPr>
          <w:rFonts w:ascii="Times New Roman" w:hAnsi="Times New Roman" w:cs="Times New Roman"/>
          <w:sz w:val="24"/>
          <w:szCs w:val="24"/>
        </w:rPr>
        <w:t>khủng</w:t>
      </w:r>
      <w:r w:rsidRPr="00EA31C3">
        <w:rPr>
          <w:rFonts w:ascii="Times New Roman" w:hAnsi="Times New Roman" w:cs="Times New Roman"/>
          <w:sz w:val="24"/>
          <w:szCs w:val="24"/>
        </w:rPr>
        <w:t xml:space="preserve"> hoảng trong hoạt động ngân hàng cho thấy rằng chất lượng tài sản kém là nguyên nhân chủ yếu dẫn đến phá sản của các </w:t>
      </w:r>
      <w:r w:rsidR="002E7955">
        <w:rPr>
          <w:rFonts w:ascii="Times New Roman" w:hAnsi="Times New Roman" w:cs="Times New Roman"/>
          <w:sz w:val="24"/>
          <w:szCs w:val="24"/>
        </w:rPr>
        <w:t>n</w:t>
      </w:r>
      <w:r w:rsidR="009413D9">
        <w:rPr>
          <w:rFonts w:ascii="Times New Roman" w:hAnsi="Times New Roman" w:cs="Times New Roman"/>
          <w:sz w:val="24"/>
          <w:szCs w:val="24"/>
        </w:rPr>
        <w:t>gân hàng thương mạ</w:t>
      </w:r>
      <w:r w:rsidR="002E7955">
        <w:rPr>
          <w:rFonts w:ascii="Times New Roman" w:hAnsi="Times New Roman" w:cs="Times New Roman"/>
          <w:sz w:val="24"/>
          <w:szCs w:val="24"/>
        </w:rPr>
        <w:t>i (</w:t>
      </w:r>
      <w:r w:rsidRPr="00EA31C3">
        <w:rPr>
          <w:rFonts w:ascii="Times New Roman" w:hAnsi="Times New Roman" w:cs="Times New Roman"/>
          <w:sz w:val="24"/>
          <w:szCs w:val="24"/>
        </w:rPr>
        <w:t>NHTM</w:t>
      </w:r>
      <w:r w:rsidR="002E7955">
        <w:rPr>
          <w:rFonts w:ascii="Times New Roman" w:hAnsi="Times New Roman" w:cs="Times New Roman"/>
          <w:sz w:val="24"/>
          <w:szCs w:val="24"/>
        </w:rPr>
        <w:t>)</w:t>
      </w:r>
      <w:r w:rsidRPr="00EA31C3">
        <w:rPr>
          <w:rFonts w:ascii="Times New Roman" w:hAnsi="Times New Roman" w:cs="Times New Roman"/>
          <w:sz w:val="24"/>
          <w:szCs w:val="24"/>
        </w:rPr>
        <w:t xml:space="preserve"> trên thế giới.</w:t>
      </w:r>
      <w:r w:rsidR="00004FAE">
        <w:rPr>
          <w:rFonts w:ascii="Times New Roman" w:hAnsi="Times New Roman" w:cs="Times New Roman"/>
          <w:sz w:val="24"/>
          <w:szCs w:val="24"/>
        </w:rPr>
        <w:t xml:space="preserve"> </w:t>
      </w:r>
      <w:r w:rsidR="00DA1584" w:rsidRPr="00EA31C3">
        <w:rPr>
          <w:rFonts w:ascii="Times New Roman" w:hAnsi="Times New Roman" w:cs="Times New Roman"/>
          <w:sz w:val="24"/>
          <w:szCs w:val="24"/>
        </w:rPr>
        <w:t>Stuart</w:t>
      </w:r>
      <w:r w:rsidR="00004FAE">
        <w:rPr>
          <w:rFonts w:ascii="Times New Roman" w:hAnsi="Times New Roman" w:cs="Times New Roman"/>
          <w:sz w:val="24"/>
          <w:szCs w:val="24"/>
        </w:rPr>
        <w:t xml:space="preserve"> </w:t>
      </w:r>
      <w:r w:rsidR="00DA1584" w:rsidRPr="00EA31C3">
        <w:rPr>
          <w:rFonts w:ascii="Times New Roman" w:hAnsi="Times New Roman" w:cs="Times New Roman"/>
          <w:sz w:val="24"/>
          <w:szCs w:val="24"/>
        </w:rPr>
        <w:t>(2005)</w:t>
      </w:r>
      <w:r w:rsidR="00302D85">
        <w:rPr>
          <w:rFonts w:ascii="Times New Roman" w:hAnsi="Times New Roman" w:cs="Times New Roman"/>
          <w:sz w:val="24"/>
          <w:szCs w:val="24"/>
        </w:rPr>
        <w:t xml:space="preserve"> [1</w:t>
      </w:r>
      <w:r w:rsidR="00226ADA">
        <w:rPr>
          <w:rFonts w:ascii="Times New Roman" w:hAnsi="Times New Roman" w:cs="Times New Roman"/>
          <w:sz w:val="24"/>
          <w:szCs w:val="24"/>
        </w:rPr>
        <w:t>6</w:t>
      </w:r>
      <w:r w:rsidR="00302D85">
        <w:rPr>
          <w:rFonts w:ascii="Times New Roman" w:hAnsi="Times New Roman" w:cs="Times New Roman"/>
          <w:sz w:val="24"/>
          <w:szCs w:val="24"/>
        </w:rPr>
        <w:t>]</w:t>
      </w:r>
      <w:r w:rsidR="00DA1584" w:rsidRPr="00EA31C3">
        <w:rPr>
          <w:rFonts w:ascii="Times New Roman" w:hAnsi="Times New Roman" w:cs="Times New Roman"/>
          <w:sz w:val="24"/>
          <w:szCs w:val="24"/>
        </w:rPr>
        <w:t xml:space="preserve"> nhấn mạnh rằng các khoản nợ xấu</w:t>
      </w:r>
      <w:r w:rsidR="00EE2A09">
        <w:rPr>
          <w:rFonts w:ascii="Times New Roman" w:hAnsi="Times New Roman" w:cs="Times New Roman"/>
          <w:sz w:val="24"/>
          <w:szCs w:val="24"/>
        </w:rPr>
        <w:t xml:space="preserve"> </w:t>
      </w:r>
      <w:r w:rsidR="00DA1584" w:rsidRPr="00EA31C3">
        <w:rPr>
          <w:rFonts w:ascii="Times New Roman" w:hAnsi="Times New Roman" w:cs="Times New Roman"/>
          <w:sz w:val="24"/>
          <w:szCs w:val="24"/>
        </w:rPr>
        <w:t xml:space="preserve">cao </w:t>
      </w:r>
      <w:r w:rsidR="00906771">
        <w:rPr>
          <w:rFonts w:ascii="Times New Roman" w:hAnsi="Times New Roman" w:cs="Times New Roman"/>
          <w:sz w:val="24"/>
          <w:szCs w:val="24"/>
        </w:rPr>
        <w:t xml:space="preserve">(lên </w:t>
      </w:r>
      <w:r w:rsidR="00DA1584" w:rsidRPr="00EA31C3">
        <w:rPr>
          <w:rFonts w:ascii="Times New Roman" w:hAnsi="Times New Roman" w:cs="Times New Roman"/>
          <w:sz w:val="24"/>
          <w:szCs w:val="24"/>
        </w:rPr>
        <w:t>tới 35%</w:t>
      </w:r>
      <w:r w:rsidR="00906771">
        <w:rPr>
          <w:rFonts w:ascii="Times New Roman" w:hAnsi="Times New Roman" w:cs="Times New Roman"/>
          <w:sz w:val="24"/>
          <w:szCs w:val="24"/>
        </w:rPr>
        <w:t>)</w:t>
      </w:r>
      <w:r w:rsidR="00EE2A09">
        <w:rPr>
          <w:rFonts w:ascii="Times New Roman" w:hAnsi="Times New Roman" w:cs="Times New Roman"/>
          <w:sz w:val="24"/>
          <w:szCs w:val="24"/>
        </w:rPr>
        <w:t xml:space="preserve"> </w:t>
      </w:r>
      <w:r w:rsidR="00906771">
        <w:rPr>
          <w:rFonts w:ascii="Times New Roman" w:hAnsi="Times New Roman" w:cs="Times New Roman"/>
          <w:sz w:val="24"/>
          <w:szCs w:val="24"/>
        </w:rPr>
        <w:t>của các NHTM</w:t>
      </w:r>
      <w:r w:rsidR="00EE2A09">
        <w:rPr>
          <w:rFonts w:ascii="Times New Roman" w:hAnsi="Times New Roman" w:cs="Times New Roman"/>
          <w:sz w:val="24"/>
          <w:szCs w:val="24"/>
        </w:rPr>
        <w:t xml:space="preserve"> </w:t>
      </w:r>
      <w:r w:rsidR="00906771" w:rsidRPr="00EA31C3">
        <w:rPr>
          <w:rFonts w:ascii="Times New Roman" w:hAnsi="Times New Roman" w:cs="Times New Roman"/>
          <w:sz w:val="24"/>
          <w:szCs w:val="24"/>
        </w:rPr>
        <w:t>ở</w:t>
      </w:r>
      <w:r w:rsidR="00EE2A09">
        <w:rPr>
          <w:rFonts w:ascii="Times New Roman" w:hAnsi="Times New Roman" w:cs="Times New Roman"/>
          <w:sz w:val="24"/>
          <w:szCs w:val="24"/>
        </w:rPr>
        <w:t xml:space="preserve"> </w:t>
      </w:r>
      <w:r w:rsidR="00DA1584" w:rsidRPr="00EA31C3">
        <w:rPr>
          <w:rFonts w:ascii="Times New Roman" w:hAnsi="Times New Roman" w:cs="Times New Roman"/>
          <w:sz w:val="24"/>
          <w:szCs w:val="24"/>
        </w:rPr>
        <w:t>Nigeria trong giai đoạn 1999 và 2009</w:t>
      </w:r>
      <w:r w:rsidR="004B31EC" w:rsidRPr="00EA31C3">
        <w:rPr>
          <w:rFonts w:ascii="Times New Roman" w:hAnsi="Times New Roman" w:cs="Times New Roman"/>
          <w:sz w:val="24"/>
          <w:szCs w:val="24"/>
        </w:rPr>
        <w:t xml:space="preserve"> là một trong những nguyên nhân chính dẫn đến phá sản của các ngân hàng. Umoh (1994)</w:t>
      </w:r>
      <w:r w:rsidR="00226ADA">
        <w:rPr>
          <w:rFonts w:ascii="Times New Roman" w:hAnsi="Times New Roman" w:cs="Times New Roman"/>
          <w:sz w:val="24"/>
          <w:szCs w:val="24"/>
        </w:rPr>
        <w:t xml:space="preserve"> [18</w:t>
      </w:r>
      <w:r w:rsidR="00302D85">
        <w:rPr>
          <w:rFonts w:ascii="Times New Roman" w:hAnsi="Times New Roman" w:cs="Times New Roman"/>
          <w:sz w:val="24"/>
          <w:szCs w:val="24"/>
        </w:rPr>
        <w:t>]</w:t>
      </w:r>
      <w:r w:rsidR="004B31EC" w:rsidRPr="00EA31C3">
        <w:rPr>
          <w:rFonts w:ascii="Times New Roman" w:hAnsi="Times New Roman" w:cs="Times New Roman"/>
          <w:sz w:val="24"/>
          <w:szCs w:val="24"/>
        </w:rPr>
        <w:t xml:space="preserve"> cũng chỉ ra rằng kém hiệu quả trong việc xử lý nợ xấu, can thiệp quá mức trong quá trình cấp khoản vay, thiếu các tài sản thế chấp cho vay tác động đến lợi nhuận của ngân hàng.</w:t>
      </w:r>
      <w:r w:rsidR="00EE2A09">
        <w:rPr>
          <w:rFonts w:ascii="Times New Roman" w:hAnsi="Times New Roman" w:cs="Times New Roman"/>
          <w:sz w:val="24"/>
          <w:szCs w:val="24"/>
        </w:rPr>
        <w:t xml:space="preserve"> </w:t>
      </w:r>
      <w:r w:rsidR="004B31EC" w:rsidRPr="00EA31C3">
        <w:rPr>
          <w:rFonts w:ascii="Times New Roman" w:hAnsi="Times New Roman" w:cs="Times New Roman"/>
          <w:sz w:val="24"/>
          <w:szCs w:val="24"/>
        </w:rPr>
        <w:t>Olweny và Shipo (2011)</w:t>
      </w:r>
      <w:r w:rsidR="00226ADA">
        <w:rPr>
          <w:rFonts w:ascii="Times New Roman" w:hAnsi="Times New Roman" w:cs="Times New Roman"/>
          <w:sz w:val="24"/>
          <w:szCs w:val="24"/>
        </w:rPr>
        <w:t xml:space="preserve"> [14</w:t>
      </w:r>
      <w:r w:rsidR="00302D85">
        <w:rPr>
          <w:rFonts w:ascii="Times New Roman" w:hAnsi="Times New Roman" w:cs="Times New Roman"/>
          <w:sz w:val="24"/>
          <w:szCs w:val="24"/>
        </w:rPr>
        <w:t>]</w:t>
      </w:r>
      <w:r w:rsidR="004B31EC" w:rsidRPr="00EA31C3">
        <w:rPr>
          <w:rFonts w:ascii="Times New Roman" w:hAnsi="Times New Roman" w:cs="Times New Roman"/>
          <w:sz w:val="24"/>
          <w:szCs w:val="24"/>
        </w:rPr>
        <w:t xml:space="preserve"> ứng dụng mô hình hồi quy tuyến tính với dữ liệu bảng trong khoảng thời gian 2002-2008</w:t>
      </w:r>
      <w:r w:rsidR="00F74A30" w:rsidRPr="00EA31C3">
        <w:rPr>
          <w:rFonts w:ascii="Times New Roman" w:hAnsi="Times New Roman" w:cs="Times New Roman"/>
          <w:sz w:val="24"/>
          <w:szCs w:val="24"/>
        </w:rPr>
        <w:t xml:space="preserve"> nhằm</w:t>
      </w:r>
      <w:r w:rsidR="004B31EC" w:rsidRPr="00EA31C3">
        <w:rPr>
          <w:rFonts w:ascii="Times New Roman" w:hAnsi="Times New Roman" w:cs="Times New Roman"/>
          <w:sz w:val="24"/>
          <w:szCs w:val="24"/>
        </w:rPr>
        <w:t xml:space="preserve"> đánh </w:t>
      </w:r>
      <w:r w:rsidR="004B31EC" w:rsidRPr="00EA31C3">
        <w:rPr>
          <w:rFonts w:ascii="Times New Roman" w:hAnsi="Times New Roman" w:cs="Times New Roman"/>
          <w:sz w:val="24"/>
          <w:szCs w:val="24"/>
        </w:rPr>
        <w:lastRenderedPageBreak/>
        <w:t>giá khả năng thất bại của 38 ngân hàng Kenya đã chứng minh rằng chất lượng tài sản thấp và mức độ thanh khoản thấp là hai nguyên nhân chính dẫn đến thất bại của ngân hàng. Nghiên cứu của Valahzaghard và Jabbari (2013)</w:t>
      </w:r>
      <w:r w:rsidR="00226ADA">
        <w:rPr>
          <w:rFonts w:ascii="Times New Roman" w:hAnsi="Times New Roman" w:cs="Times New Roman"/>
          <w:sz w:val="24"/>
          <w:szCs w:val="24"/>
        </w:rPr>
        <w:t xml:space="preserve"> [17</w:t>
      </w:r>
      <w:r w:rsidR="00302D85">
        <w:rPr>
          <w:rFonts w:ascii="Times New Roman" w:hAnsi="Times New Roman" w:cs="Times New Roman"/>
          <w:sz w:val="24"/>
          <w:szCs w:val="24"/>
        </w:rPr>
        <w:t>]</w:t>
      </w:r>
      <w:r w:rsidR="004B31EC" w:rsidRPr="00EA31C3">
        <w:rPr>
          <w:rFonts w:ascii="Times New Roman" w:hAnsi="Times New Roman" w:cs="Times New Roman"/>
          <w:sz w:val="24"/>
          <w:szCs w:val="24"/>
        </w:rPr>
        <w:t xml:space="preserve"> đã đánh giá toàn bộ các ngân hàng ở Iran với khoảng thời gian từ năm 2006-2011 và kết luận rằng các yếu tố thuộc về chất lượng tài sản và độ nhạy với rủi ro thị trường có ảnh hưởng lớn đến mức độ rủi ro trong hoạt động ngân hàng ở</w:t>
      </w:r>
      <w:r w:rsidR="00156DDE">
        <w:rPr>
          <w:rFonts w:ascii="Times New Roman" w:hAnsi="Times New Roman" w:cs="Times New Roman"/>
          <w:sz w:val="24"/>
          <w:szCs w:val="24"/>
        </w:rPr>
        <w:t xml:space="preserve"> Iran.</w:t>
      </w:r>
    </w:p>
    <w:p w:rsidR="00F74A30" w:rsidRPr="00EA31C3" w:rsidRDefault="00F74A30" w:rsidP="00622104">
      <w:pPr>
        <w:spacing w:after="0" w:line="288" w:lineRule="auto"/>
        <w:ind w:firstLine="567"/>
        <w:jc w:val="both"/>
        <w:rPr>
          <w:rFonts w:ascii="Times New Roman" w:hAnsi="Times New Roman" w:cs="Times New Roman"/>
          <w:sz w:val="24"/>
          <w:szCs w:val="24"/>
        </w:rPr>
      </w:pPr>
      <w:r w:rsidRPr="00EA31C3">
        <w:rPr>
          <w:rFonts w:ascii="Times New Roman" w:hAnsi="Times New Roman" w:cs="Times New Roman"/>
          <w:sz w:val="24"/>
          <w:szCs w:val="24"/>
        </w:rPr>
        <w:t>Tại Việt Nam, hoạt động tín dụng có vai trò rất quan trọng vì</w:t>
      </w:r>
      <w:r w:rsidR="002E2130">
        <w:rPr>
          <w:rFonts w:ascii="Times New Roman" w:hAnsi="Times New Roman" w:cs="Times New Roman"/>
          <w:sz w:val="24"/>
          <w:szCs w:val="24"/>
        </w:rPr>
        <w:t xml:space="preserve"> </w:t>
      </w:r>
      <w:r w:rsidRPr="00EA31C3">
        <w:rPr>
          <w:rFonts w:ascii="Times New Roman" w:hAnsi="Times New Roman" w:cs="Times New Roman"/>
          <w:sz w:val="24"/>
          <w:szCs w:val="24"/>
        </w:rPr>
        <w:t>nó đem lại thu nhập chính cho các NHTM. Theo tính toán của tác giả từ 12 NHTM được lựa chọn trong nghiên cứu này cho thấy thu nhập từ lãi thuần chiếm tỷ lệ trên 75% năm 2016 và trên 73% năm 2017 trong tổng thu nhập củ</w:t>
      </w:r>
      <w:r w:rsidR="00F23CBD">
        <w:rPr>
          <w:rFonts w:ascii="Times New Roman" w:hAnsi="Times New Roman" w:cs="Times New Roman"/>
          <w:sz w:val="24"/>
          <w:szCs w:val="24"/>
        </w:rPr>
        <w:t xml:space="preserve">a các ngân hàng này. </w:t>
      </w:r>
      <w:r w:rsidR="004C7AD2" w:rsidRPr="00EA31C3">
        <w:rPr>
          <w:rFonts w:ascii="Times New Roman" w:hAnsi="Times New Roman" w:cs="Times New Roman"/>
          <w:sz w:val="24"/>
          <w:szCs w:val="24"/>
        </w:rPr>
        <w:t xml:space="preserve">Bảng cân đối kế toán của các NHTM Việt Nam thể hiện </w:t>
      </w:r>
      <w:r w:rsidRPr="00EA31C3">
        <w:rPr>
          <w:rFonts w:ascii="Times New Roman" w:hAnsi="Times New Roman" w:cs="Times New Roman"/>
          <w:sz w:val="24"/>
          <w:szCs w:val="24"/>
        </w:rPr>
        <w:t xml:space="preserve">khoản cho vay và ứng trước khách hàng chiếm tỷ trọng cao trong tổng tài sản của NHTM do vậy chất lượng </w:t>
      </w:r>
      <w:r w:rsidR="004C7AD2" w:rsidRPr="00EA31C3">
        <w:rPr>
          <w:rFonts w:ascii="Times New Roman" w:hAnsi="Times New Roman" w:cs="Times New Roman"/>
          <w:sz w:val="24"/>
          <w:szCs w:val="24"/>
        </w:rPr>
        <w:t>khoản cho vay</w:t>
      </w:r>
      <w:r w:rsidRPr="00EA31C3">
        <w:rPr>
          <w:rFonts w:ascii="Times New Roman" w:hAnsi="Times New Roman" w:cs="Times New Roman"/>
          <w:sz w:val="24"/>
          <w:szCs w:val="24"/>
        </w:rPr>
        <w:t xml:space="preserve"> được xem </w:t>
      </w:r>
      <w:r w:rsidR="004C7AD2" w:rsidRPr="00EA31C3">
        <w:rPr>
          <w:rFonts w:ascii="Times New Roman" w:hAnsi="Times New Roman" w:cs="Times New Roman"/>
          <w:sz w:val="24"/>
          <w:szCs w:val="24"/>
        </w:rPr>
        <w:t xml:space="preserve">là </w:t>
      </w:r>
      <w:r w:rsidRPr="00EA31C3">
        <w:rPr>
          <w:rFonts w:ascii="Times New Roman" w:hAnsi="Times New Roman" w:cs="Times New Roman"/>
          <w:sz w:val="24"/>
          <w:szCs w:val="24"/>
        </w:rPr>
        <w:t>chỉ số quan trọng đo lường sức khỏe của NHTM. Các tiêu chí phản ánh rủi ro tín dụng là thành phần thứ hai của khung CAMELS, Khung CAMELS bao gồm 6 thành phần: Capital adequacy (mức độ an toàn vốn), Asset quality (chất lượng tài sản), Management competence (năng lực quản lý), Earnings strength (lợi nhuận), Liquidity risk (rủi ro thanh khoản), và Sensitivity to market risk (mức độ nhạy cảm với rủi ro thị trường). Các thành phần của CAMELS bao quát toàn bộ hoạt động tài chính của NHTM, vì vậy CAMEL</w:t>
      </w:r>
      <w:r w:rsidR="004C7AD2" w:rsidRPr="00EA31C3">
        <w:rPr>
          <w:rFonts w:ascii="Times New Roman" w:hAnsi="Times New Roman" w:cs="Times New Roman"/>
          <w:sz w:val="24"/>
          <w:szCs w:val="24"/>
        </w:rPr>
        <w:t>S</w:t>
      </w:r>
      <w:r w:rsidRPr="00EA31C3">
        <w:rPr>
          <w:rFonts w:ascii="Times New Roman" w:hAnsi="Times New Roman" w:cs="Times New Roman"/>
          <w:sz w:val="24"/>
          <w:szCs w:val="24"/>
        </w:rPr>
        <w:t xml:space="preserve"> được sử dụng phổ biến ở nhiều quốc gia trên thế giới nhằm đánh </w:t>
      </w:r>
      <w:r w:rsidRPr="00EA31C3">
        <w:rPr>
          <w:rFonts w:ascii="Times New Roman" w:hAnsi="Times New Roman" w:cs="Times New Roman"/>
          <w:sz w:val="24"/>
          <w:szCs w:val="24"/>
        </w:rPr>
        <w:lastRenderedPageBreak/>
        <w:t>giá hiệu suất tài chính giúp các NHTM biết được tình trạng sức khỏe của mình và có những biện pháp phù hợp nhằm nâng cao năng lự</w:t>
      </w:r>
      <w:r w:rsidR="006075DD">
        <w:rPr>
          <w:rFonts w:ascii="Times New Roman" w:hAnsi="Times New Roman" w:cs="Times New Roman"/>
          <w:sz w:val="24"/>
          <w:szCs w:val="24"/>
        </w:rPr>
        <w:t>c tài chính.</w:t>
      </w:r>
    </w:p>
    <w:p w:rsidR="00EA31C3" w:rsidRPr="00EA31C3" w:rsidRDefault="004C7AD2" w:rsidP="005E6A85">
      <w:pPr>
        <w:spacing w:after="0" w:line="288" w:lineRule="auto"/>
        <w:ind w:firstLine="567"/>
        <w:jc w:val="both"/>
        <w:rPr>
          <w:rFonts w:ascii="Times New Roman" w:hAnsi="Times New Roman" w:cs="Times New Roman"/>
          <w:sz w:val="24"/>
          <w:szCs w:val="24"/>
        </w:rPr>
      </w:pPr>
      <w:r w:rsidRPr="00EA31C3">
        <w:rPr>
          <w:rFonts w:ascii="Times New Roman" w:hAnsi="Times New Roman" w:cs="Times New Roman"/>
          <w:sz w:val="24"/>
          <w:szCs w:val="24"/>
        </w:rPr>
        <w:t xml:space="preserve">Hoạt động của NHTM tiềm ẩn rất nhiều rủi ro như rủi ro tín dụng, rủi ro hoạt động, rủi ro thị trường. </w:t>
      </w:r>
      <w:r w:rsidR="00EA31C3" w:rsidRPr="00EA31C3">
        <w:rPr>
          <w:rFonts w:ascii="Times New Roman" w:hAnsi="Times New Roman" w:cs="Times New Roman"/>
          <w:sz w:val="24"/>
          <w:szCs w:val="24"/>
        </w:rPr>
        <w:t>Trong đó, quản lý rủi ro tín dụng có vai trò quản trọng nhằm quản lý chất lượng các khoản vay, góp phần nâng cao chất lượng tài sản và đem lại thu nhập cho ngân hàng. Trong trường hợp các khoản cho vay của ngân hàng bị tổn thất do khách hàng mất khả năng thanh toán sẽ dẫn đến thất thoát các khoản vốn của ngân hàng, nghiêm trọng hơn rủi ro tín dụng có thể dẫn đến khả năng mất thanh khoản cho ngân hàng và dẫn đến phá sản. Quá trình tái cấu trúc giai đoạn 2011-2015 có những ngân hàng âm vốn được ngân hàng Nhà nước mua lại với giá 0 đồng, nguyên nhân chủ yếu do các khoản nợ xấ</w:t>
      </w:r>
      <w:r w:rsidR="00F618F9">
        <w:rPr>
          <w:rFonts w:ascii="Times New Roman" w:hAnsi="Times New Roman" w:cs="Times New Roman"/>
          <w:sz w:val="24"/>
          <w:szCs w:val="24"/>
        </w:rPr>
        <w:t xml:space="preserve">u quá cao, cá biệt có những ngân hàng nợ xấu lớn hơn vốn chủ sở hữu làm cho nguồn vốn này bị âm vì phải bù đắp tổn thất do nợ xấu gây ra. </w:t>
      </w:r>
    </w:p>
    <w:p w:rsidR="00F02528" w:rsidRPr="00F02528" w:rsidRDefault="00F02528" w:rsidP="00622104">
      <w:pPr>
        <w:spacing w:before="120" w:after="120" w:line="240" w:lineRule="auto"/>
        <w:jc w:val="both"/>
        <w:rPr>
          <w:rFonts w:ascii="Times New Roman" w:hAnsi="Times New Roman" w:cs="Times New Roman"/>
          <w:b/>
          <w:sz w:val="24"/>
          <w:szCs w:val="24"/>
        </w:rPr>
      </w:pPr>
      <w:r w:rsidRPr="00F02528">
        <w:rPr>
          <w:rFonts w:ascii="Times New Roman" w:hAnsi="Times New Roman" w:cs="Times New Roman"/>
          <w:b/>
          <w:sz w:val="24"/>
          <w:szCs w:val="24"/>
        </w:rPr>
        <w:t>2. TỔNG QUAN NGHIÊN CỨU</w:t>
      </w:r>
    </w:p>
    <w:p w:rsidR="00F02528" w:rsidRDefault="00F02528" w:rsidP="005E6A85">
      <w:pPr>
        <w:spacing w:after="0" w:line="288"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Có nhiều nghiên cứu kiểm chứng sự tác động của rủi ro tín dụng đến khả năng sinh lời của các ngân hàng thương mại ở nhiều nước trên thế giới. </w:t>
      </w:r>
      <w:r w:rsidR="00E00719">
        <w:rPr>
          <w:rFonts w:ascii="Times New Roman" w:hAnsi="Times New Roman" w:cs="Times New Roman"/>
          <w:sz w:val="24"/>
          <w:szCs w:val="24"/>
        </w:rPr>
        <w:t>Đa số các</w:t>
      </w:r>
      <w:r>
        <w:rPr>
          <w:rFonts w:ascii="Times New Roman" w:hAnsi="Times New Roman" w:cs="Times New Roman"/>
          <w:sz w:val="24"/>
          <w:szCs w:val="24"/>
        </w:rPr>
        <w:t xml:space="preserve"> nghiên cứu sử dụng tỷ lệ lợi nhuận ròng so với vốn chủ sở hữu (ROE) là biến phụ thuộc phản ánh khả năng sinh lời của ngân hàng. Các biến độc lập là </w:t>
      </w:r>
      <w:r w:rsidR="004116DA">
        <w:rPr>
          <w:rFonts w:ascii="Times New Roman" w:hAnsi="Times New Roman" w:cs="Times New Roman"/>
          <w:sz w:val="24"/>
          <w:szCs w:val="24"/>
        </w:rPr>
        <w:t xml:space="preserve">các tiêu chí phản ánh </w:t>
      </w:r>
      <w:r>
        <w:rPr>
          <w:rFonts w:ascii="Times New Roman" w:hAnsi="Times New Roman" w:cs="Times New Roman"/>
          <w:sz w:val="24"/>
          <w:szCs w:val="24"/>
        </w:rPr>
        <w:t xml:space="preserve">rủi ro tín dụng. </w:t>
      </w:r>
    </w:p>
    <w:p w:rsidR="00F02528" w:rsidRDefault="00F02528" w:rsidP="001F0E71">
      <w:pPr>
        <w:spacing w:after="0" w:line="288" w:lineRule="auto"/>
        <w:ind w:firstLine="567"/>
        <w:jc w:val="both"/>
        <w:rPr>
          <w:rFonts w:ascii="Times New Roman" w:hAnsi="Times New Roman" w:cs="Times New Roman"/>
          <w:sz w:val="24"/>
          <w:szCs w:val="24"/>
        </w:rPr>
      </w:pPr>
      <w:r w:rsidRPr="002B5082">
        <w:rPr>
          <w:rFonts w:ascii="Times New Roman" w:hAnsi="Times New Roman" w:cs="Times New Roman"/>
          <w:sz w:val="24"/>
          <w:szCs w:val="24"/>
        </w:rPr>
        <w:t>Gizaw</w:t>
      </w:r>
      <w:r>
        <w:rPr>
          <w:rFonts w:ascii="Times New Roman" w:hAnsi="Times New Roman" w:cs="Times New Roman"/>
          <w:sz w:val="24"/>
          <w:szCs w:val="24"/>
        </w:rPr>
        <w:t xml:space="preserve"> và cộng sự (2015) </w:t>
      </w:r>
      <w:r w:rsidR="00F23CBD">
        <w:rPr>
          <w:rFonts w:ascii="Times New Roman" w:hAnsi="Times New Roman" w:cs="Times New Roman"/>
          <w:sz w:val="24"/>
          <w:szCs w:val="24"/>
        </w:rPr>
        <w:t>[1</w:t>
      </w:r>
      <w:r w:rsidR="00226ADA">
        <w:rPr>
          <w:rFonts w:ascii="Times New Roman" w:hAnsi="Times New Roman" w:cs="Times New Roman"/>
          <w:sz w:val="24"/>
          <w:szCs w:val="24"/>
        </w:rPr>
        <w:t>1</w:t>
      </w:r>
      <w:r w:rsidR="00F23CBD">
        <w:rPr>
          <w:rFonts w:ascii="Times New Roman" w:hAnsi="Times New Roman" w:cs="Times New Roman"/>
          <w:sz w:val="24"/>
          <w:szCs w:val="24"/>
        </w:rPr>
        <w:t xml:space="preserve">] </w:t>
      </w:r>
      <w:r>
        <w:rPr>
          <w:rFonts w:ascii="Times New Roman" w:hAnsi="Times New Roman" w:cs="Times New Roman"/>
          <w:sz w:val="24"/>
          <w:szCs w:val="24"/>
        </w:rPr>
        <w:t xml:space="preserve">sử dụng mô hình hồi quy bội và hồi quy dữ liệu bảng nhằm đánh giá tác động của </w:t>
      </w:r>
      <w:r w:rsidRPr="000D3414">
        <w:rPr>
          <w:rFonts w:ascii="Times New Roman" w:hAnsi="Times New Roman" w:cs="Times New Roman"/>
          <w:sz w:val="24"/>
          <w:szCs w:val="24"/>
        </w:rPr>
        <w:t xml:space="preserve">rủi </w:t>
      </w:r>
      <w:r w:rsidRPr="000D3414">
        <w:rPr>
          <w:rFonts w:ascii="Times New Roman" w:hAnsi="Times New Roman" w:cs="Times New Roman"/>
          <w:sz w:val="24"/>
          <w:szCs w:val="24"/>
        </w:rPr>
        <w:lastRenderedPageBreak/>
        <w:t>ro tín dụng đối với khả năng sinh lời của các ngân hàng thương mại ở Ethiopia.</w:t>
      </w:r>
      <w:r>
        <w:rPr>
          <w:rFonts w:ascii="Times New Roman" w:hAnsi="Times New Roman" w:cs="Times New Roman"/>
          <w:sz w:val="24"/>
          <w:szCs w:val="24"/>
        </w:rPr>
        <w:t xml:space="preserve"> Nghiên cứu </w:t>
      </w:r>
      <w:r w:rsidR="00E00719">
        <w:rPr>
          <w:rFonts w:ascii="Times New Roman" w:hAnsi="Times New Roman" w:cs="Times New Roman"/>
          <w:sz w:val="24"/>
          <w:szCs w:val="24"/>
        </w:rPr>
        <w:t xml:space="preserve">sử dụng hồi quy bảng để </w:t>
      </w:r>
      <w:r>
        <w:rPr>
          <w:rFonts w:ascii="Times New Roman" w:hAnsi="Times New Roman" w:cs="Times New Roman"/>
          <w:sz w:val="24"/>
          <w:szCs w:val="24"/>
        </w:rPr>
        <w:t>đánh giá khả năng sinh lời của 8 NHTM trong khoảng thờ</w:t>
      </w:r>
      <w:r w:rsidR="00E00719">
        <w:rPr>
          <w:rFonts w:ascii="Times New Roman" w:hAnsi="Times New Roman" w:cs="Times New Roman"/>
          <w:sz w:val="24"/>
          <w:szCs w:val="24"/>
        </w:rPr>
        <w:t xml:space="preserve">i gian 12 năm (2003-2014), </w:t>
      </w:r>
      <w:r>
        <w:rPr>
          <w:rFonts w:ascii="Times New Roman" w:hAnsi="Times New Roman" w:cs="Times New Roman"/>
          <w:sz w:val="24"/>
          <w:szCs w:val="24"/>
        </w:rPr>
        <w:t xml:space="preserve">với biến phụ thuộc là tỷ lệ lợi nhuận ròng so với vốn chủ sở hữu (ROE- </w:t>
      </w:r>
      <w:r w:rsidRPr="000F7816">
        <w:rPr>
          <w:rFonts w:ascii="Times New Roman" w:hAnsi="Times New Roman" w:cs="Times New Roman"/>
          <w:sz w:val="24"/>
          <w:szCs w:val="24"/>
        </w:rPr>
        <w:t>Return on equity)</w:t>
      </w:r>
      <w:r>
        <w:rPr>
          <w:rFonts w:ascii="Times New Roman" w:hAnsi="Times New Roman" w:cs="Times New Roman"/>
          <w:sz w:val="24"/>
          <w:szCs w:val="24"/>
        </w:rPr>
        <w:t xml:space="preserve"> và lợi nhuận ròng so với tổng tài sản (ROA- </w:t>
      </w:r>
      <w:r w:rsidRPr="000F7816">
        <w:rPr>
          <w:rFonts w:ascii="Times New Roman" w:hAnsi="Times New Roman" w:cs="Times New Roman"/>
          <w:sz w:val="24"/>
          <w:szCs w:val="24"/>
        </w:rPr>
        <w:t>Return on assets)</w:t>
      </w:r>
      <w:r>
        <w:rPr>
          <w:rFonts w:ascii="Times New Roman" w:hAnsi="Times New Roman" w:cs="Times New Roman"/>
          <w:sz w:val="24"/>
          <w:szCs w:val="24"/>
        </w:rPr>
        <w:t xml:space="preserve"> phản ánh khả năng sinh lời của NHTM, các biến độc lập gồm tỷ lệ nợ xấu </w:t>
      </w:r>
      <w:r w:rsidRPr="003A63B0">
        <w:rPr>
          <w:rFonts w:ascii="Times New Roman" w:hAnsi="Times New Roman" w:cs="Times New Roman"/>
          <w:sz w:val="24"/>
          <w:szCs w:val="24"/>
        </w:rPr>
        <w:t>(NPL - Non-Performing Loan)</w:t>
      </w:r>
      <w:r>
        <w:rPr>
          <w:rFonts w:ascii="Times New Roman" w:hAnsi="Times New Roman" w:cs="Times New Roman"/>
          <w:sz w:val="24"/>
          <w:szCs w:val="24"/>
        </w:rPr>
        <w:t xml:space="preserve">, tỷ lệ an toàn vốn tối thiểu (CAR- </w:t>
      </w:r>
      <w:r w:rsidRPr="003A63B0">
        <w:rPr>
          <w:rFonts w:ascii="Times New Roman" w:hAnsi="Times New Roman" w:cs="Times New Roman"/>
          <w:sz w:val="24"/>
          <w:szCs w:val="24"/>
        </w:rPr>
        <w:t>Capital adequacy ratio</w:t>
      </w:r>
      <w:r>
        <w:rPr>
          <w:rFonts w:ascii="Times New Roman" w:hAnsi="Times New Roman" w:cs="Times New Roman"/>
          <w:sz w:val="24"/>
          <w:szCs w:val="24"/>
        </w:rPr>
        <w:t>), tỷ lệ dự phòng rủi ro cho vay (LLPR – Loan los provision Raito), tỷ lệ cho vay so với tổng tiền gửi khách hàng (</w:t>
      </w:r>
      <w:r w:rsidRPr="00D37EE3">
        <w:rPr>
          <w:rFonts w:ascii="Times New Roman" w:hAnsi="Times New Roman" w:cs="Times New Roman"/>
          <w:sz w:val="24"/>
          <w:szCs w:val="24"/>
        </w:rPr>
        <w:t>LDR - Loan to Deposit Ratio</w:t>
      </w:r>
      <w:r>
        <w:rPr>
          <w:rFonts w:ascii="Times New Roman" w:hAnsi="Times New Roman" w:cs="Times New Roman"/>
          <w:sz w:val="24"/>
          <w:szCs w:val="24"/>
        </w:rPr>
        <w:t xml:space="preserve">) phản ánh rủi ro tín dụng. </w:t>
      </w:r>
    </w:p>
    <w:p w:rsidR="00F05F06" w:rsidRPr="00F05F06" w:rsidRDefault="00E460CD" w:rsidP="00A604C2">
      <w:pPr>
        <w:spacing w:after="0" w:line="288" w:lineRule="auto"/>
        <w:ind w:firstLine="567"/>
        <w:jc w:val="both"/>
        <w:rPr>
          <w:rFonts w:ascii="Times New Roman" w:hAnsi="Times New Roman" w:cs="Times New Roman"/>
          <w:sz w:val="24"/>
          <w:szCs w:val="24"/>
        </w:rPr>
      </w:pPr>
      <w:r w:rsidRPr="00E460CD">
        <w:rPr>
          <w:rFonts w:ascii="Times New Roman" w:hAnsi="Times New Roman" w:cs="Times New Roman"/>
          <w:sz w:val="24"/>
          <w:szCs w:val="24"/>
        </w:rPr>
        <w:t>Boahene</w:t>
      </w:r>
      <w:r>
        <w:rPr>
          <w:rFonts w:ascii="Times New Roman" w:hAnsi="Times New Roman" w:cs="Times New Roman"/>
          <w:sz w:val="24"/>
          <w:szCs w:val="24"/>
        </w:rPr>
        <w:t xml:space="preserve"> và cộng sự (2012)</w:t>
      </w:r>
      <w:r w:rsidR="00AC08DA">
        <w:rPr>
          <w:rFonts w:ascii="Times New Roman" w:hAnsi="Times New Roman" w:cs="Times New Roman"/>
          <w:sz w:val="24"/>
          <w:szCs w:val="24"/>
        </w:rPr>
        <w:t xml:space="preserve"> [1</w:t>
      </w:r>
      <w:r w:rsidR="00226ADA">
        <w:rPr>
          <w:rFonts w:ascii="Times New Roman" w:hAnsi="Times New Roman" w:cs="Times New Roman"/>
          <w:sz w:val="24"/>
          <w:szCs w:val="24"/>
        </w:rPr>
        <w:t>0</w:t>
      </w:r>
      <w:r w:rsidR="00AC08DA">
        <w:rPr>
          <w:rFonts w:ascii="Times New Roman" w:hAnsi="Times New Roman" w:cs="Times New Roman"/>
          <w:sz w:val="24"/>
          <w:szCs w:val="24"/>
        </w:rPr>
        <w:t>]</w:t>
      </w:r>
      <w:r w:rsidR="00F05F06">
        <w:rPr>
          <w:rFonts w:ascii="Times New Roman" w:hAnsi="Times New Roman" w:cs="Times New Roman"/>
          <w:sz w:val="24"/>
          <w:szCs w:val="24"/>
        </w:rPr>
        <w:t xml:space="preserve"> ứng dụng phương pháp dữ liệu bảng nhằm kiểm chứng mối quan hệ giữa rủi ro tín dụng với khả năng sinh lời của các NHTM ở </w:t>
      </w:r>
      <w:r w:rsidR="00F05F06" w:rsidRPr="00F05F06">
        <w:rPr>
          <w:rFonts w:ascii="Times New Roman" w:hAnsi="Times New Roman" w:cs="Times New Roman"/>
          <w:sz w:val="24"/>
          <w:szCs w:val="24"/>
        </w:rPr>
        <w:t>Ghana</w:t>
      </w:r>
      <w:r w:rsidR="00F05F06">
        <w:rPr>
          <w:rFonts w:ascii="Times New Roman" w:hAnsi="Times New Roman" w:cs="Times New Roman"/>
          <w:sz w:val="24"/>
          <w:szCs w:val="24"/>
        </w:rPr>
        <w:t xml:space="preserve"> trong khoảng thời g</w:t>
      </w:r>
      <w:r w:rsidR="00852B2B">
        <w:rPr>
          <w:rFonts w:ascii="Times New Roman" w:hAnsi="Times New Roman" w:cs="Times New Roman"/>
          <w:sz w:val="24"/>
          <w:szCs w:val="24"/>
        </w:rPr>
        <w:t>ian 5 năm (2005-2009). Nhóm tác giả đã chỉ ra rằng các tiêu chí phản ánh rủi ro tín dụng gồm tỷ lệ nợ có khả năng mất vố</w:t>
      </w:r>
      <w:r w:rsidR="00444E58">
        <w:rPr>
          <w:rFonts w:ascii="Times New Roman" w:hAnsi="Times New Roman" w:cs="Times New Roman"/>
          <w:sz w:val="24"/>
          <w:szCs w:val="24"/>
        </w:rPr>
        <w:t>n trong tổng dư nợ, tỷ lệ nợ xấu và tỷ lệ lợi nhuận trước dự phòng so với tổng dư nợ có ảnh hưởng tích cực đáng kể đến khả năng sinh lời của các NHTM. Kết quả nghiên cứu cho thấ</w:t>
      </w:r>
      <w:r w:rsidR="006075DD">
        <w:rPr>
          <w:rFonts w:ascii="Times New Roman" w:hAnsi="Times New Roman" w:cs="Times New Roman"/>
          <w:sz w:val="24"/>
          <w:szCs w:val="24"/>
        </w:rPr>
        <w:t>y các NHTM</w:t>
      </w:r>
      <w:r w:rsidR="00444E58" w:rsidRPr="00444E58">
        <w:rPr>
          <w:rFonts w:ascii="Times New Roman" w:hAnsi="Times New Roman" w:cs="Times New Roman"/>
          <w:sz w:val="24"/>
          <w:szCs w:val="24"/>
        </w:rPr>
        <w:t xml:space="preserve"> ở Ghana được hưởng lợi nhuận cao mặc dù có rủi ro tín dụng cao, </w:t>
      </w:r>
      <w:r w:rsidR="00DA1584">
        <w:rPr>
          <w:rFonts w:ascii="Times New Roman" w:hAnsi="Times New Roman" w:cs="Times New Roman"/>
          <w:sz w:val="24"/>
          <w:szCs w:val="24"/>
        </w:rPr>
        <w:t xml:space="preserve">kết luận này </w:t>
      </w:r>
      <w:r w:rsidR="00444E58" w:rsidRPr="00444E58">
        <w:rPr>
          <w:rFonts w:ascii="Times New Roman" w:hAnsi="Times New Roman" w:cs="Times New Roman"/>
          <w:sz w:val="24"/>
          <w:szCs w:val="24"/>
        </w:rPr>
        <w:t xml:space="preserve">trái vớiquan điểm trong các nghiên cứu trước đây rằng các chỉ số rủi ro tín dụng có </w:t>
      </w:r>
      <w:r w:rsidR="008945F7">
        <w:rPr>
          <w:rFonts w:ascii="Times New Roman" w:hAnsi="Times New Roman" w:cs="Times New Roman"/>
          <w:sz w:val="24"/>
          <w:szCs w:val="24"/>
        </w:rPr>
        <w:t>tác động</w:t>
      </w:r>
      <w:r w:rsidR="00444E58" w:rsidRPr="00444E58">
        <w:rPr>
          <w:rFonts w:ascii="Times New Roman" w:hAnsi="Times New Roman" w:cs="Times New Roman"/>
          <w:sz w:val="24"/>
          <w:szCs w:val="24"/>
        </w:rPr>
        <w:t xml:space="preserve"> tiêu cực đến khả năng sinh lời</w:t>
      </w:r>
      <w:r w:rsidR="00444E58">
        <w:rPr>
          <w:rFonts w:ascii="Times New Roman" w:hAnsi="Times New Roman" w:cs="Times New Roman"/>
          <w:sz w:val="24"/>
          <w:szCs w:val="24"/>
        </w:rPr>
        <w:t xml:space="preserve">. </w:t>
      </w:r>
      <w:r w:rsidR="00DA1584">
        <w:rPr>
          <w:rFonts w:ascii="Times New Roman" w:hAnsi="Times New Roman" w:cs="Times New Roman"/>
          <w:sz w:val="24"/>
          <w:szCs w:val="24"/>
        </w:rPr>
        <w:t>Bên cạnh đó, các tiêu chí khác phản rủi ro tín dụng như tỷ lệ đòn bẩy tài chính, tốc độ tăng lợi nhuận thuần qua mỗi năm, quy mô của ngân hàng (được đo lường qua tổng tài sản), tác động</w:t>
      </w:r>
      <w:r w:rsidR="00F05F06" w:rsidRPr="00F05F06">
        <w:rPr>
          <w:rFonts w:ascii="Times New Roman" w:hAnsi="Times New Roman" w:cs="Times New Roman"/>
          <w:sz w:val="24"/>
          <w:szCs w:val="24"/>
        </w:rPr>
        <w:t xml:space="preserve"> </w:t>
      </w:r>
      <w:r w:rsidR="00F05F06" w:rsidRPr="00F05F06">
        <w:rPr>
          <w:rFonts w:ascii="Times New Roman" w:hAnsi="Times New Roman" w:cs="Times New Roman"/>
          <w:sz w:val="24"/>
          <w:szCs w:val="24"/>
        </w:rPr>
        <w:lastRenderedPageBreak/>
        <w:t>đến khả năng sinh lời của ngân hàng một cách tích cực và đáng kể.</w:t>
      </w:r>
    </w:p>
    <w:p w:rsidR="002757EF" w:rsidRDefault="002757EF" w:rsidP="005E6A85">
      <w:pPr>
        <w:spacing w:after="0" w:line="288"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Nghiên cứu của </w:t>
      </w:r>
      <w:r w:rsidRPr="002757EF">
        <w:rPr>
          <w:rFonts w:ascii="Times New Roman" w:hAnsi="Times New Roman" w:cs="Times New Roman"/>
          <w:sz w:val="24"/>
          <w:szCs w:val="24"/>
        </w:rPr>
        <w:t xml:space="preserve">Annor </w:t>
      </w:r>
      <w:r>
        <w:rPr>
          <w:rFonts w:ascii="Times New Roman" w:hAnsi="Times New Roman" w:cs="Times New Roman"/>
          <w:sz w:val="24"/>
          <w:szCs w:val="24"/>
        </w:rPr>
        <w:t>và</w:t>
      </w:r>
      <w:r w:rsidRPr="002757EF">
        <w:rPr>
          <w:rFonts w:ascii="Times New Roman" w:hAnsi="Times New Roman" w:cs="Times New Roman"/>
          <w:sz w:val="24"/>
          <w:szCs w:val="24"/>
        </w:rPr>
        <w:t xml:space="preserve"> Obeng</w:t>
      </w:r>
      <w:r>
        <w:rPr>
          <w:rFonts w:ascii="Times New Roman" w:hAnsi="Times New Roman" w:cs="Times New Roman"/>
          <w:sz w:val="24"/>
          <w:szCs w:val="24"/>
        </w:rPr>
        <w:t xml:space="preserve"> (2017)</w:t>
      </w:r>
      <w:r w:rsidR="0044005B">
        <w:rPr>
          <w:rFonts w:ascii="Times New Roman" w:hAnsi="Times New Roman" w:cs="Times New Roman"/>
          <w:sz w:val="24"/>
          <w:szCs w:val="24"/>
        </w:rPr>
        <w:t xml:space="preserve"> [</w:t>
      </w:r>
      <w:r w:rsidR="00226ADA">
        <w:rPr>
          <w:rFonts w:ascii="Times New Roman" w:hAnsi="Times New Roman" w:cs="Times New Roman"/>
          <w:sz w:val="24"/>
          <w:szCs w:val="24"/>
        </w:rPr>
        <w:t>9</w:t>
      </w:r>
      <w:r w:rsidR="0044005B">
        <w:rPr>
          <w:rFonts w:ascii="Times New Roman" w:hAnsi="Times New Roman" w:cs="Times New Roman"/>
          <w:sz w:val="24"/>
          <w:szCs w:val="24"/>
        </w:rPr>
        <w:t>]</w:t>
      </w:r>
      <w:r w:rsidR="00EE2A09">
        <w:rPr>
          <w:rFonts w:ascii="Times New Roman" w:hAnsi="Times New Roman" w:cs="Times New Roman"/>
          <w:sz w:val="24"/>
          <w:szCs w:val="24"/>
        </w:rPr>
        <w:t xml:space="preserve"> </w:t>
      </w:r>
      <w:r w:rsidRPr="002757EF">
        <w:rPr>
          <w:rFonts w:ascii="Times New Roman" w:hAnsi="Times New Roman" w:cs="Times New Roman"/>
          <w:sz w:val="24"/>
          <w:szCs w:val="24"/>
        </w:rPr>
        <w:t>đánh giá</w:t>
      </w:r>
      <w:r w:rsidR="00EE2A09">
        <w:rPr>
          <w:rFonts w:ascii="Times New Roman" w:hAnsi="Times New Roman" w:cs="Times New Roman"/>
          <w:sz w:val="24"/>
          <w:szCs w:val="24"/>
        </w:rPr>
        <w:t xml:space="preserve"> </w:t>
      </w:r>
      <w:r w:rsidRPr="002757EF">
        <w:rPr>
          <w:rFonts w:ascii="Times New Roman" w:hAnsi="Times New Roman" w:cs="Times New Roman"/>
          <w:sz w:val="24"/>
          <w:szCs w:val="24"/>
        </w:rPr>
        <w:t>tác động của quản lý rủi ro tín dụng đến khả năng sinh lời của 6 ngân hàng thương mại được lựa chọn trên</w:t>
      </w:r>
      <w:r w:rsidR="00EE2A09">
        <w:rPr>
          <w:rFonts w:ascii="Times New Roman" w:hAnsi="Times New Roman" w:cs="Times New Roman"/>
          <w:sz w:val="24"/>
          <w:szCs w:val="24"/>
        </w:rPr>
        <w:t xml:space="preserve"> </w:t>
      </w:r>
      <w:r w:rsidRPr="002757EF">
        <w:rPr>
          <w:rFonts w:ascii="Times New Roman" w:hAnsi="Times New Roman" w:cs="Times New Roman"/>
          <w:sz w:val="24"/>
          <w:szCs w:val="24"/>
        </w:rPr>
        <w:t>Sàn chứng khoán Ghana.</w:t>
      </w:r>
      <w:r w:rsidR="00EE2A09">
        <w:rPr>
          <w:rFonts w:ascii="Times New Roman" w:hAnsi="Times New Roman" w:cs="Times New Roman"/>
          <w:sz w:val="24"/>
          <w:szCs w:val="24"/>
        </w:rPr>
        <w:t xml:space="preserve"> </w:t>
      </w:r>
      <w:r w:rsidRPr="002757EF">
        <w:rPr>
          <w:rFonts w:ascii="Times New Roman" w:hAnsi="Times New Roman" w:cs="Times New Roman"/>
          <w:sz w:val="24"/>
          <w:szCs w:val="24"/>
        </w:rPr>
        <w:t xml:space="preserve">Nghiên cứu sử dụng </w:t>
      </w:r>
      <w:r w:rsidR="00D37EE3">
        <w:rPr>
          <w:rFonts w:ascii="Times New Roman" w:hAnsi="Times New Roman" w:cs="Times New Roman"/>
          <w:sz w:val="24"/>
          <w:szCs w:val="24"/>
        </w:rPr>
        <w:t>ROE</w:t>
      </w:r>
      <w:r w:rsidRPr="002757EF">
        <w:rPr>
          <w:rFonts w:ascii="Times New Roman" w:hAnsi="Times New Roman" w:cs="Times New Roman"/>
          <w:sz w:val="24"/>
          <w:szCs w:val="24"/>
        </w:rPr>
        <w:t xml:space="preserve"> để </w:t>
      </w:r>
      <w:r w:rsidRPr="00EA31C3">
        <w:rPr>
          <w:rFonts w:ascii="Times New Roman" w:hAnsi="Times New Roman" w:cs="Times New Roman"/>
          <w:sz w:val="24"/>
          <w:szCs w:val="24"/>
        </w:rPr>
        <w:t>đo lường khả năng sinh lời của ngân hàng,</w:t>
      </w:r>
      <w:r w:rsidR="00EE2A09">
        <w:rPr>
          <w:rFonts w:ascii="Times New Roman" w:hAnsi="Times New Roman" w:cs="Times New Roman"/>
          <w:sz w:val="24"/>
          <w:szCs w:val="24"/>
        </w:rPr>
        <w:t xml:space="preserve"> </w:t>
      </w:r>
      <w:r w:rsidR="000F7816" w:rsidRPr="00EA31C3">
        <w:rPr>
          <w:rFonts w:ascii="Times New Roman" w:hAnsi="Times New Roman" w:cs="Times New Roman"/>
          <w:sz w:val="24"/>
          <w:szCs w:val="24"/>
        </w:rPr>
        <w:t>NPL</w:t>
      </w:r>
      <w:r w:rsidRPr="00EA31C3">
        <w:rPr>
          <w:rFonts w:ascii="Times New Roman" w:hAnsi="Times New Roman" w:cs="Times New Roman"/>
          <w:sz w:val="24"/>
          <w:szCs w:val="24"/>
        </w:rPr>
        <w:t xml:space="preserve">, </w:t>
      </w:r>
      <w:r w:rsidR="00D37EE3" w:rsidRPr="00EA31C3">
        <w:rPr>
          <w:rFonts w:ascii="Times New Roman" w:hAnsi="Times New Roman" w:cs="Times New Roman"/>
          <w:sz w:val="24"/>
          <w:szCs w:val="24"/>
        </w:rPr>
        <w:t>LLPR</w:t>
      </w:r>
      <w:r w:rsidRPr="00EA31C3">
        <w:rPr>
          <w:rFonts w:ascii="Times New Roman" w:hAnsi="Times New Roman" w:cs="Times New Roman"/>
          <w:sz w:val="24"/>
          <w:szCs w:val="24"/>
        </w:rPr>
        <w:t>,</w:t>
      </w:r>
      <w:r w:rsidR="00EE2A09">
        <w:rPr>
          <w:rFonts w:ascii="Times New Roman" w:hAnsi="Times New Roman" w:cs="Times New Roman"/>
          <w:sz w:val="24"/>
          <w:szCs w:val="24"/>
        </w:rPr>
        <w:t xml:space="preserve"> </w:t>
      </w:r>
      <w:r w:rsidR="00D37EE3" w:rsidRPr="00EA31C3">
        <w:rPr>
          <w:rFonts w:ascii="Times New Roman" w:hAnsi="Times New Roman" w:cs="Times New Roman"/>
          <w:sz w:val="24"/>
          <w:szCs w:val="24"/>
        </w:rPr>
        <w:t xml:space="preserve">CAR </w:t>
      </w:r>
      <w:r w:rsidRPr="00EA31C3">
        <w:rPr>
          <w:rFonts w:ascii="Times New Roman" w:hAnsi="Times New Roman" w:cs="Times New Roman"/>
          <w:sz w:val="24"/>
          <w:szCs w:val="24"/>
        </w:rPr>
        <w:t xml:space="preserve">và </w:t>
      </w:r>
      <w:r w:rsidR="00D37EE3" w:rsidRPr="00EA31C3">
        <w:rPr>
          <w:rFonts w:ascii="Times New Roman" w:hAnsi="Times New Roman" w:cs="Times New Roman"/>
          <w:sz w:val="24"/>
          <w:szCs w:val="24"/>
        </w:rPr>
        <w:t>tỷ lệ cho vay so với tổng tài sản</w:t>
      </w:r>
      <w:r w:rsidR="00EE2A09">
        <w:rPr>
          <w:rFonts w:ascii="Times New Roman" w:hAnsi="Times New Roman" w:cs="Times New Roman"/>
          <w:sz w:val="24"/>
          <w:szCs w:val="24"/>
        </w:rPr>
        <w:t xml:space="preserve"> </w:t>
      </w:r>
      <w:r w:rsidRPr="00EA31C3">
        <w:rPr>
          <w:rFonts w:ascii="Times New Roman" w:hAnsi="Times New Roman" w:cs="Times New Roman"/>
          <w:sz w:val="24"/>
          <w:szCs w:val="24"/>
        </w:rPr>
        <w:t xml:space="preserve">là </w:t>
      </w:r>
      <w:r w:rsidR="00B06816" w:rsidRPr="00EA31C3">
        <w:rPr>
          <w:rFonts w:ascii="Times New Roman" w:hAnsi="Times New Roman" w:cs="Times New Roman"/>
          <w:sz w:val="24"/>
          <w:szCs w:val="24"/>
        </w:rPr>
        <w:t xml:space="preserve">nhóm các tiêu chí phản ánh </w:t>
      </w:r>
      <w:r w:rsidRPr="00EA31C3">
        <w:rPr>
          <w:rFonts w:ascii="Times New Roman" w:hAnsi="Times New Roman" w:cs="Times New Roman"/>
          <w:sz w:val="24"/>
          <w:szCs w:val="24"/>
        </w:rPr>
        <w:t xml:space="preserve">rủi ro tín dụng. </w:t>
      </w:r>
      <w:r w:rsidR="00B06816" w:rsidRPr="00EA31C3">
        <w:rPr>
          <w:rFonts w:ascii="Times New Roman" w:hAnsi="Times New Roman" w:cs="Times New Roman"/>
          <w:sz w:val="24"/>
          <w:szCs w:val="24"/>
        </w:rPr>
        <w:t>Kết quả nghiên cứu</w:t>
      </w:r>
      <w:r w:rsidRPr="00EA31C3">
        <w:rPr>
          <w:rFonts w:ascii="Times New Roman" w:hAnsi="Times New Roman" w:cs="Times New Roman"/>
          <w:sz w:val="24"/>
          <w:szCs w:val="24"/>
        </w:rPr>
        <w:t xml:space="preserve"> cho thấy rằng quản lý rủi ro</w:t>
      </w:r>
      <w:r w:rsidR="00EC17B7" w:rsidRPr="00EA31C3">
        <w:rPr>
          <w:rFonts w:ascii="Times New Roman" w:hAnsi="Times New Roman" w:cs="Times New Roman"/>
          <w:sz w:val="24"/>
          <w:szCs w:val="24"/>
        </w:rPr>
        <w:t xml:space="preserve"> tín dụng</w:t>
      </w:r>
      <w:r w:rsidRPr="00EA31C3">
        <w:rPr>
          <w:rFonts w:ascii="Times New Roman" w:hAnsi="Times New Roman" w:cs="Times New Roman"/>
          <w:sz w:val="24"/>
          <w:szCs w:val="24"/>
        </w:rPr>
        <w:t xml:space="preserve"> có mối quan hệ đáng kể với lợi nhuận của các ngân hàng</w:t>
      </w:r>
      <w:r w:rsidR="00C9329D" w:rsidRPr="00EA31C3">
        <w:rPr>
          <w:rFonts w:ascii="Times New Roman" w:hAnsi="Times New Roman" w:cs="Times New Roman"/>
          <w:sz w:val="24"/>
          <w:szCs w:val="24"/>
        </w:rPr>
        <w:t xml:space="preserve">, </w:t>
      </w:r>
      <w:r w:rsidR="00D37EE3" w:rsidRPr="00EA31C3">
        <w:rPr>
          <w:rFonts w:ascii="Times New Roman" w:hAnsi="Times New Roman" w:cs="Times New Roman"/>
          <w:sz w:val="24"/>
          <w:szCs w:val="24"/>
        </w:rPr>
        <w:t xml:space="preserve">CAR </w:t>
      </w:r>
      <w:r w:rsidRPr="00EA31C3">
        <w:rPr>
          <w:rFonts w:ascii="Times New Roman" w:hAnsi="Times New Roman" w:cs="Times New Roman"/>
          <w:sz w:val="24"/>
          <w:szCs w:val="24"/>
        </w:rPr>
        <w:t xml:space="preserve">có mối quan hệ tích cực với khả năng sinh lời của ngân hàng, </w:t>
      </w:r>
      <w:r w:rsidR="00D37EE3" w:rsidRPr="00EA31C3">
        <w:rPr>
          <w:rFonts w:ascii="Times New Roman" w:hAnsi="Times New Roman" w:cs="Times New Roman"/>
          <w:sz w:val="24"/>
          <w:szCs w:val="24"/>
        </w:rPr>
        <w:t xml:space="preserve">tỷ lệ dự phòng </w:t>
      </w:r>
      <w:r w:rsidR="00D37EE3">
        <w:rPr>
          <w:rFonts w:ascii="Times New Roman" w:hAnsi="Times New Roman" w:cs="Times New Roman"/>
          <w:sz w:val="24"/>
          <w:szCs w:val="24"/>
        </w:rPr>
        <w:t>rủi ro cho vay</w:t>
      </w:r>
      <w:r w:rsidR="00B06816">
        <w:rPr>
          <w:rFonts w:ascii="Times New Roman" w:hAnsi="Times New Roman" w:cs="Times New Roman"/>
          <w:sz w:val="24"/>
          <w:szCs w:val="24"/>
        </w:rPr>
        <w:t>,</w:t>
      </w:r>
      <w:r w:rsidR="00EE2A09">
        <w:rPr>
          <w:rFonts w:ascii="Times New Roman" w:hAnsi="Times New Roman" w:cs="Times New Roman"/>
          <w:sz w:val="24"/>
          <w:szCs w:val="24"/>
        </w:rPr>
        <w:t xml:space="preserve"> </w:t>
      </w:r>
      <w:r w:rsidR="00B06816">
        <w:rPr>
          <w:rFonts w:ascii="Times New Roman" w:hAnsi="Times New Roman" w:cs="Times New Roman"/>
          <w:sz w:val="24"/>
          <w:szCs w:val="24"/>
        </w:rPr>
        <w:t>tỷ lệ cho vay so với tổng</w:t>
      </w:r>
      <w:r w:rsidR="00EE2A09">
        <w:rPr>
          <w:rFonts w:ascii="Times New Roman" w:hAnsi="Times New Roman" w:cs="Times New Roman"/>
          <w:sz w:val="24"/>
          <w:szCs w:val="24"/>
        </w:rPr>
        <w:t xml:space="preserve"> </w:t>
      </w:r>
      <w:r w:rsidRPr="002757EF">
        <w:rPr>
          <w:rFonts w:ascii="Times New Roman" w:hAnsi="Times New Roman" w:cs="Times New Roman"/>
          <w:sz w:val="24"/>
          <w:szCs w:val="24"/>
        </w:rPr>
        <w:t>tài sản cho thấy mối quan hệ tiêu cực có ý nghĩa thống kê với khả năng sinh lời</w:t>
      </w:r>
      <w:r w:rsidR="00EE2A09">
        <w:rPr>
          <w:rFonts w:ascii="Times New Roman" w:hAnsi="Times New Roman" w:cs="Times New Roman"/>
          <w:sz w:val="24"/>
          <w:szCs w:val="24"/>
        </w:rPr>
        <w:t xml:space="preserve"> </w:t>
      </w:r>
      <w:r w:rsidRPr="002757EF">
        <w:rPr>
          <w:rFonts w:ascii="Times New Roman" w:hAnsi="Times New Roman" w:cs="Times New Roman"/>
          <w:sz w:val="24"/>
          <w:szCs w:val="24"/>
        </w:rPr>
        <w:t>của ngân hàng. Nghiên cứu khuyến cáo rằng các ngân hàng nên đánh giá và quản lý các chỉ số rủi ro tín dụng</w:t>
      </w:r>
      <w:r w:rsidR="00EE2A09">
        <w:rPr>
          <w:rFonts w:ascii="Times New Roman" w:hAnsi="Times New Roman" w:cs="Times New Roman"/>
          <w:sz w:val="24"/>
          <w:szCs w:val="24"/>
        </w:rPr>
        <w:t xml:space="preserve"> </w:t>
      </w:r>
      <w:r w:rsidRPr="002757EF">
        <w:rPr>
          <w:rFonts w:ascii="Times New Roman" w:hAnsi="Times New Roman" w:cs="Times New Roman"/>
          <w:sz w:val="24"/>
          <w:szCs w:val="24"/>
        </w:rPr>
        <w:t>để giảm tiếp xúc với những rủi ro này</w:t>
      </w:r>
      <w:r w:rsidR="00EC17B7">
        <w:rPr>
          <w:rFonts w:ascii="Times New Roman" w:hAnsi="Times New Roman" w:cs="Times New Roman"/>
          <w:sz w:val="24"/>
          <w:szCs w:val="24"/>
        </w:rPr>
        <w:t xml:space="preserve">. </w:t>
      </w:r>
      <w:r w:rsidR="000F7816" w:rsidRPr="000F7816">
        <w:rPr>
          <w:rFonts w:ascii="Times New Roman" w:hAnsi="Times New Roman" w:cs="Times New Roman"/>
          <w:sz w:val="24"/>
          <w:szCs w:val="24"/>
        </w:rPr>
        <w:t>Nyarko-Baasi</w:t>
      </w:r>
      <w:r w:rsidR="000F7816">
        <w:rPr>
          <w:rFonts w:ascii="Times New Roman" w:hAnsi="Times New Roman" w:cs="Times New Roman"/>
          <w:sz w:val="24"/>
          <w:szCs w:val="24"/>
        </w:rPr>
        <w:t xml:space="preserve"> (2018)</w:t>
      </w:r>
      <w:r w:rsidR="007B158C">
        <w:rPr>
          <w:rFonts w:ascii="Times New Roman" w:hAnsi="Times New Roman" w:cs="Times New Roman"/>
          <w:sz w:val="24"/>
          <w:szCs w:val="24"/>
        </w:rPr>
        <w:t xml:space="preserve"> [</w:t>
      </w:r>
      <w:r w:rsidR="00226ADA">
        <w:rPr>
          <w:rFonts w:ascii="Times New Roman" w:hAnsi="Times New Roman" w:cs="Times New Roman"/>
          <w:sz w:val="24"/>
          <w:szCs w:val="24"/>
        </w:rPr>
        <w:t>13</w:t>
      </w:r>
      <w:r w:rsidR="007B158C">
        <w:rPr>
          <w:rFonts w:ascii="Times New Roman" w:hAnsi="Times New Roman" w:cs="Times New Roman"/>
          <w:sz w:val="24"/>
          <w:szCs w:val="24"/>
        </w:rPr>
        <w:t>]</w:t>
      </w:r>
      <w:r w:rsidR="000F7816">
        <w:rPr>
          <w:rFonts w:ascii="Times New Roman" w:hAnsi="Times New Roman" w:cs="Times New Roman"/>
          <w:sz w:val="24"/>
          <w:szCs w:val="24"/>
        </w:rPr>
        <w:t xml:space="preserve"> nghiên cứu về ảnh hưởng của </w:t>
      </w:r>
      <w:r w:rsidR="00C858C7">
        <w:rPr>
          <w:rFonts w:ascii="Times New Roman" w:hAnsi="Times New Roman" w:cs="Times New Roman"/>
          <w:sz w:val="24"/>
          <w:szCs w:val="24"/>
        </w:rPr>
        <w:t>rủi ro tín dụng</w:t>
      </w:r>
      <w:r w:rsidR="000F7816">
        <w:rPr>
          <w:rFonts w:ascii="Times New Roman" w:hAnsi="Times New Roman" w:cs="Times New Roman"/>
          <w:sz w:val="24"/>
          <w:szCs w:val="24"/>
        </w:rPr>
        <w:t xml:space="preserve"> đến khả năng sinh lời các NHTM trên sàn chứng khoán </w:t>
      </w:r>
      <w:r w:rsidR="000F7816" w:rsidRPr="002757EF">
        <w:rPr>
          <w:rFonts w:ascii="Times New Roman" w:hAnsi="Times New Roman" w:cs="Times New Roman"/>
          <w:sz w:val="24"/>
          <w:szCs w:val="24"/>
        </w:rPr>
        <w:t>Ghana</w:t>
      </w:r>
      <w:r w:rsidR="000F7816">
        <w:rPr>
          <w:rFonts w:ascii="Times New Roman" w:hAnsi="Times New Roman" w:cs="Times New Roman"/>
          <w:sz w:val="24"/>
          <w:szCs w:val="24"/>
        </w:rPr>
        <w:t xml:space="preserve">. Nghiên cứu </w:t>
      </w:r>
      <w:r w:rsidR="00C858C7">
        <w:rPr>
          <w:rFonts w:ascii="Times New Roman" w:hAnsi="Times New Roman" w:cs="Times New Roman"/>
          <w:sz w:val="24"/>
          <w:szCs w:val="24"/>
        </w:rPr>
        <w:t>sử dụng phương pháp hồi quy dữ liệu bảng với khoảng thời gian 10 năm (2006-2015)</w:t>
      </w:r>
      <w:r w:rsidR="00EE2A09">
        <w:rPr>
          <w:rFonts w:ascii="Times New Roman" w:hAnsi="Times New Roman" w:cs="Times New Roman"/>
          <w:sz w:val="24"/>
          <w:szCs w:val="24"/>
        </w:rPr>
        <w:t xml:space="preserve"> </w:t>
      </w:r>
      <w:r w:rsidR="00C858C7">
        <w:rPr>
          <w:rFonts w:ascii="Times New Roman" w:hAnsi="Times New Roman" w:cs="Times New Roman"/>
          <w:sz w:val="24"/>
          <w:szCs w:val="24"/>
        </w:rPr>
        <w:t xml:space="preserve">với biến phụ thuộc là </w:t>
      </w:r>
      <w:r w:rsidR="000F7816">
        <w:rPr>
          <w:rFonts w:ascii="Times New Roman" w:hAnsi="Times New Roman" w:cs="Times New Roman"/>
          <w:sz w:val="24"/>
          <w:szCs w:val="24"/>
        </w:rPr>
        <w:t xml:space="preserve">ROE, </w:t>
      </w:r>
      <w:r w:rsidR="00D37EE3">
        <w:rPr>
          <w:rFonts w:ascii="Times New Roman" w:hAnsi="Times New Roman" w:cs="Times New Roman"/>
          <w:sz w:val="24"/>
          <w:szCs w:val="24"/>
        </w:rPr>
        <w:t>4</w:t>
      </w:r>
      <w:r w:rsidR="000F7816">
        <w:rPr>
          <w:rFonts w:ascii="Times New Roman" w:hAnsi="Times New Roman" w:cs="Times New Roman"/>
          <w:sz w:val="24"/>
          <w:szCs w:val="24"/>
        </w:rPr>
        <w:t xml:space="preserve"> biến độc lập gồ</w:t>
      </w:r>
      <w:r w:rsidR="00D37EE3">
        <w:rPr>
          <w:rFonts w:ascii="Times New Roman" w:hAnsi="Times New Roman" w:cs="Times New Roman"/>
          <w:sz w:val="24"/>
          <w:szCs w:val="24"/>
        </w:rPr>
        <w:t xml:space="preserve">m NPL, CAR, quy mô của ngân hàng, tỷ lệ lạm phát, trong đó tác giả xác định hai biến chính phản ánh rủi ro tín dụng là NPL và CAR. Kết quả nghiên cứu chỉ ra rằng </w:t>
      </w:r>
      <w:r w:rsidR="00C858C7">
        <w:rPr>
          <w:rFonts w:ascii="Times New Roman" w:hAnsi="Times New Roman" w:cs="Times New Roman"/>
          <w:sz w:val="24"/>
          <w:szCs w:val="24"/>
        </w:rPr>
        <w:t xml:space="preserve">NPL ảnh hưởng tiêu cực và CAR ảnh hưởng tích cực đến khả năng sinh lời của các NHTM trên sàn chứng khoán </w:t>
      </w:r>
      <w:r w:rsidR="00C858C7" w:rsidRPr="002757EF">
        <w:rPr>
          <w:rFonts w:ascii="Times New Roman" w:hAnsi="Times New Roman" w:cs="Times New Roman"/>
          <w:sz w:val="24"/>
          <w:szCs w:val="24"/>
        </w:rPr>
        <w:t>Ghana</w:t>
      </w:r>
      <w:r w:rsidR="00C858C7">
        <w:rPr>
          <w:rFonts w:ascii="Times New Roman" w:hAnsi="Times New Roman" w:cs="Times New Roman"/>
          <w:sz w:val="24"/>
          <w:szCs w:val="24"/>
        </w:rPr>
        <w:t>.</w:t>
      </w:r>
    </w:p>
    <w:p w:rsidR="007D5CC0" w:rsidRDefault="00F72124" w:rsidP="00A604C2">
      <w:pPr>
        <w:spacing w:after="0" w:line="288" w:lineRule="auto"/>
        <w:ind w:firstLine="567"/>
        <w:jc w:val="both"/>
        <w:rPr>
          <w:rFonts w:ascii="Times New Roman" w:hAnsi="Times New Roman" w:cs="Times New Roman"/>
          <w:sz w:val="24"/>
          <w:szCs w:val="24"/>
        </w:rPr>
      </w:pPr>
      <w:r w:rsidRPr="00DA1584">
        <w:rPr>
          <w:rFonts w:ascii="Times New Roman" w:hAnsi="Times New Roman" w:cs="Times New Roman"/>
          <w:sz w:val="24"/>
          <w:szCs w:val="24"/>
        </w:rPr>
        <w:t>Nghiên cứu</w:t>
      </w:r>
      <w:r w:rsidR="00595174" w:rsidRPr="00DA1584">
        <w:rPr>
          <w:rFonts w:ascii="Times New Roman" w:hAnsi="Times New Roman" w:cs="Times New Roman"/>
          <w:sz w:val="24"/>
          <w:szCs w:val="24"/>
        </w:rPr>
        <w:t xml:space="preserve"> của</w:t>
      </w:r>
      <w:r w:rsidR="00EE2A09">
        <w:rPr>
          <w:rFonts w:ascii="Times New Roman" w:hAnsi="Times New Roman" w:cs="Times New Roman"/>
          <w:sz w:val="24"/>
          <w:szCs w:val="24"/>
        </w:rPr>
        <w:t xml:space="preserve"> </w:t>
      </w:r>
      <w:r w:rsidRPr="00C9329D">
        <w:rPr>
          <w:rFonts w:ascii="Times New Roman" w:hAnsi="Times New Roman" w:cs="Times New Roman"/>
          <w:sz w:val="24"/>
          <w:szCs w:val="24"/>
        </w:rPr>
        <w:t>Sheeba</w:t>
      </w:r>
      <w:r w:rsidRPr="00DA1584">
        <w:rPr>
          <w:rFonts w:ascii="Times New Roman" w:hAnsi="Times New Roman" w:cs="Times New Roman"/>
          <w:sz w:val="24"/>
          <w:szCs w:val="24"/>
        </w:rPr>
        <w:t xml:space="preserve"> (2017)</w:t>
      </w:r>
      <w:r w:rsidR="00E95045">
        <w:rPr>
          <w:rFonts w:ascii="Times New Roman" w:hAnsi="Times New Roman" w:cs="Times New Roman"/>
          <w:sz w:val="24"/>
          <w:szCs w:val="24"/>
        </w:rPr>
        <w:t>[1</w:t>
      </w:r>
      <w:r w:rsidR="00226ADA">
        <w:rPr>
          <w:rFonts w:ascii="Times New Roman" w:hAnsi="Times New Roman" w:cs="Times New Roman"/>
          <w:sz w:val="24"/>
          <w:szCs w:val="24"/>
        </w:rPr>
        <w:t>2</w:t>
      </w:r>
      <w:r w:rsidR="00E95045">
        <w:rPr>
          <w:rFonts w:ascii="Times New Roman" w:hAnsi="Times New Roman" w:cs="Times New Roman"/>
          <w:sz w:val="24"/>
          <w:szCs w:val="24"/>
        </w:rPr>
        <w:t xml:space="preserve">] </w:t>
      </w:r>
      <w:r w:rsidRPr="00DA1584">
        <w:rPr>
          <w:rFonts w:ascii="Times New Roman" w:hAnsi="Times New Roman" w:cs="Times New Roman"/>
          <w:sz w:val="24"/>
          <w:szCs w:val="24"/>
        </w:rPr>
        <w:t xml:space="preserve">đánh giá </w:t>
      </w:r>
      <w:r w:rsidR="000D3414" w:rsidRPr="00DA1584">
        <w:rPr>
          <w:rFonts w:ascii="Times New Roman" w:hAnsi="Times New Roman" w:cs="Times New Roman"/>
          <w:sz w:val="24"/>
          <w:szCs w:val="24"/>
        </w:rPr>
        <w:t xml:space="preserve">tác động của rủi ro tín dụng đối </w:t>
      </w:r>
      <w:r w:rsidR="000D3414" w:rsidRPr="00DA1584">
        <w:rPr>
          <w:rFonts w:ascii="Times New Roman" w:hAnsi="Times New Roman" w:cs="Times New Roman"/>
          <w:sz w:val="24"/>
          <w:szCs w:val="24"/>
        </w:rPr>
        <w:lastRenderedPageBreak/>
        <w:t xml:space="preserve">với khả năng sinh lời của </w:t>
      </w:r>
      <w:r w:rsidR="007D5CC0" w:rsidRPr="00DA1584">
        <w:rPr>
          <w:rFonts w:ascii="Times New Roman" w:hAnsi="Times New Roman" w:cs="Times New Roman"/>
          <w:sz w:val="24"/>
          <w:szCs w:val="24"/>
        </w:rPr>
        <w:t xml:space="preserve">các </w:t>
      </w:r>
      <w:r w:rsidR="000D3414" w:rsidRPr="00DA1584">
        <w:rPr>
          <w:rFonts w:ascii="Times New Roman" w:hAnsi="Times New Roman" w:cs="Times New Roman"/>
          <w:sz w:val="24"/>
          <w:szCs w:val="24"/>
        </w:rPr>
        <w:t>ngân hàng</w:t>
      </w:r>
      <w:r w:rsidR="007D5CC0" w:rsidRPr="00DA1584">
        <w:rPr>
          <w:rFonts w:ascii="Times New Roman" w:hAnsi="Times New Roman" w:cs="Times New Roman"/>
          <w:sz w:val="24"/>
          <w:szCs w:val="24"/>
        </w:rPr>
        <w:t xml:space="preserve"> thương mại Ấn Độ trong khoảng thời gian 20 năm (1997-2016)</w:t>
      </w:r>
      <w:r w:rsidR="000D3414" w:rsidRPr="00DA1584">
        <w:rPr>
          <w:rFonts w:ascii="Times New Roman" w:hAnsi="Times New Roman" w:cs="Times New Roman"/>
          <w:sz w:val="24"/>
          <w:szCs w:val="24"/>
        </w:rPr>
        <w:t>.</w:t>
      </w:r>
      <w:r w:rsidR="00EE2A09">
        <w:rPr>
          <w:rFonts w:ascii="Times New Roman" w:hAnsi="Times New Roman" w:cs="Times New Roman"/>
          <w:sz w:val="24"/>
          <w:szCs w:val="24"/>
        </w:rPr>
        <w:t xml:space="preserve"> </w:t>
      </w:r>
      <w:r w:rsidR="00595174" w:rsidRPr="00DA1584">
        <w:rPr>
          <w:rFonts w:ascii="Times New Roman" w:hAnsi="Times New Roman" w:cs="Times New Roman"/>
          <w:sz w:val="24"/>
          <w:szCs w:val="24"/>
        </w:rPr>
        <w:t>Tác giả xác định</w:t>
      </w:r>
      <w:r w:rsidR="000D3414" w:rsidRPr="00DA1584">
        <w:rPr>
          <w:rFonts w:ascii="Times New Roman" w:hAnsi="Times New Roman" w:cs="Times New Roman"/>
          <w:sz w:val="24"/>
          <w:szCs w:val="24"/>
        </w:rPr>
        <w:t xml:space="preserve"> các yếu tố </w:t>
      </w:r>
      <w:r w:rsidR="00595174" w:rsidRPr="00DA1584">
        <w:rPr>
          <w:rFonts w:ascii="Times New Roman" w:hAnsi="Times New Roman" w:cs="Times New Roman"/>
          <w:sz w:val="24"/>
          <w:szCs w:val="24"/>
        </w:rPr>
        <w:t>phản ánh</w:t>
      </w:r>
      <w:r w:rsidR="000D3414" w:rsidRPr="00DA1584">
        <w:rPr>
          <w:rFonts w:ascii="Times New Roman" w:hAnsi="Times New Roman" w:cs="Times New Roman"/>
          <w:sz w:val="24"/>
          <w:szCs w:val="24"/>
        </w:rPr>
        <w:t xml:space="preserve"> rủi ro tín dụng </w:t>
      </w:r>
      <w:r w:rsidR="00595174" w:rsidRPr="00DA1584">
        <w:rPr>
          <w:rFonts w:ascii="Times New Roman" w:hAnsi="Times New Roman" w:cs="Times New Roman"/>
          <w:sz w:val="24"/>
          <w:szCs w:val="24"/>
        </w:rPr>
        <w:t>gồm</w:t>
      </w:r>
      <w:r w:rsidR="000D3414" w:rsidRPr="00DA1584">
        <w:rPr>
          <w:rFonts w:ascii="Times New Roman" w:hAnsi="Times New Roman" w:cs="Times New Roman"/>
          <w:sz w:val="24"/>
          <w:szCs w:val="24"/>
        </w:rPr>
        <w:t xml:space="preserve"> tỷ lệ an toàn vốn</w:t>
      </w:r>
      <w:r w:rsidR="00595174" w:rsidRPr="00DA1584">
        <w:rPr>
          <w:rFonts w:ascii="Times New Roman" w:hAnsi="Times New Roman" w:cs="Times New Roman"/>
          <w:sz w:val="24"/>
          <w:szCs w:val="24"/>
        </w:rPr>
        <w:t xml:space="preserve"> tối thiểu</w:t>
      </w:r>
      <w:r w:rsidR="000D3414" w:rsidRPr="00DA1584">
        <w:rPr>
          <w:rFonts w:ascii="Times New Roman" w:hAnsi="Times New Roman" w:cs="Times New Roman"/>
          <w:sz w:val="24"/>
          <w:szCs w:val="24"/>
        </w:rPr>
        <w:t xml:space="preserve">, </w:t>
      </w:r>
      <w:r w:rsidR="00595174" w:rsidRPr="00DA1584">
        <w:rPr>
          <w:rFonts w:ascii="Times New Roman" w:hAnsi="Times New Roman" w:cs="Times New Roman"/>
          <w:sz w:val="24"/>
          <w:szCs w:val="24"/>
        </w:rPr>
        <w:t>tỷ lệ tài sản không sinh lời so với dư nợ</w:t>
      </w:r>
      <w:r w:rsidR="000D3414" w:rsidRPr="00DA1584">
        <w:rPr>
          <w:rFonts w:ascii="Times New Roman" w:hAnsi="Times New Roman" w:cs="Times New Roman"/>
          <w:sz w:val="24"/>
          <w:szCs w:val="24"/>
        </w:rPr>
        <w:t>,</w:t>
      </w:r>
      <w:r w:rsidR="00595174" w:rsidRPr="00DA1584">
        <w:rPr>
          <w:rFonts w:ascii="Times New Roman" w:hAnsi="Times New Roman" w:cs="Times New Roman"/>
          <w:sz w:val="24"/>
          <w:szCs w:val="24"/>
        </w:rPr>
        <w:t xml:space="preserve"> tỷ lệ cho vay khách hàng so với tổng tiền gửi</w:t>
      </w:r>
      <w:r w:rsidR="000D3414" w:rsidRPr="00DA1584">
        <w:rPr>
          <w:rFonts w:ascii="Times New Roman" w:hAnsi="Times New Roman" w:cs="Times New Roman"/>
          <w:sz w:val="24"/>
          <w:szCs w:val="24"/>
        </w:rPr>
        <w:t xml:space="preserve">, </w:t>
      </w:r>
      <w:r w:rsidR="00595174" w:rsidRPr="00DA1584">
        <w:rPr>
          <w:rFonts w:ascii="Times New Roman" w:hAnsi="Times New Roman" w:cs="Times New Roman"/>
          <w:sz w:val="24"/>
          <w:szCs w:val="24"/>
        </w:rPr>
        <w:t>tỷ lệ chi phí hoạt động so với tổng dư nợ</w:t>
      </w:r>
      <w:r w:rsidR="000D3414" w:rsidRPr="00DA1584">
        <w:rPr>
          <w:rFonts w:ascii="Times New Roman" w:hAnsi="Times New Roman" w:cs="Times New Roman"/>
          <w:sz w:val="24"/>
          <w:szCs w:val="24"/>
        </w:rPr>
        <w:t xml:space="preserve">, </w:t>
      </w:r>
      <w:r w:rsidR="00595174" w:rsidRPr="00DA1584">
        <w:rPr>
          <w:rFonts w:ascii="Times New Roman" w:hAnsi="Times New Roman" w:cs="Times New Roman"/>
          <w:sz w:val="24"/>
          <w:szCs w:val="24"/>
        </w:rPr>
        <w:t xml:space="preserve">tỷ lệ dự phòng rủi ro </w:t>
      </w:r>
      <w:r w:rsidR="00C26F85">
        <w:rPr>
          <w:rFonts w:ascii="Times New Roman" w:hAnsi="Times New Roman" w:cs="Times New Roman"/>
          <w:sz w:val="24"/>
          <w:szCs w:val="24"/>
        </w:rPr>
        <w:t>cho vay</w:t>
      </w:r>
      <w:r w:rsidR="00595174" w:rsidRPr="00DA1584">
        <w:rPr>
          <w:rFonts w:ascii="Times New Roman" w:hAnsi="Times New Roman" w:cs="Times New Roman"/>
          <w:sz w:val="24"/>
          <w:szCs w:val="24"/>
        </w:rPr>
        <w:t xml:space="preserve"> so với tổng tài sản không sinh lời</w:t>
      </w:r>
      <w:r w:rsidR="000D3414" w:rsidRPr="00DA1584">
        <w:rPr>
          <w:rFonts w:ascii="Times New Roman" w:hAnsi="Times New Roman" w:cs="Times New Roman"/>
          <w:sz w:val="24"/>
          <w:szCs w:val="24"/>
        </w:rPr>
        <w:t xml:space="preserve"> , </w:t>
      </w:r>
      <w:r w:rsidR="00595174" w:rsidRPr="00DA1584">
        <w:rPr>
          <w:rFonts w:ascii="Times New Roman" w:hAnsi="Times New Roman" w:cs="Times New Roman"/>
          <w:sz w:val="24"/>
          <w:szCs w:val="24"/>
        </w:rPr>
        <w:t>tỷ</w:t>
      </w:r>
      <w:r w:rsidR="000D3414" w:rsidRPr="00DA1584">
        <w:rPr>
          <w:rFonts w:ascii="Times New Roman" w:hAnsi="Times New Roman" w:cs="Times New Roman"/>
          <w:sz w:val="24"/>
          <w:szCs w:val="24"/>
        </w:rPr>
        <w:t xml:space="preserve"> lệ đòn bẩ</w:t>
      </w:r>
      <w:r w:rsidR="00595174" w:rsidRPr="00DA1584">
        <w:rPr>
          <w:rFonts w:ascii="Times New Roman" w:hAnsi="Times New Roman" w:cs="Times New Roman"/>
          <w:sz w:val="24"/>
          <w:szCs w:val="24"/>
        </w:rPr>
        <w:t>y tài chính</w:t>
      </w:r>
      <w:r w:rsidR="000D3414" w:rsidRPr="00DA1584">
        <w:rPr>
          <w:rFonts w:ascii="Times New Roman" w:hAnsi="Times New Roman" w:cs="Times New Roman"/>
          <w:sz w:val="24"/>
          <w:szCs w:val="24"/>
        </w:rPr>
        <w:t xml:space="preserve"> và</w:t>
      </w:r>
      <w:r w:rsidR="00595174" w:rsidRPr="00DA1584">
        <w:rPr>
          <w:rFonts w:ascii="Times New Roman" w:hAnsi="Times New Roman" w:cs="Times New Roman"/>
          <w:sz w:val="24"/>
          <w:szCs w:val="24"/>
        </w:rPr>
        <w:t xml:space="preserve"> tỷ lệ tài sản không sinh lời so với tổng tài sản</w:t>
      </w:r>
      <w:r w:rsidR="000D3414" w:rsidRPr="00DA1584">
        <w:rPr>
          <w:rFonts w:ascii="Times New Roman" w:hAnsi="Times New Roman" w:cs="Times New Roman"/>
          <w:sz w:val="24"/>
          <w:szCs w:val="24"/>
        </w:rPr>
        <w:t>. Lợi nhuận trên vốn chủ sở hữu (ROE) được xác định là chỉ số</w:t>
      </w:r>
      <w:r w:rsidR="00595174" w:rsidRPr="00DA1584">
        <w:rPr>
          <w:rFonts w:ascii="Times New Roman" w:hAnsi="Times New Roman" w:cs="Times New Roman"/>
          <w:sz w:val="24"/>
          <w:szCs w:val="24"/>
        </w:rPr>
        <w:t xml:space="preserve"> phản ánh khả năng</w:t>
      </w:r>
      <w:r w:rsidR="000D3414" w:rsidRPr="00DA1584">
        <w:rPr>
          <w:rFonts w:ascii="Times New Roman" w:hAnsi="Times New Roman" w:cs="Times New Roman"/>
          <w:sz w:val="24"/>
          <w:szCs w:val="24"/>
        </w:rPr>
        <w:t xml:space="preserve"> sinh lờ</w:t>
      </w:r>
      <w:r w:rsidR="007D5CC0" w:rsidRPr="00DA1584">
        <w:rPr>
          <w:rFonts w:ascii="Times New Roman" w:hAnsi="Times New Roman" w:cs="Times New Roman"/>
          <w:sz w:val="24"/>
          <w:szCs w:val="24"/>
        </w:rPr>
        <w:t>i</w:t>
      </w:r>
      <w:r w:rsidR="000D3414" w:rsidRPr="00DA1584">
        <w:rPr>
          <w:rFonts w:ascii="Times New Roman" w:hAnsi="Times New Roman" w:cs="Times New Roman"/>
          <w:sz w:val="24"/>
          <w:szCs w:val="24"/>
        </w:rPr>
        <w:t xml:space="preserve">. Kết quả cho thấy chỉ </w:t>
      </w:r>
      <w:r w:rsidR="007D5CC0" w:rsidRPr="00DA1584">
        <w:rPr>
          <w:rFonts w:ascii="Times New Roman" w:hAnsi="Times New Roman" w:cs="Times New Roman"/>
          <w:sz w:val="24"/>
          <w:szCs w:val="24"/>
        </w:rPr>
        <w:t>tiêu tài sản không sinh lời so với tổng tài sản</w:t>
      </w:r>
      <w:r w:rsidR="000D3414" w:rsidRPr="00DA1584">
        <w:rPr>
          <w:rFonts w:ascii="Times New Roman" w:hAnsi="Times New Roman" w:cs="Times New Roman"/>
          <w:sz w:val="24"/>
          <w:szCs w:val="24"/>
        </w:rPr>
        <w:t xml:space="preserve"> có tác động tiêu cực đáng kể đến ROE và các chỉ số khác về rủi ro tín dụng không có tác động đáng kể đế</w:t>
      </w:r>
      <w:r w:rsidR="007D5CC0" w:rsidRPr="00DA1584">
        <w:rPr>
          <w:rFonts w:ascii="Times New Roman" w:hAnsi="Times New Roman" w:cs="Times New Roman"/>
          <w:sz w:val="24"/>
          <w:szCs w:val="24"/>
        </w:rPr>
        <w:t xml:space="preserve">n ROE, nhưng </w:t>
      </w:r>
      <w:r w:rsidR="000D3414" w:rsidRPr="00DA1584">
        <w:rPr>
          <w:rFonts w:ascii="Times New Roman" w:hAnsi="Times New Roman" w:cs="Times New Roman"/>
          <w:sz w:val="24"/>
          <w:szCs w:val="24"/>
        </w:rPr>
        <w:t>rủi ro tín dụng tổng thể có tác động đáng kể đến lợi nhuận của Ngân hàng Nhà nước Ấn Độ</w:t>
      </w:r>
      <w:r w:rsidR="008E4954">
        <w:rPr>
          <w:rFonts w:ascii="Times New Roman" w:hAnsi="Times New Roman" w:cs="Times New Roman"/>
          <w:sz w:val="24"/>
          <w:szCs w:val="24"/>
        </w:rPr>
        <w:t>.</w:t>
      </w:r>
    </w:p>
    <w:p w:rsidR="00021AC3" w:rsidRDefault="00021AC3" w:rsidP="00A604C2">
      <w:pPr>
        <w:spacing w:after="0" w:line="288"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Đa số các nghiên cứu </w:t>
      </w:r>
      <w:r w:rsidR="00C26F85">
        <w:rPr>
          <w:rFonts w:ascii="Times New Roman" w:hAnsi="Times New Roman" w:cs="Times New Roman"/>
          <w:sz w:val="24"/>
          <w:szCs w:val="24"/>
        </w:rPr>
        <w:t xml:space="preserve">trên </w:t>
      </w:r>
      <w:r>
        <w:rPr>
          <w:rFonts w:ascii="Times New Roman" w:hAnsi="Times New Roman" w:cs="Times New Roman"/>
          <w:sz w:val="24"/>
          <w:szCs w:val="24"/>
        </w:rPr>
        <w:t>chỉ ra rằng các tiêu chí về</w:t>
      </w:r>
      <w:r w:rsidR="00C26F85">
        <w:rPr>
          <w:rFonts w:ascii="Times New Roman" w:hAnsi="Times New Roman" w:cs="Times New Roman"/>
          <w:sz w:val="24"/>
          <w:szCs w:val="24"/>
        </w:rPr>
        <w:t xml:space="preserve"> tỷ lệ</w:t>
      </w:r>
      <w:r>
        <w:rPr>
          <w:rFonts w:ascii="Times New Roman" w:hAnsi="Times New Roman" w:cs="Times New Roman"/>
          <w:sz w:val="24"/>
          <w:szCs w:val="24"/>
        </w:rPr>
        <w:t xml:space="preserve"> nợ xấu có tác động tiêu cực đến khả năng sinh lời của NHTM. </w:t>
      </w:r>
      <w:r w:rsidR="00C26F85">
        <w:rPr>
          <w:rFonts w:ascii="Times New Roman" w:hAnsi="Times New Roman" w:cs="Times New Roman"/>
          <w:sz w:val="24"/>
          <w:szCs w:val="24"/>
        </w:rPr>
        <w:t xml:space="preserve">Mỗi nghiên cứu khác nhau thiết lập các biến rủi ro tín dụng khác nhau, theo đó, các tiêu chí chính phản ánh rủi ro tín dụng thường bao gồm tỷ lệ nợ xấu, tỷ lệ an toàn vốn tối thiểu, tỷ lệ dự phòng rủi ro cho vay. </w:t>
      </w:r>
    </w:p>
    <w:p w:rsidR="003A42BB" w:rsidRDefault="00F74A30" w:rsidP="00906771">
      <w:pPr>
        <w:spacing w:after="0" w:line="288"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Tại Việt Nam có nhiều nghiên cứu </w:t>
      </w:r>
      <w:r w:rsidR="00263963">
        <w:rPr>
          <w:rFonts w:ascii="Times New Roman" w:hAnsi="Times New Roman" w:cs="Times New Roman"/>
          <w:sz w:val="24"/>
          <w:szCs w:val="24"/>
        </w:rPr>
        <w:t xml:space="preserve">về hiệu quả </w:t>
      </w:r>
      <w:r w:rsidR="00021AC3">
        <w:rPr>
          <w:rFonts w:ascii="Times New Roman" w:hAnsi="Times New Roman" w:cs="Times New Roman"/>
          <w:sz w:val="24"/>
          <w:szCs w:val="24"/>
        </w:rPr>
        <w:t>hoạt động</w:t>
      </w:r>
      <w:r w:rsidR="00263963">
        <w:rPr>
          <w:rFonts w:ascii="Times New Roman" w:hAnsi="Times New Roman" w:cs="Times New Roman"/>
          <w:sz w:val="24"/>
          <w:szCs w:val="24"/>
        </w:rPr>
        <w:t xml:space="preserve"> và đánh giá các nhân tố ảnh hưởng đến hiệu quả </w:t>
      </w:r>
      <w:r w:rsidR="0050094F">
        <w:rPr>
          <w:rFonts w:ascii="Times New Roman" w:hAnsi="Times New Roman" w:cs="Times New Roman"/>
          <w:sz w:val="24"/>
          <w:szCs w:val="24"/>
        </w:rPr>
        <w:t xml:space="preserve">sử dụng phương pháp DEA </w:t>
      </w:r>
      <w:r w:rsidR="00263963">
        <w:rPr>
          <w:rFonts w:ascii="Times New Roman" w:hAnsi="Times New Roman" w:cs="Times New Roman"/>
          <w:sz w:val="24"/>
          <w:szCs w:val="24"/>
        </w:rPr>
        <w:t>như</w:t>
      </w:r>
      <w:r w:rsidR="0050094F">
        <w:rPr>
          <w:rFonts w:ascii="Times New Roman" w:hAnsi="Times New Roman" w:cs="Times New Roman"/>
          <w:sz w:val="24"/>
          <w:szCs w:val="24"/>
        </w:rPr>
        <w:t>:</w:t>
      </w:r>
      <w:r w:rsidR="00EE2A09">
        <w:rPr>
          <w:rFonts w:ascii="Times New Roman" w:hAnsi="Times New Roman" w:cs="Times New Roman"/>
          <w:sz w:val="24"/>
          <w:szCs w:val="24"/>
        </w:rPr>
        <w:t xml:space="preserve"> </w:t>
      </w:r>
      <w:r w:rsidR="00263963">
        <w:rPr>
          <w:rFonts w:ascii="Times New Roman" w:hAnsi="Times New Roman" w:cs="Times New Roman"/>
          <w:sz w:val="24"/>
          <w:szCs w:val="24"/>
        </w:rPr>
        <w:t>Nguyễn Việt Hùng (2008)</w:t>
      </w:r>
      <w:r w:rsidR="004B53DE">
        <w:rPr>
          <w:rFonts w:ascii="Times New Roman" w:hAnsi="Times New Roman" w:cs="Times New Roman"/>
          <w:sz w:val="24"/>
          <w:szCs w:val="24"/>
        </w:rPr>
        <w:t xml:space="preserve"> [1]</w:t>
      </w:r>
      <w:r w:rsidR="00263963">
        <w:rPr>
          <w:rFonts w:ascii="Times New Roman" w:hAnsi="Times New Roman" w:cs="Times New Roman"/>
          <w:sz w:val="24"/>
          <w:szCs w:val="24"/>
        </w:rPr>
        <w:t xml:space="preserve">, </w:t>
      </w:r>
      <w:r w:rsidR="00263963" w:rsidRPr="005F31AD">
        <w:rPr>
          <w:rFonts w:ascii="Times New Roman" w:hAnsi="Times New Roman" w:cs="Times New Roman"/>
          <w:sz w:val="24"/>
          <w:szCs w:val="24"/>
        </w:rPr>
        <w:t>Nguyễn Thị Hồng Vinh (2014)</w:t>
      </w:r>
      <w:r w:rsidR="002D68F6">
        <w:rPr>
          <w:rFonts w:ascii="Times New Roman" w:hAnsi="Times New Roman" w:cs="Times New Roman"/>
          <w:sz w:val="24"/>
          <w:szCs w:val="24"/>
        </w:rPr>
        <w:t xml:space="preserve"> [6]</w:t>
      </w:r>
      <w:r w:rsidR="00263963">
        <w:rPr>
          <w:rFonts w:ascii="Times New Roman" w:hAnsi="Times New Roman" w:cs="Times New Roman"/>
          <w:sz w:val="24"/>
          <w:szCs w:val="24"/>
        </w:rPr>
        <w:t>,</w:t>
      </w:r>
      <w:r w:rsidR="00263963" w:rsidRPr="005F31AD">
        <w:rPr>
          <w:rFonts w:ascii="Times New Roman" w:hAnsi="Times New Roman" w:cs="Times New Roman"/>
          <w:sz w:val="24"/>
          <w:szCs w:val="24"/>
        </w:rPr>
        <w:t xml:space="preserve"> Nguyễn Minh Sáng (2013)</w:t>
      </w:r>
      <w:r w:rsidR="00263963">
        <w:rPr>
          <w:rFonts w:ascii="Times New Roman" w:hAnsi="Times New Roman" w:cs="Times New Roman"/>
          <w:sz w:val="24"/>
          <w:szCs w:val="24"/>
        </w:rPr>
        <w:t xml:space="preserve">, </w:t>
      </w:r>
      <w:r w:rsidR="00263963" w:rsidRPr="005F31AD">
        <w:rPr>
          <w:rFonts w:ascii="Times New Roman" w:hAnsi="Times New Roman" w:cs="Times New Roman"/>
          <w:sz w:val="24"/>
          <w:szCs w:val="24"/>
        </w:rPr>
        <w:t>Phan Thị Diệu Thảo và Nguyễn Thị Ngọc Quỳ</w:t>
      </w:r>
      <w:r w:rsidR="0050094F">
        <w:rPr>
          <w:rFonts w:ascii="Times New Roman" w:hAnsi="Times New Roman" w:cs="Times New Roman"/>
          <w:sz w:val="24"/>
          <w:szCs w:val="24"/>
        </w:rPr>
        <w:t>nh (2013)</w:t>
      </w:r>
      <w:r w:rsidR="002D68F6">
        <w:rPr>
          <w:rFonts w:ascii="Times New Roman" w:hAnsi="Times New Roman" w:cs="Times New Roman"/>
          <w:sz w:val="24"/>
          <w:szCs w:val="24"/>
        </w:rPr>
        <w:t xml:space="preserve"> [5]</w:t>
      </w:r>
      <w:r w:rsidR="0050094F">
        <w:rPr>
          <w:rFonts w:ascii="Times New Roman" w:hAnsi="Times New Roman" w:cs="Times New Roman"/>
          <w:sz w:val="24"/>
          <w:szCs w:val="24"/>
        </w:rPr>
        <w:t xml:space="preserve">. </w:t>
      </w:r>
      <w:r w:rsidR="00263963">
        <w:rPr>
          <w:rFonts w:ascii="Times New Roman" w:hAnsi="Times New Roman" w:cs="Times New Roman"/>
          <w:sz w:val="24"/>
          <w:szCs w:val="24"/>
        </w:rPr>
        <w:t>Phan Thị Hằng Nga (2013)</w:t>
      </w:r>
      <w:r w:rsidR="002D68F6">
        <w:rPr>
          <w:rFonts w:ascii="Times New Roman" w:hAnsi="Times New Roman" w:cs="Times New Roman"/>
          <w:sz w:val="24"/>
          <w:szCs w:val="24"/>
        </w:rPr>
        <w:t xml:space="preserve"> [3]</w:t>
      </w:r>
      <w:r w:rsidR="00263963">
        <w:rPr>
          <w:rFonts w:ascii="Times New Roman" w:hAnsi="Times New Roman" w:cs="Times New Roman"/>
          <w:sz w:val="24"/>
          <w:szCs w:val="24"/>
        </w:rPr>
        <w:t>,</w:t>
      </w:r>
      <w:r w:rsidR="0050094F">
        <w:rPr>
          <w:rFonts w:ascii="Times New Roman" w:hAnsi="Times New Roman" w:cs="Times New Roman"/>
          <w:sz w:val="24"/>
          <w:szCs w:val="24"/>
        </w:rPr>
        <w:t xml:space="preserve">ứng dụng khung </w:t>
      </w:r>
      <w:r w:rsidR="00021AC3">
        <w:rPr>
          <w:rFonts w:ascii="Times New Roman" w:hAnsi="Times New Roman" w:cs="Times New Roman"/>
          <w:sz w:val="24"/>
          <w:szCs w:val="24"/>
        </w:rPr>
        <w:t>CAMEL</w:t>
      </w:r>
      <w:r w:rsidR="0050094F">
        <w:rPr>
          <w:rFonts w:ascii="Times New Roman" w:hAnsi="Times New Roman" w:cs="Times New Roman"/>
          <w:sz w:val="24"/>
          <w:szCs w:val="24"/>
        </w:rPr>
        <w:t xml:space="preserve"> nhằm đánh giá năng tài chính của các NHTM </w:t>
      </w:r>
      <w:r w:rsidR="0050094F">
        <w:rPr>
          <w:rFonts w:ascii="Times New Roman" w:hAnsi="Times New Roman" w:cs="Times New Roman"/>
          <w:sz w:val="24"/>
          <w:szCs w:val="24"/>
        </w:rPr>
        <w:lastRenderedPageBreak/>
        <w:t>Việt Nam.</w:t>
      </w:r>
      <w:r w:rsidR="003E147E">
        <w:rPr>
          <w:rFonts w:ascii="Times New Roman" w:hAnsi="Times New Roman" w:cs="Times New Roman"/>
          <w:sz w:val="24"/>
          <w:szCs w:val="24"/>
        </w:rPr>
        <w:t xml:space="preserve"> </w:t>
      </w:r>
      <w:r w:rsidR="00021AC3">
        <w:rPr>
          <w:rFonts w:ascii="Times New Roman" w:hAnsi="Times New Roman" w:cs="Times New Roman"/>
          <w:sz w:val="24"/>
          <w:szCs w:val="24"/>
        </w:rPr>
        <w:t xml:space="preserve">Các nghiên cứu trên tập trung vào hiệu quả và năng lực tài chính, rất ít nghiên cứu về tác </w:t>
      </w:r>
      <w:r w:rsidR="00DE55A5">
        <w:rPr>
          <w:rFonts w:ascii="Times New Roman" w:hAnsi="Times New Roman" w:cs="Times New Roman"/>
          <w:sz w:val="24"/>
          <w:szCs w:val="24"/>
        </w:rPr>
        <w:t>động</w:t>
      </w:r>
      <w:r w:rsidR="00021AC3">
        <w:rPr>
          <w:rFonts w:ascii="Times New Roman" w:hAnsi="Times New Roman" w:cs="Times New Roman"/>
          <w:sz w:val="24"/>
          <w:szCs w:val="24"/>
        </w:rPr>
        <w:t xml:space="preserve"> của rủi ro tín dụng đến khả năng sinh lời của NHTM. Hiện nay tại Việt Nam chỉ</w:t>
      </w:r>
      <w:r w:rsidR="006075DD">
        <w:rPr>
          <w:rFonts w:ascii="Times New Roman" w:hAnsi="Times New Roman" w:cs="Times New Roman"/>
          <w:sz w:val="24"/>
          <w:szCs w:val="24"/>
        </w:rPr>
        <w:t xml:space="preserve"> có</w:t>
      </w:r>
      <w:r w:rsidR="00021AC3">
        <w:rPr>
          <w:rFonts w:ascii="Times New Roman" w:hAnsi="Times New Roman" w:cs="Times New Roman"/>
          <w:sz w:val="24"/>
          <w:szCs w:val="24"/>
        </w:rPr>
        <w:t xml:space="preserve"> Nguyễn Hữu Tài và Nguyễn Thu Nga (2017)</w:t>
      </w:r>
      <w:r w:rsidR="002D68F6">
        <w:rPr>
          <w:rFonts w:ascii="Times New Roman" w:hAnsi="Times New Roman" w:cs="Times New Roman"/>
          <w:sz w:val="24"/>
          <w:szCs w:val="24"/>
        </w:rPr>
        <w:t xml:space="preserve"> [2]</w:t>
      </w:r>
      <w:r w:rsidR="00021AC3">
        <w:rPr>
          <w:rFonts w:ascii="Times New Roman" w:hAnsi="Times New Roman" w:cs="Times New Roman"/>
          <w:sz w:val="24"/>
          <w:szCs w:val="24"/>
        </w:rPr>
        <w:t xml:space="preserve"> nghiên cứu về ảnh hưởng của rủi ro tín dụng đến hiệu quả kinh doanh của ngân hàng. </w:t>
      </w:r>
      <w:r w:rsidR="003A42BB">
        <w:rPr>
          <w:rFonts w:ascii="Times New Roman" w:hAnsi="Times New Roman" w:cs="Times New Roman"/>
          <w:sz w:val="24"/>
          <w:szCs w:val="24"/>
        </w:rPr>
        <w:t xml:space="preserve">Tuy nhiên trong nghiên cứu này, các </w:t>
      </w:r>
      <w:r w:rsidR="003A42BB" w:rsidRPr="003A42BB">
        <w:rPr>
          <w:rFonts w:ascii="Times New Roman" w:hAnsi="Times New Roman" w:cs="Times New Roman"/>
          <w:sz w:val="24"/>
          <w:szCs w:val="24"/>
        </w:rPr>
        <w:t xml:space="preserve">tác giả xây dựng mô hình đánh giá hiệu quả kinh doanh ngân hàng bao gồm và không bao gồm </w:t>
      </w:r>
      <w:r w:rsidR="004C47ED">
        <w:rPr>
          <w:rFonts w:ascii="Times New Roman" w:hAnsi="Times New Roman" w:cs="Times New Roman"/>
          <w:sz w:val="24"/>
          <w:szCs w:val="24"/>
        </w:rPr>
        <w:t xml:space="preserve">một </w:t>
      </w:r>
      <w:r w:rsidR="003A42BB" w:rsidRPr="003A42BB">
        <w:rPr>
          <w:rFonts w:ascii="Times New Roman" w:hAnsi="Times New Roman" w:cs="Times New Roman"/>
          <w:sz w:val="24"/>
          <w:szCs w:val="24"/>
        </w:rPr>
        <w:t>biến rủi ro tín dụng</w:t>
      </w:r>
      <w:r w:rsidR="004C47ED">
        <w:rPr>
          <w:rFonts w:ascii="Times New Roman" w:hAnsi="Times New Roman" w:cs="Times New Roman"/>
          <w:sz w:val="24"/>
          <w:szCs w:val="24"/>
        </w:rPr>
        <w:t xml:space="preserve"> là tỷ lệ dự phòng rủi ro cho vay</w:t>
      </w:r>
      <w:r w:rsidR="003A42BB" w:rsidRPr="003A42BB">
        <w:rPr>
          <w:rFonts w:ascii="Times New Roman" w:hAnsi="Times New Roman" w:cs="Times New Roman"/>
          <w:sz w:val="24"/>
          <w:szCs w:val="24"/>
        </w:rPr>
        <w:t xml:space="preserve"> như một biến đầu vào </w:t>
      </w:r>
      <w:r w:rsidR="004C47ED">
        <w:rPr>
          <w:rFonts w:ascii="Times New Roman" w:hAnsi="Times New Roman" w:cs="Times New Roman"/>
          <w:sz w:val="24"/>
          <w:szCs w:val="24"/>
        </w:rPr>
        <w:t>nhằm nhận định rủi ro tín dụng có tác động đến hiệu quả kinh doanh của ngân hàng. Do vậy cần có nghiên cứu tiếp theo để xác định các tiêu chí phản ánh rủi ro tín dụng và tác động của nó đến khả năng sinh lời củ</w:t>
      </w:r>
      <w:r w:rsidR="00C26F85">
        <w:rPr>
          <w:rFonts w:ascii="Times New Roman" w:hAnsi="Times New Roman" w:cs="Times New Roman"/>
          <w:sz w:val="24"/>
          <w:szCs w:val="24"/>
        </w:rPr>
        <w:t>a NHTM Việ</w:t>
      </w:r>
      <w:r w:rsidR="00E66098">
        <w:rPr>
          <w:rFonts w:ascii="Times New Roman" w:hAnsi="Times New Roman" w:cs="Times New Roman"/>
          <w:sz w:val="24"/>
          <w:szCs w:val="24"/>
        </w:rPr>
        <w:t>t Nam.</w:t>
      </w:r>
    </w:p>
    <w:p w:rsidR="003A42BB" w:rsidRPr="00A31FEA" w:rsidRDefault="00C26F85" w:rsidP="00FB579C">
      <w:pPr>
        <w:pStyle w:val="Default"/>
        <w:spacing w:before="120" w:after="120"/>
        <w:jc w:val="both"/>
        <w:rPr>
          <w:b/>
        </w:rPr>
      </w:pPr>
      <w:r>
        <w:rPr>
          <w:b/>
        </w:rPr>
        <w:t>3</w:t>
      </w:r>
      <w:r w:rsidR="003A42BB" w:rsidRPr="00A31FEA">
        <w:rPr>
          <w:b/>
        </w:rPr>
        <w:t xml:space="preserve">. </w:t>
      </w:r>
      <w:r w:rsidR="00474FB0">
        <w:rPr>
          <w:b/>
        </w:rPr>
        <w:t xml:space="preserve">CƠ SỞ LÝ THUYẾT, </w:t>
      </w:r>
      <w:r w:rsidR="003A42BB" w:rsidRPr="00A31FEA">
        <w:rPr>
          <w:b/>
        </w:rPr>
        <w:t>DỮ LIỆU VÀ PHƯƠNG PHÁP NGHIÊN CỨU</w:t>
      </w:r>
    </w:p>
    <w:p w:rsidR="00DA4667" w:rsidRDefault="00474FB0" w:rsidP="00A604C2">
      <w:pPr>
        <w:pStyle w:val="Default"/>
        <w:spacing w:before="120" w:after="120"/>
        <w:jc w:val="both"/>
        <w:rPr>
          <w:b/>
        </w:rPr>
      </w:pPr>
      <w:r>
        <w:rPr>
          <w:b/>
        </w:rPr>
        <w:t>3</w:t>
      </w:r>
      <w:r w:rsidRPr="00A31FEA">
        <w:rPr>
          <w:b/>
        </w:rPr>
        <w:t>.1</w:t>
      </w:r>
      <w:r w:rsidR="005E6A85">
        <w:rPr>
          <w:b/>
          <w:lang w:val="vi-VN"/>
        </w:rPr>
        <w:t>.</w:t>
      </w:r>
      <w:r w:rsidRPr="00A31FEA">
        <w:rPr>
          <w:b/>
        </w:rPr>
        <w:t xml:space="preserve"> Cơ sở lý </w:t>
      </w:r>
      <w:r>
        <w:rPr>
          <w:b/>
        </w:rPr>
        <w:t xml:space="preserve">thuyết về </w:t>
      </w:r>
      <w:r w:rsidR="00DA4667">
        <w:rPr>
          <w:b/>
        </w:rPr>
        <w:t>đánh giá khả năng sinh lời của ngân hàng thương mại</w:t>
      </w:r>
    </w:p>
    <w:p w:rsidR="007E6F21" w:rsidRPr="00817EEC" w:rsidRDefault="007E6F21" w:rsidP="00A604C2">
      <w:pPr>
        <w:spacing w:after="0" w:line="288" w:lineRule="auto"/>
        <w:ind w:firstLine="567"/>
        <w:jc w:val="both"/>
        <w:rPr>
          <w:rFonts w:ascii="Times New Roman" w:hAnsi="Times New Roman" w:cs="Times New Roman"/>
          <w:sz w:val="26"/>
          <w:szCs w:val="26"/>
        </w:rPr>
      </w:pPr>
      <w:r w:rsidRPr="00733BFF">
        <w:rPr>
          <w:rFonts w:ascii="Times New Roman" w:hAnsi="Times New Roman" w:cs="Times New Roman"/>
          <w:sz w:val="24"/>
          <w:szCs w:val="24"/>
        </w:rPr>
        <w:t>Có nhiều cách tiếp cận khác nhau về đánh giá hiệu quả của một công ty, ngân hàng, quan điểm về hiệu quả trước đây hầu hết đều dựa trên cơ sở tối đa hóa lợi ích cho cổ đông. Những nghiên cứu gần đây đã có bước chuyển biến thay vì chỉ tối đa hóa lợi ích cho cổ đông như trước đây sẽ mở rộng thành tối đa hóa lợi ích cho các bên liên quan khác của tổ chức bao gồm: cổ đông, khách hàng, nhà đầu tư, cơ quan quản lý và mở rộng cho cả cộng đồng.</w:t>
      </w:r>
      <w:r w:rsidR="00EE4F8C">
        <w:rPr>
          <w:rFonts w:ascii="Times New Roman" w:hAnsi="Times New Roman" w:cs="Times New Roman"/>
          <w:sz w:val="24"/>
          <w:szCs w:val="24"/>
        </w:rPr>
        <w:t xml:space="preserve"> </w:t>
      </w:r>
      <w:r w:rsidR="00546346">
        <w:rPr>
          <w:rFonts w:ascii="Times New Roman" w:hAnsi="Times New Roman" w:cs="Times New Roman"/>
          <w:sz w:val="24"/>
          <w:szCs w:val="24"/>
        </w:rPr>
        <w:t>Có nhiều</w:t>
      </w:r>
      <w:r w:rsidR="00AA0FCE">
        <w:rPr>
          <w:rFonts w:ascii="Times New Roman" w:hAnsi="Times New Roman" w:cs="Times New Roman"/>
          <w:sz w:val="24"/>
          <w:szCs w:val="24"/>
        </w:rPr>
        <w:t xml:space="preserve"> nghiên cứu </w:t>
      </w:r>
      <w:r w:rsidRPr="00AA0FCE">
        <w:rPr>
          <w:rFonts w:ascii="Times New Roman" w:hAnsi="Times New Roman" w:cs="Times New Roman"/>
          <w:sz w:val="24"/>
          <w:szCs w:val="24"/>
        </w:rPr>
        <w:t>mới đã phát triể</w:t>
      </w:r>
      <w:r w:rsidR="00546346">
        <w:rPr>
          <w:rFonts w:ascii="Times New Roman" w:hAnsi="Times New Roman" w:cs="Times New Roman"/>
          <w:sz w:val="24"/>
          <w:szCs w:val="24"/>
        </w:rPr>
        <w:t>n</w:t>
      </w:r>
      <w:r w:rsidRPr="00AA0FCE">
        <w:rPr>
          <w:rFonts w:ascii="Times New Roman" w:hAnsi="Times New Roman" w:cs="Times New Roman"/>
          <w:sz w:val="24"/>
          <w:szCs w:val="24"/>
        </w:rPr>
        <w:t xml:space="preserve"> mô hình đánh giá hiệu suất dựa trên cách tiếp cận tiện ích đa thuộc tính và lý thuyết các bên liên quan nhằm đánh giá </w:t>
      </w:r>
      <w:r w:rsidRPr="00AA0FCE">
        <w:rPr>
          <w:rFonts w:ascii="Times New Roman" w:hAnsi="Times New Roman" w:cs="Times New Roman"/>
          <w:sz w:val="24"/>
          <w:szCs w:val="24"/>
        </w:rPr>
        <w:lastRenderedPageBreak/>
        <w:t xml:space="preserve">hiệu suất hoạt động của ngân hàng kết hợp với tính bền vững. Ứng dụng lý thuyết các bên liên quan trong đánh giá </w:t>
      </w:r>
      <w:r w:rsidR="00AA0FCE" w:rsidRPr="00AA0FCE">
        <w:rPr>
          <w:rFonts w:ascii="Times New Roman" w:hAnsi="Times New Roman" w:cs="Times New Roman"/>
          <w:sz w:val="24"/>
          <w:szCs w:val="24"/>
        </w:rPr>
        <w:t xml:space="preserve">hiệu quả và tính bền vững của </w:t>
      </w:r>
      <w:r w:rsidRPr="00AA0FCE">
        <w:rPr>
          <w:rFonts w:ascii="Times New Roman" w:hAnsi="Times New Roman" w:cs="Times New Roman"/>
          <w:sz w:val="24"/>
          <w:szCs w:val="24"/>
        </w:rPr>
        <w:t>ngân hàng có nhiều ưu điểm so với phương pháp đánh giá hiệu suất truyền thống.</w:t>
      </w:r>
      <w:r w:rsidR="00AA0FCE" w:rsidRPr="00AA0FCE">
        <w:rPr>
          <w:rFonts w:ascii="Times New Roman" w:hAnsi="Times New Roman" w:cs="Times New Roman"/>
          <w:sz w:val="24"/>
          <w:szCs w:val="24"/>
        </w:rPr>
        <w:t xml:space="preserve"> Q</w:t>
      </w:r>
      <w:r w:rsidRPr="00AA0FCE">
        <w:rPr>
          <w:rFonts w:ascii="Times New Roman" w:hAnsi="Times New Roman" w:cs="Times New Roman"/>
          <w:sz w:val="24"/>
          <w:szCs w:val="24"/>
        </w:rPr>
        <w:t>uan điểm về hiệu quả hoạt động ngân hàng của các nghiên cứu trước đây dựa vào tối đa hóa giá trị cho cổ đông, do đó các tiêu chí phản ánh hiệu quả ngân hàng thường chỉ tập trung vào lợi ích đem lại cho cổ đông</w:t>
      </w:r>
      <w:r w:rsidRPr="00817EEC">
        <w:rPr>
          <w:rFonts w:ascii="Times New Roman" w:hAnsi="Times New Roman" w:cs="Times New Roman"/>
          <w:sz w:val="26"/>
          <w:szCs w:val="26"/>
        </w:rPr>
        <w:t xml:space="preserve">. </w:t>
      </w:r>
    </w:p>
    <w:p w:rsidR="00AA0FCE" w:rsidRDefault="00DA4667" w:rsidP="008E4954">
      <w:pPr>
        <w:spacing w:after="0" w:line="288" w:lineRule="auto"/>
        <w:ind w:firstLine="567"/>
        <w:jc w:val="both"/>
        <w:rPr>
          <w:rFonts w:ascii="Times New Roman" w:hAnsi="Times New Roman" w:cs="Times New Roman"/>
          <w:sz w:val="24"/>
          <w:szCs w:val="24"/>
        </w:rPr>
      </w:pPr>
      <w:r w:rsidRPr="007E6F21">
        <w:rPr>
          <w:rFonts w:ascii="Times New Roman" w:hAnsi="Times New Roman" w:cs="Times New Roman"/>
          <w:sz w:val="24"/>
          <w:szCs w:val="24"/>
        </w:rPr>
        <w:t xml:space="preserve">Theo cách tiếp cận truyền thống, hiệu quả kinh doanh ngân hàng được </w:t>
      </w:r>
      <w:r>
        <w:rPr>
          <w:rFonts w:ascii="Times New Roman" w:hAnsi="Times New Roman" w:cs="Times New Roman"/>
          <w:sz w:val="24"/>
          <w:szCs w:val="24"/>
        </w:rPr>
        <w:t xml:space="preserve">xác định </w:t>
      </w:r>
      <w:r w:rsidRPr="007E6F21">
        <w:rPr>
          <w:rFonts w:ascii="Times New Roman" w:hAnsi="Times New Roman" w:cs="Times New Roman"/>
          <w:sz w:val="24"/>
          <w:szCs w:val="24"/>
        </w:rPr>
        <w:t xml:space="preserve">bằng cách so sánh lợi nhuận mà ngân hàng thu được với chi phí mà ngân hàng đã bỏ ra trong một khoảng thời gian nhất định. </w:t>
      </w:r>
      <w:r w:rsidR="00AA0FCE" w:rsidRPr="00733BFF">
        <w:rPr>
          <w:rFonts w:ascii="Times New Roman" w:hAnsi="Times New Roman" w:cs="Times New Roman"/>
          <w:sz w:val="24"/>
          <w:szCs w:val="24"/>
        </w:rPr>
        <w:t xml:space="preserve">Trong nghiên cứu này, tác giả tiếp cận theo quan điểm truyền thống về đánh </w:t>
      </w:r>
      <w:r w:rsidR="00AA0FCE" w:rsidRPr="00733BFF">
        <w:rPr>
          <w:rFonts w:ascii="Times New Roman" w:hAnsi="Times New Roman" w:cs="Times New Roman"/>
          <w:sz w:val="24"/>
          <w:szCs w:val="24"/>
        </w:rPr>
        <w:lastRenderedPageBreak/>
        <w:t>giá hiệu quả tài chính đó là đem lại tối đa hóa giá trị cho cổ đông củ</w:t>
      </w:r>
      <w:r>
        <w:rPr>
          <w:rFonts w:ascii="Times New Roman" w:hAnsi="Times New Roman" w:cs="Times New Roman"/>
          <w:sz w:val="24"/>
          <w:szCs w:val="24"/>
        </w:rPr>
        <w:t xml:space="preserve">a ngân hàng, do vậy tác giả lựa chọn tỷ số lợi nhuận ròng </w:t>
      </w:r>
      <w:r w:rsidR="00AA0FCE" w:rsidRPr="007E6F21">
        <w:rPr>
          <w:rFonts w:ascii="Times New Roman" w:hAnsi="Times New Roman" w:cs="Times New Roman"/>
          <w:sz w:val="24"/>
          <w:szCs w:val="24"/>
        </w:rPr>
        <w:t>trên vốn chủ sở hữu (ROE</w:t>
      </w:r>
      <w:r>
        <w:rPr>
          <w:rFonts w:ascii="Times New Roman" w:hAnsi="Times New Roman" w:cs="Times New Roman"/>
          <w:sz w:val="24"/>
          <w:szCs w:val="24"/>
        </w:rPr>
        <w:t>) là biến phụ thuộc phản ánh khả năng sinh lời của ngân hàng thương mại.</w:t>
      </w:r>
    </w:p>
    <w:p w:rsidR="00B4466D" w:rsidRPr="00DA4667" w:rsidRDefault="00AA0FCE" w:rsidP="005E6A85">
      <w:pPr>
        <w:spacing w:before="120" w:after="120" w:line="240" w:lineRule="auto"/>
        <w:jc w:val="both"/>
        <w:rPr>
          <w:rFonts w:ascii="Times New Roman" w:hAnsi="Times New Roman" w:cs="Times New Roman"/>
          <w:b/>
          <w:sz w:val="24"/>
        </w:rPr>
      </w:pPr>
      <w:r w:rsidRPr="00DA4667">
        <w:rPr>
          <w:rFonts w:ascii="Times New Roman" w:hAnsi="Times New Roman" w:cs="Times New Roman"/>
          <w:b/>
          <w:sz w:val="24"/>
        </w:rPr>
        <w:t>3</w:t>
      </w:r>
      <w:r w:rsidR="008C2DD2" w:rsidRPr="00DA4667">
        <w:rPr>
          <w:rFonts w:ascii="Times New Roman" w:hAnsi="Times New Roman" w:cs="Times New Roman"/>
          <w:b/>
          <w:sz w:val="24"/>
        </w:rPr>
        <w:t>.2</w:t>
      </w:r>
      <w:r w:rsidR="005E6A85">
        <w:rPr>
          <w:rFonts w:ascii="Times New Roman" w:hAnsi="Times New Roman" w:cs="Times New Roman"/>
          <w:b/>
          <w:sz w:val="24"/>
          <w:lang w:val="vi-VN"/>
        </w:rPr>
        <w:t>.</w:t>
      </w:r>
      <w:r w:rsidR="00B4466D" w:rsidRPr="00DA4667">
        <w:rPr>
          <w:rFonts w:ascii="Times New Roman" w:hAnsi="Times New Roman" w:cs="Times New Roman"/>
          <w:b/>
          <w:sz w:val="24"/>
        </w:rPr>
        <w:t>Dữ liệu nghiên cứu</w:t>
      </w:r>
    </w:p>
    <w:p w:rsidR="00F05ED8" w:rsidRPr="00A31FEA" w:rsidRDefault="00B766B5" w:rsidP="005E6A85">
      <w:pPr>
        <w:spacing w:after="0" w:line="288" w:lineRule="auto"/>
        <w:ind w:firstLine="567"/>
        <w:jc w:val="both"/>
        <w:rPr>
          <w:rFonts w:ascii="Times New Roman" w:hAnsi="Times New Roman" w:cs="Times New Roman"/>
          <w:sz w:val="24"/>
          <w:szCs w:val="24"/>
        </w:rPr>
      </w:pPr>
      <w:r w:rsidRPr="00A31FEA">
        <w:rPr>
          <w:rFonts w:ascii="Times New Roman" w:hAnsi="Times New Roman" w:cs="Times New Roman"/>
          <w:sz w:val="24"/>
          <w:szCs w:val="24"/>
        </w:rPr>
        <w:t xml:space="preserve">Nghiên cứu sử dụng mô hình hồi quy </w:t>
      </w:r>
      <w:r w:rsidR="00CA5FD0">
        <w:rPr>
          <w:rFonts w:ascii="Times New Roman" w:hAnsi="Times New Roman" w:cs="Times New Roman"/>
          <w:sz w:val="24"/>
          <w:szCs w:val="24"/>
        </w:rPr>
        <w:t>bảng</w:t>
      </w:r>
      <w:r w:rsidR="00EE4F8C">
        <w:rPr>
          <w:rFonts w:ascii="Times New Roman" w:hAnsi="Times New Roman" w:cs="Times New Roman"/>
          <w:sz w:val="24"/>
          <w:szCs w:val="24"/>
        </w:rPr>
        <w:t xml:space="preserve"> </w:t>
      </w:r>
      <w:r w:rsidR="00742F2E">
        <w:rPr>
          <w:rFonts w:ascii="Times New Roman" w:hAnsi="Times New Roman" w:cs="Times New Roman"/>
          <w:sz w:val="24"/>
          <w:szCs w:val="24"/>
        </w:rPr>
        <w:t xml:space="preserve">bằng phần mềm STATA 12 </w:t>
      </w:r>
      <w:r w:rsidRPr="00A31FEA">
        <w:rPr>
          <w:rFonts w:ascii="Times New Roman" w:hAnsi="Times New Roman" w:cs="Times New Roman"/>
          <w:sz w:val="24"/>
          <w:szCs w:val="24"/>
        </w:rPr>
        <w:t xml:space="preserve">để đánh </w:t>
      </w:r>
      <w:r w:rsidR="00742F2E">
        <w:rPr>
          <w:rFonts w:ascii="Times New Roman" w:hAnsi="Times New Roman" w:cs="Times New Roman"/>
          <w:sz w:val="24"/>
          <w:szCs w:val="24"/>
        </w:rPr>
        <w:t>giá tác động của rủi ro tín dụng đến khả năng sinh lời của NHTM Việt Nam. Dữ liệu được thu thập từ 12</w:t>
      </w:r>
      <w:r w:rsidR="00EE4F8C">
        <w:rPr>
          <w:rFonts w:ascii="Times New Roman" w:hAnsi="Times New Roman" w:cs="Times New Roman"/>
          <w:sz w:val="24"/>
          <w:szCs w:val="24"/>
        </w:rPr>
        <w:t xml:space="preserve"> </w:t>
      </w:r>
      <w:r w:rsidR="00742F2E">
        <w:rPr>
          <w:rFonts w:ascii="Times New Roman" w:hAnsi="Times New Roman" w:cs="Times New Roman"/>
          <w:sz w:val="24"/>
          <w:szCs w:val="24"/>
        </w:rPr>
        <w:t xml:space="preserve">NHTM </w:t>
      </w:r>
      <w:r w:rsidR="004E475F">
        <w:rPr>
          <w:rFonts w:ascii="Times New Roman" w:hAnsi="Times New Roman" w:cs="Times New Roman"/>
          <w:sz w:val="24"/>
          <w:szCs w:val="24"/>
        </w:rPr>
        <w:t>trong khoảng thời gian 1</w:t>
      </w:r>
      <w:r w:rsidR="00742F2E">
        <w:rPr>
          <w:rFonts w:ascii="Times New Roman" w:hAnsi="Times New Roman" w:cs="Times New Roman"/>
          <w:sz w:val="24"/>
          <w:szCs w:val="24"/>
        </w:rPr>
        <w:t xml:space="preserve">1 </w:t>
      </w:r>
      <w:r w:rsidR="004E475F">
        <w:rPr>
          <w:rFonts w:ascii="Times New Roman" w:hAnsi="Times New Roman" w:cs="Times New Roman"/>
          <w:sz w:val="24"/>
          <w:szCs w:val="24"/>
        </w:rPr>
        <w:t>năm (2007-201</w:t>
      </w:r>
      <w:r w:rsidR="00742F2E">
        <w:rPr>
          <w:rFonts w:ascii="Times New Roman" w:hAnsi="Times New Roman" w:cs="Times New Roman"/>
          <w:sz w:val="24"/>
          <w:szCs w:val="24"/>
        </w:rPr>
        <w:t>7</w:t>
      </w:r>
      <w:r w:rsidR="004E475F">
        <w:rPr>
          <w:rFonts w:ascii="Times New Roman" w:hAnsi="Times New Roman" w:cs="Times New Roman"/>
          <w:sz w:val="24"/>
          <w:szCs w:val="24"/>
        </w:rPr>
        <w:t>)</w:t>
      </w:r>
      <w:r w:rsidR="00AF5556" w:rsidRPr="00A31FEA">
        <w:rPr>
          <w:rFonts w:ascii="Times New Roman" w:hAnsi="Times New Roman" w:cs="Times New Roman"/>
          <w:sz w:val="24"/>
          <w:szCs w:val="24"/>
        </w:rPr>
        <w:t>, các ngân hàng này có báo cáo tài chính với đầy đủ các thông tin nhằm phục vụ cho nghiên cứu</w:t>
      </w:r>
      <w:r w:rsidRPr="00A31FEA">
        <w:rPr>
          <w:rFonts w:ascii="Times New Roman" w:hAnsi="Times New Roman" w:cs="Times New Roman"/>
          <w:sz w:val="24"/>
          <w:szCs w:val="24"/>
        </w:rPr>
        <w:t xml:space="preserve">. </w:t>
      </w:r>
      <w:r w:rsidR="00F05ED8" w:rsidRPr="00A31FEA">
        <w:rPr>
          <w:rFonts w:ascii="Times New Roman" w:hAnsi="Times New Roman" w:cs="Times New Roman"/>
          <w:sz w:val="24"/>
          <w:szCs w:val="24"/>
        </w:rPr>
        <w:t>Số liệu được thu thập và xử lý bao gồ</w:t>
      </w:r>
      <w:r w:rsidR="006D5CE3" w:rsidRPr="00A31FEA">
        <w:rPr>
          <w:rFonts w:ascii="Times New Roman" w:hAnsi="Times New Roman" w:cs="Times New Roman"/>
          <w:sz w:val="24"/>
          <w:szCs w:val="24"/>
        </w:rPr>
        <w:t>m 12 NHTM sau:</w:t>
      </w:r>
    </w:p>
    <w:p w:rsidR="00A165ED" w:rsidRDefault="00A165ED" w:rsidP="005E6A85">
      <w:pPr>
        <w:spacing w:after="0" w:line="240" w:lineRule="auto"/>
        <w:rPr>
          <w:rFonts w:ascii="Times New Roman" w:hAnsi="Times New Roman" w:cs="Times New Roman"/>
          <w:b/>
          <w:sz w:val="24"/>
          <w:szCs w:val="24"/>
        </w:rPr>
        <w:sectPr w:rsidR="00A165ED" w:rsidSect="00906771">
          <w:footnotePr>
            <w:numFmt w:val="upperRoman"/>
          </w:footnotePr>
          <w:type w:val="continuous"/>
          <w:pgSz w:w="10773" w:h="15309" w:code="9"/>
          <w:pgMar w:top="1134" w:right="992" w:bottom="1134" w:left="1134" w:header="0" w:footer="0" w:gutter="0"/>
          <w:cols w:num="2" w:space="425"/>
          <w:docGrid w:linePitch="360"/>
        </w:sectPr>
      </w:pPr>
    </w:p>
    <w:p w:rsidR="001A65F4" w:rsidRPr="00BB4558" w:rsidRDefault="001A65F4" w:rsidP="00A35542">
      <w:pPr>
        <w:spacing w:before="120" w:after="120" w:line="240" w:lineRule="auto"/>
        <w:jc w:val="center"/>
        <w:rPr>
          <w:rFonts w:ascii="Times New Roman" w:hAnsi="Times New Roman" w:cs="Times New Roman"/>
          <w:szCs w:val="24"/>
        </w:rPr>
      </w:pPr>
      <w:r w:rsidRPr="00BB4558">
        <w:rPr>
          <w:rFonts w:ascii="Times New Roman" w:hAnsi="Times New Roman" w:cs="Times New Roman"/>
          <w:b/>
          <w:szCs w:val="24"/>
        </w:rPr>
        <w:lastRenderedPageBreak/>
        <w:t>Bảng</w:t>
      </w:r>
      <w:r w:rsidR="00A35542">
        <w:rPr>
          <w:rFonts w:ascii="Times New Roman" w:hAnsi="Times New Roman" w:cs="Times New Roman"/>
          <w:b/>
          <w:szCs w:val="24"/>
        </w:rPr>
        <w:t xml:space="preserve"> </w:t>
      </w:r>
      <w:r w:rsidR="009413D9" w:rsidRPr="00BB4558">
        <w:rPr>
          <w:rFonts w:ascii="Times New Roman" w:hAnsi="Times New Roman" w:cs="Times New Roman"/>
          <w:b/>
          <w:szCs w:val="24"/>
        </w:rPr>
        <w:t>1</w:t>
      </w:r>
      <w:r w:rsidR="005E6A85" w:rsidRPr="00BB4558">
        <w:rPr>
          <w:rFonts w:ascii="Times New Roman" w:hAnsi="Times New Roman" w:cs="Times New Roman"/>
          <w:b/>
          <w:szCs w:val="24"/>
        </w:rPr>
        <w:t>.</w:t>
      </w:r>
      <w:r w:rsidR="00BB4558" w:rsidRPr="00BB4558">
        <w:rPr>
          <w:rFonts w:ascii="Times New Roman" w:hAnsi="Times New Roman" w:cs="Times New Roman"/>
          <w:b/>
          <w:szCs w:val="24"/>
        </w:rPr>
        <w:t xml:space="preserve"> </w:t>
      </w:r>
      <w:r w:rsidR="008C2DD2" w:rsidRPr="00BB4558">
        <w:rPr>
          <w:rFonts w:ascii="Times New Roman" w:hAnsi="Times New Roman" w:cs="Times New Roman"/>
          <w:szCs w:val="24"/>
        </w:rPr>
        <w:t xml:space="preserve">Các Ngân hàng thương mại Việt Nam được </w:t>
      </w:r>
      <w:r w:rsidR="0098759F" w:rsidRPr="00BB4558">
        <w:rPr>
          <w:rFonts w:ascii="Times New Roman" w:hAnsi="Times New Roman" w:cs="Times New Roman"/>
          <w:szCs w:val="24"/>
        </w:rPr>
        <w:t>đánh giá hiệu quả tài chính</w:t>
      </w:r>
    </w:p>
    <w:tbl>
      <w:tblPr>
        <w:tblW w:w="7180" w:type="dxa"/>
        <w:jc w:val="center"/>
        <w:tblLook w:val="04A0" w:firstRow="1" w:lastRow="0" w:firstColumn="1" w:lastColumn="0" w:noHBand="0" w:noVBand="1"/>
      </w:tblPr>
      <w:tblGrid>
        <w:gridCol w:w="741"/>
        <w:gridCol w:w="1689"/>
        <w:gridCol w:w="4750"/>
      </w:tblGrid>
      <w:tr w:rsidR="00F05ED8" w:rsidRPr="00BB4558" w:rsidTr="00A35542">
        <w:trPr>
          <w:trHeight w:val="320"/>
          <w:jc w:val="center"/>
        </w:trPr>
        <w:tc>
          <w:tcPr>
            <w:tcW w:w="741" w:type="dxa"/>
            <w:tcBorders>
              <w:top w:val="single" w:sz="4" w:space="0" w:color="auto"/>
              <w:bottom w:val="single" w:sz="4" w:space="0" w:color="auto"/>
            </w:tcBorders>
          </w:tcPr>
          <w:p w:rsidR="00F05ED8" w:rsidRPr="00BB4558" w:rsidRDefault="00F05ED8" w:rsidP="008E4954">
            <w:pPr>
              <w:keepLines/>
              <w:widowControl w:val="0"/>
              <w:spacing w:after="0" w:line="240" w:lineRule="atLeast"/>
              <w:jc w:val="center"/>
              <w:outlineLvl w:val="4"/>
              <w:rPr>
                <w:rFonts w:ascii="Times New Roman" w:eastAsiaTheme="majorEastAsia" w:hAnsi="Times New Roman" w:cs="Times New Roman"/>
                <w:b/>
                <w:sz w:val="20"/>
                <w:szCs w:val="20"/>
              </w:rPr>
            </w:pPr>
            <w:r w:rsidRPr="00BB4558">
              <w:rPr>
                <w:rFonts w:ascii="Times New Roman" w:eastAsiaTheme="majorEastAsia" w:hAnsi="Times New Roman" w:cs="Times New Roman"/>
                <w:b/>
                <w:sz w:val="20"/>
                <w:szCs w:val="20"/>
              </w:rPr>
              <w:t>STT</w:t>
            </w:r>
          </w:p>
        </w:tc>
        <w:tc>
          <w:tcPr>
            <w:tcW w:w="1689" w:type="dxa"/>
            <w:tcBorders>
              <w:top w:val="single" w:sz="4" w:space="0" w:color="auto"/>
              <w:bottom w:val="single" w:sz="4" w:space="0" w:color="auto"/>
            </w:tcBorders>
          </w:tcPr>
          <w:p w:rsidR="00F05ED8" w:rsidRPr="00BB4558" w:rsidRDefault="00F05ED8" w:rsidP="008E4954">
            <w:pPr>
              <w:keepLines/>
              <w:widowControl w:val="0"/>
              <w:spacing w:after="0" w:line="240" w:lineRule="atLeast"/>
              <w:jc w:val="center"/>
              <w:outlineLvl w:val="4"/>
              <w:rPr>
                <w:rFonts w:ascii="Times New Roman" w:eastAsiaTheme="majorEastAsia" w:hAnsi="Times New Roman" w:cs="Times New Roman"/>
                <w:b/>
                <w:sz w:val="20"/>
                <w:szCs w:val="20"/>
              </w:rPr>
            </w:pPr>
            <w:r w:rsidRPr="00BB4558">
              <w:rPr>
                <w:rFonts w:ascii="Times New Roman" w:eastAsiaTheme="majorEastAsia" w:hAnsi="Times New Roman" w:cs="Times New Roman"/>
                <w:b/>
                <w:sz w:val="20"/>
                <w:szCs w:val="20"/>
              </w:rPr>
              <w:t>Viết tắt</w:t>
            </w:r>
          </w:p>
        </w:tc>
        <w:tc>
          <w:tcPr>
            <w:tcW w:w="4750" w:type="dxa"/>
            <w:tcBorders>
              <w:top w:val="single" w:sz="4" w:space="0" w:color="auto"/>
              <w:bottom w:val="single" w:sz="4" w:space="0" w:color="auto"/>
            </w:tcBorders>
          </w:tcPr>
          <w:p w:rsidR="00F05ED8" w:rsidRPr="00BB4558" w:rsidRDefault="00F05ED8" w:rsidP="008E4954">
            <w:pPr>
              <w:keepLines/>
              <w:widowControl w:val="0"/>
              <w:spacing w:after="0" w:line="240" w:lineRule="atLeast"/>
              <w:jc w:val="center"/>
              <w:outlineLvl w:val="4"/>
              <w:rPr>
                <w:rFonts w:ascii="Times New Roman" w:eastAsiaTheme="majorEastAsia" w:hAnsi="Times New Roman" w:cs="Times New Roman"/>
                <w:b/>
                <w:sz w:val="20"/>
                <w:szCs w:val="20"/>
              </w:rPr>
            </w:pPr>
            <w:r w:rsidRPr="00BB4558">
              <w:rPr>
                <w:rFonts w:ascii="Times New Roman" w:eastAsiaTheme="majorEastAsia" w:hAnsi="Times New Roman" w:cs="Times New Roman"/>
                <w:b/>
                <w:sz w:val="20"/>
                <w:szCs w:val="20"/>
              </w:rPr>
              <w:t>Ngân hàng</w:t>
            </w:r>
            <w:r w:rsidRPr="00BB4558">
              <w:rPr>
                <w:rFonts w:ascii="Times New Roman" w:hAnsi="Times New Roman" w:cs="Times New Roman"/>
                <w:b/>
                <w:bCs/>
                <w:sz w:val="20"/>
                <w:szCs w:val="20"/>
              </w:rPr>
              <w:t xml:space="preserve"> TMCP</w:t>
            </w:r>
          </w:p>
        </w:tc>
      </w:tr>
      <w:tr w:rsidR="00F05ED8" w:rsidRPr="00BB4558" w:rsidTr="00A35542">
        <w:trPr>
          <w:trHeight w:val="334"/>
          <w:jc w:val="center"/>
        </w:trPr>
        <w:tc>
          <w:tcPr>
            <w:tcW w:w="741" w:type="dxa"/>
            <w:tcBorders>
              <w:top w:val="single" w:sz="4" w:space="0" w:color="auto"/>
            </w:tcBorders>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1</w:t>
            </w:r>
          </w:p>
        </w:tc>
        <w:tc>
          <w:tcPr>
            <w:tcW w:w="1689" w:type="dxa"/>
            <w:tcBorders>
              <w:top w:val="single" w:sz="4" w:space="0" w:color="auto"/>
            </w:tcBorders>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VCB</w:t>
            </w:r>
          </w:p>
        </w:tc>
        <w:tc>
          <w:tcPr>
            <w:tcW w:w="4750" w:type="dxa"/>
            <w:tcBorders>
              <w:top w:val="single" w:sz="4" w:space="0" w:color="auto"/>
            </w:tcBorders>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ngoại thương</w:t>
            </w:r>
          </w:p>
        </w:tc>
      </w:tr>
      <w:tr w:rsidR="00F05ED8" w:rsidRPr="00BB4558" w:rsidTr="00A35542">
        <w:trPr>
          <w:trHeight w:val="320"/>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2</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Vietinbank</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công thương</w:t>
            </w:r>
          </w:p>
        </w:tc>
      </w:tr>
      <w:tr w:rsidR="00F05ED8" w:rsidRPr="00BB4558" w:rsidTr="00A35542">
        <w:trPr>
          <w:trHeight w:val="334"/>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3</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BIDV</w:t>
            </w:r>
          </w:p>
        </w:tc>
        <w:tc>
          <w:tcPr>
            <w:tcW w:w="4750"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hAnsi="Times New Roman" w:cs="Times New Roman"/>
                <w:bCs/>
                <w:sz w:val="20"/>
                <w:szCs w:val="20"/>
              </w:rPr>
              <w:t>Ngân hàng đầu tư và phát triển</w:t>
            </w:r>
          </w:p>
        </w:tc>
      </w:tr>
      <w:tr w:rsidR="00F05ED8" w:rsidRPr="00BB4558" w:rsidTr="00A35542">
        <w:trPr>
          <w:trHeight w:val="320"/>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4</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ACB</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Á châu</w:t>
            </w:r>
          </w:p>
        </w:tc>
      </w:tr>
      <w:tr w:rsidR="00F05ED8" w:rsidRPr="00BB4558" w:rsidTr="00A35542">
        <w:trPr>
          <w:trHeight w:val="334"/>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5</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Techcombank</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kỹ thương</w:t>
            </w:r>
          </w:p>
        </w:tc>
      </w:tr>
      <w:tr w:rsidR="00F05ED8" w:rsidRPr="00BB4558" w:rsidTr="00A35542">
        <w:trPr>
          <w:trHeight w:val="334"/>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6</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MBBank</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quân đội</w:t>
            </w:r>
          </w:p>
        </w:tc>
      </w:tr>
      <w:tr w:rsidR="00F05ED8" w:rsidRPr="00BB4558" w:rsidTr="00A35542">
        <w:trPr>
          <w:trHeight w:val="320"/>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7</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Eximbank</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xuất nhập khẩu</w:t>
            </w:r>
          </w:p>
        </w:tc>
      </w:tr>
      <w:tr w:rsidR="00F05ED8" w:rsidRPr="00BB4558" w:rsidTr="00A35542">
        <w:trPr>
          <w:trHeight w:val="334"/>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8</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SHB</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Sài gòn Hà nội</w:t>
            </w:r>
          </w:p>
        </w:tc>
      </w:tr>
      <w:tr w:rsidR="00F05ED8" w:rsidRPr="00BB4558" w:rsidTr="00A35542">
        <w:trPr>
          <w:trHeight w:val="320"/>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9</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Martimebank</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hàng hải Việt Nam</w:t>
            </w:r>
          </w:p>
        </w:tc>
      </w:tr>
      <w:tr w:rsidR="00F05ED8" w:rsidRPr="00BB4558" w:rsidTr="00A35542">
        <w:trPr>
          <w:trHeight w:val="395"/>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10</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VPBank</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Việt Nam Thịnh Vượng</w:t>
            </w:r>
          </w:p>
        </w:tc>
      </w:tr>
      <w:tr w:rsidR="00F05ED8" w:rsidRPr="00BB4558" w:rsidTr="00A35542">
        <w:trPr>
          <w:trHeight w:val="334"/>
          <w:jc w:val="center"/>
        </w:trPr>
        <w:tc>
          <w:tcPr>
            <w:tcW w:w="741" w:type="dxa"/>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11</w:t>
            </w:r>
          </w:p>
        </w:tc>
        <w:tc>
          <w:tcPr>
            <w:tcW w:w="1689" w:type="dxa"/>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Sacombank</w:t>
            </w:r>
          </w:p>
        </w:tc>
        <w:tc>
          <w:tcPr>
            <w:tcW w:w="4750" w:type="dxa"/>
          </w:tcPr>
          <w:p w:rsidR="00F05ED8" w:rsidRPr="00BB4558" w:rsidRDefault="00F05ED8" w:rsidP="008E4954">
            <w:pPr>
              <w:spacing w:after="0" w:line="240" w:lineRule="atLeast"/>
              <w:jc w:val="both"/>
              <w:rPr>
                <w:rFonts w:ascii="Times New Roman" w:hAnsi="Times New Roman" w:cs="Times New Roman"/>
                <w:bCs/>
                <w:sz w:val="20"/>
                <w:szCs w:val="20"/>
              </w:rPr>
            </w:pPr>
            <w:r w:rsidRPr="00BB4558">
              <w:rPr>
                <w:rFonts w:ascii="Times New Roman" w:hAnsi="Times New Roman" w:cs="Times New Roman"/>
                <w:bCs/>
                <w:sz w:val="20"/>
                <w:szCs w:val="20"/>
              </w:rPr>
              <w:t>Ngân hàng TMCP Sài Gòn Thương Tín</w:t>
            </w:r>
          </w:p>
        </w:tc>
      </w:tr>
      <w:tr w:rsidR="00F05ED8" w:rsidRPr="00BB4558" w:rsidTr="00A35542">
        <w:trPr>
          <w:trHeight w:val="240"/>
          <w:jc w:val="center"/>
        </w:trPr>
        <w:tc>
          <w:tcPr>
            <w:tcW w:w="741" w:type="dxa"/>
            <w:tcBorders>
              <w:bottom w:val="single" w:sz="4" w:space="0" w:color="auto"/>
            </w:tcBorders>
          </w:tcPr>
          <w:p w:rsidR="00F05ED8" w:rsidRPr="00BB4558" w:rsidRDefault="00F05ED8" w:rsidP="00A35542">
            <w:pPr>
              <w:keepLines/>
              <w:widowControl w:val="0"/>
              <w:spacing w:after="0" w:line="240" w:lineRule="atLeast"/>
              <w:jc w:val="center"/>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12</w:t>
            </w:r>
          </w:p>
        </w:tc>
        <w:tc>
          <w:tcPr>
            <w:tcW w:w="1689" w:type="dxa"/>
            <w:tcBorders>
              <w:bottom w:val="single" w:sz="4" w:space="0" w:color="auto"/>
            </w:tcBorders>
          </w:tcPr>
          <w:p w:rsidR="00F05ED8" w:rsidRPr="00BB4558" w:rsidRDefault="00F05ED8" w:rsidP="008E4954">
            <w:pPr>
              <w:keepLines/>
              <w:widowControl w:val="0"/>
              <w:spacing w:after="0" w:line="240" w:lineRule="atLeast"/>
              <w:jc w:val="both"/>
              <w:outlineLvl w:val="4"/>
              <w:rPr>
                <w:rFonts w:ascii="Times New Roman" w:eastAsiaTheme="majorEastAsia" w:hAnsi="Times New Roman" w:cs="Times New Roman"/>
                <w:sz w:val="20"/>
                <w:szCs w:val="20"/>
              </w:rPr>
            </w:pPr>
            <w:r w:rsidRPr="00BB4558">
              <w:rPr>
                <w:rFonts w:ascii="Times New Roman" w:eastAsiaTheme="majorEastAsia" w:hAnsi="Times New Roman" w:cs="Times New Roman"/>
                <w:sz w:val="20"/>
                <w:szCs w:val="20"/>
              </w:rPr>
              <w:t>VIB</w:t>
            </w:r>
          </w:p>
        </w:tc>
        <w:tc>
          <w:tcPr>
            <w:tcW w:w="4750" w:type="dxa"/>
            <w:tcBorders>
              <w:bottom w:val="single" w:sz="4" w:space="0" w:color="auto"/>
            </w:tcBorders>
          </w:tcPr>
          <w:p w:rsidR="00F05ED8" w:rsidRPr="00BB4558" w:rsidRDefault="00F05ED8" w:rsidP="008E4954">
            <w:pPr>
              <w:spacing w:after="0" w:line="240" w:lineRule="atLeast"/>
              <w:jc w:val="both"/>
              <w:rPr>
                <w:rFonts w:ascii="Times New Roman" w:eastAsiaTheme="majorEastAsia" w:hAnsi="Times New Roman" w:cs="Times New Roman"/>
                <w:sz w:val="20"/>
                <w:szCs w:val="20"/>
              </w:rPr>
            </w:pPr>
            <w:r w:rsidRPr="00BB4558">
              <w:rPr>
                <w:rFonts w:ascii="Times New Roman" w:hAnsi="Times New Roman" w:cs="Times New Roman"/>
                <w:bCs/>
                <w:sz w:val="20"/>
                <w:szCs w:val="20"/>
              </w:rPr>
              <w:t xml:space="preserve">Ngân hàng TMCP Quốc tế Việt Nam </w:t>
            </w:r>
          </w:p>
        </w:tc>
      </w:tr>
    </w:tbl>
    <w:p w:rsidR="008C2DD2" w:rsidRPr="008E4954" w:rsidRDefault="008C2DD2" w:rsidP="00BB4558">
      <w:pPr>
        <w:spacing w:after="120"/>
        <w:ind w:firstLine="567"/>
        <w:jc w:val="right"/>
        <w:rPr>
          <w:rFonts w:ascii="Times New Roman" w:hAnsi="Times New Roman" w:cs="Times New Roman"/>
          <w:i/>
          <w:szCs w:val="24"/>
        </w:rPr>
      </w:pPr>
      <w:r w:rsidRPr="008E4954">
        <w:rPr>
          <w:rFonts w:ascii="Times New Roman" w:hAnsi="Times New Roman" w:cs="Times New Roman"/>
          <w:i/>
          <w:szCs w:val="24"/>
        </w:rPr>
        <w:t>Nguồn: Báo cáo thường niên của các NHTM V</w:t>
      </w:r>
      <w:r w:rsidR="00BB4558">
        <w:rPr>
          <w:rFonts w:ascii="Times New Roman" w:hAnsi="Times New Roman" w:cs="Times New Roman"/>
          <w:i/>
          <w:szCs w:val="24"/>
        </w:rPr>
        <w:t>i</w:t>
      </w:r>
      <w:r w:rsidRPr="008E4954">
        <w:rPr>
          <w:rFonts w:ascii="Times New Roman" w:hAnsi="Times New Roman" w:cs="Times New Roman"/>
          <w:i/>
          <w:szCs w:val="24"/>
        </w:rPr>
        <w:t>ệt Nam</w:t>
      </w:r>
    </w:p>
    <w:p w:rsidR="00A165ED" w:rsidRDefault="00A165ED" w:rsidP="005E6A85">
      <w:pPr>
        <w:spacing w:after="0"/>
        <w:ind w:firstLine="567"/>
        <w:jc w:val="both"/>
        <w:rPr>
          <w:rFonts w:ascii="Times New Roman" w:hAnsi="Times New Roman" w:cs="Times New Roman"/>
          <w:sz w:val="24"/>
          <w:szCs w:val="24"/>
        </w:rPr>
        <w:sectPr w:rsidR="00A165ED" w:rsidSect="00412254">
          <w:footnotePr>
            <w:numFmt w:val="upperRoman"/>
          </w:footnotePr>
          <w:type w:val="continuous"/>
          <w:pgSz w:w="10773" w:h="15309" w:code="9"/>
          <w:pgMar w:top="1134" w:right="1134" w:bottom="1134" w:left="1134" w:header="0" w:footer="0" w:gutter="0"/>
          <w:cols w:space="720"/>
          <w:docGrid w:linePitch="360"/>
        </w:sectPr>
      </w:pPr>
    </w:p>
    <w:p w:rsidR="009413D9" w:rsidRDefault="009413D9" w:rsidP="008E4954">
      <w:pPr>
        <w:spacing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Biến phụ thuộc là ROE phản ánh khả năng sinh lời so với vốn chủ sở hữu của các NHTM. </w:t>
      </w:r>
    </w:p>
    <w:p w:rsidR="002C3782" w:rsidRDefault="001A0DA1" w:rsidP="008E4954">
      <w:pPr>
        <w:spacing w:after="0"/>
        <w:ind w:firstLine="567"/>
        <w:jc w:val="both"/>
        <w:rPr>
          <w:rFonts w:ascii="Times New Roman" w:hAnsi="Times New Roman" w:cs="Times New Roman"/>
          <w:sz w:val="24"/>
          <w:szCs w:val="24"/>
        </w:rPr>
      </w:pPr>
      <w:r w:rsidRPr="00A31FEA">
        <w:rPr>
          <w:rFonts w:ascii="Times New Roman" w:hAnsi="Times New Roman" w:cs="Times New Roman"/>
          <w:sz w:val="24"/>
          <w:szCs w:val="24"/>
        </w:rPr>
        <w:t xml:space="preserve">Các biến độc lập là </w:t>
      </w:r>
      <w:r w:rsidR="009413D9">
        <w:rPr>
          <w:rFonts w:ascii="Times New Roman" w:hAnsi="Times New Roman" w:cs="Times New Roman"/>
          <w:sz w:val="24"/>
          <w:szCs w:val="24"/>
        </w:rPr>
        <w:t xml:space="preserve">các tiêu chí phản ánh rủi ro tín dụng bao gồm: </w:t>
      </w:r>
    </w:p>
    <w:p w:rsidR="002C3782" w:rsidRDefault="002C3782" w:rsidP="008E4954">
      <w:pPr>
        <w:spacing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T</w:t>
      </w:r>
      <w:r w:rsidR="006C00A9">
        <w:rPr>
          <w:rFonts w:ascii="Times New Roman" w:hAnsi="Times New Roman" w:cs="Times New Roman"/>
          <w:sz w:val="24"/>
          <w:szCs w:val="24"/>
        </w:rPr>
        <w:t>ỷ lệ an toàn vốn tối thiểu (</w:t>
      </w:r>
      <w:r w:rsidR="003515FE">
        <w:rPr>
          <w:rFonts w:ascii="Times New Roman" w:hAnsi="Times New Roman" w:cs="Times New Roman"/>
          <w:sz w:val="24"/>
          <w:szCs w:val="24"/>
        </w:rPr>
        <w:t>CAR</w:t>
      </w:r>
      <w:r w:rsidR="006C00A9">
        <w:rPr>
          <w:rFonts w:ascii="Times New Roman" w:hAnsi="Times New Roman" w:cs="Times New Roman"/>
          <w:sz w:val="24"/>
          <w:szCs w:val="24"/>
        </w:rPr>
        <w:t>)</w:t>
      </w:r>
      <w:r w:rsidR="003515FE">
        <w:rPr>
          <w:rFonts w:ascii="Times New Roman" w:hAnsi="Times New Roman" w:cs="Times New Roman"/>
          <w:sz w:val="24"/>
          <w:szCs w:val="24"/>
        </w:rPr>
        <w:t xml:space="preserve"> phản ánh vốn của ngân hàng so với tổng tài sản đã điều chỉnh theo trọng số rủi ro (trọng số rủi ro được xác định theo</w:t>
      </w:r>
      <w:r>
        <w:rPr>
          <w:rFonts w:ascii="Times New Roman" w:hAnsi="Times New Roman" w:cs="Times New Roman"/>
          <w:sz w:val="24"/>
          <w:szCs w:val="24"/>
        </w:rPr>
        <w:t xml:space="preserve"> phụ lục 2 về hướng dẫn phân nhóm và cách </w:t>
      </w:r>
      <w:r>
        <w:rPr>
          <w:rFonts w:ascii="Times New Roman" w:hAnsi="Times New Roman" w:cs="Times New Roman"/>
          <w:sz w:val="24"/>
          <w:szCs w:val="24"/>
        </w:rPr>
        <w:lastRenderedPageBreak/>
        <w:t>tính tổng tài sản có rủi ro</w:t>
      </w:r>
      <w:r w:rsidR="00EE4F8C">
        <w:rPr>
          <w:rFonts w:ascii="Times New Roman" w:hAnsi="Times New Roman" w:cs="Times New Roman"/>
          <w:sz w:val="24"/>
          <w:szCs w:val="24"/>
        </w:rPr>
        <w:t xml:space="preserve"> </w:t>
      </w:r>
      <w:r>
        <w:rPr>
          <w:rFonts w:ascii="Times New Roman" w:hAnsi="Times New Roman" w:cs="Times New Roman"/>
          <w:sz w:val="24"/>
          <w:szCs w:val="24"/>
        </w:rPr>
        <w:t>ban hành kèm theo T</w:t>
      </w:r>
      <w:r w:rsidR="003515FE">
        <w:rPr>
          <w:rFonts w:ascii="Times New Roman" w:hAnsi="Times New Roman" w:cs="Times New Roman"/>
          <w:sz w:val="24"/>
          <w:szCs w:val="24"/>
        </w:rPr>
        <w:t xml:space="preserve">hông tư </w:t>
      </w:r>
      <w:r>
        <w:rPr>
          <w:rFonts w:ascii="Times New Roman" w:hAnsi="Times New Roman" w:cs="Times New Roman"/>
          <w:sz w:val="24"/>
          <w:szCs w:val="24"/>
        </w:rPr>
        <w:t xml:space="preserve">số </w:t>
      </w:r>
      <w:r w:rsidRPr="002C3782">
        <w:rPr>
          <w:rFonts w:ascii="Times New Roman" w:hAnsi="Times New Roman" w:cs="Times New Roman"/>
          <w:sz w:val="24"/>
          <w:szCs w:val="24"/>
        </w:rPr>
        <w:t>36/2014/TT-NHNN</w:t>
      </w:r>
      <w:r>
        <w:rPr>
          <w:rFonts w:ascii="Times New Roman" w:hAnsi="Times New Roman" w:cs="Times New Roman"/>
          <w:sz w:val="24"/>
          <w:szCs w:val="24"/>
        </w:rPr>
        <w:t>)</w:t>
      </w:r>
    </w:p>
    <w:p w:rsidR="00DE7A03" w:rsidRDefault="002C3782" w:rsidP="008E4954">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 T</w:t>
      </w:r>
      <w:r w:rsidR="003515FE">
        <w:rPr>
          <w:rFonts w:ascii="Times New Roman" w:hAnsi="Times New Roman" w:cs="Times New Roman"/>
          <w:sz w:val="24"/>
          <w:szCs w:val="24"/>
        </w:rPr>
        <w:t>ỷ lệ nợ xấu so với dư nợ (NPLdn)</w:t>
      </w:r>
      <w:r>
        <w:rPr>
          <w:rFonts w:ascii="Times New Roman" w:hAnsi="Times New Roman" w:cs="Times New Roman"/>
          <w:sz w:val="24"/>
          <w:szCs w:val="24"/>
        </w:rPr>
        <w:t xml:space="preserve"> phản ánh nợ xấu (nợ nhóm 3- nợ dưới tiêu chuẩn, nợ nhóm 4 </w:t>
      </w:r>
      <w:r w:rsidR="00EE4F8C">
        <w:rPr>
          <w:rFonts w:ascii="Times New Roman" w:hAnsi="Times New Roman" w:cs="Times New Roman"/>
          <w:sz w:val="24"/>
          <w:szCs w:val="24"/>
        </w:rPr>
        <w:t>-</w:t>
      </w:r>
      <w:r>
        <w:rPr>
          <w:rFonts w:ascii="Times New Roman" w:hAnsi="Times New Roman" w:cs="Times New Roman"/>
          <w:sz w:val="24"/>
          <w:szCs w:val="24"/>
        </w:rPr>
        <w:t xml:space="preserve"> nợ nghi ngờ, nợ nhóm 5 </w:t>
      </w:r>
      <w:r w:rsidR="00EE4F8C">
        <w:rPr>
          <w:rFonts w:ascii="Times New Roman" w:hAnsi="Times New Roman" w:cs="Times New Roman"/>
          <w:sz w:val="24"/>
          <w:szCs w:val="24"/>
        </w:rPr>
        <w:t>-</w:t>
      </w:r>
      <w:r>
        <w:rPr>
          <w:rFonts w:ascii="Times New Roman" w:hAnsi="Times New Roman" w:cs="Times New Roman"/>
          <w:sz w:val="24"/>
          <w:szCs w:val="24"/>
        </w:rPr>
        <w:t xml:space="preserve"> nợ có khả năng mất vốn) so với tổng dư nợ cho vay. </w:t>
      </w:r>
    </w:p>
    <w:p w:rsidR="002C3782" w:rsidRDefault="002C3782" w:rsidP="005E6A85">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Tỷ lệ nợ có khả năng mất vốn </w:t>
      </w:r>
      <w:r w:rsidR="00445D26">
        <w:rPr>
          <w:rFonts w:ascii="Times New Roman" w:hAnsi="Times New Roman" w:cs="Times New Roman"/>
          <w:sz w:val="24"/>
          <w:szCs w:val="24"/>
        </w:rPr>
        <w:t>so với dư nợ (NPLmv)</w:t>
      </w:r>
      <w:r>
        <w:rPr>
          <w:rFonts w:ascii="Times New Roman" w:hAnsi="Times New Roman" w:cs="Times New Roman"/>
          <w:sz w:val="24"/>
          <w:szCs w:val="24"/>
        </w:rPr>
        <w:t xml:space="preserve"> phản ánh nợ có khả </w:t>
      </w:r>
      <w:r>
        <w:rPr>
          <w:rFonts w:ascii="Times New Roman" w:hAnsi="Times New Roman" w:cs="Times New Roman"/>
          <w:sz w:val="24"/>
          <w:szCs w:val="24"/>
        </w:rPr>
        <w:lastRenderedPageBreak/>
        <w:t xml:space="preserve">năng mất vốn (nợ nhóm 5) so </w:t>
      </w:r>
      <w:r w:rsidR="00445D26">
        <w:rPr>
          <w:rFonts w:ascii="Times New Roman" w:hAnsi="Times New Roman" w:cs="Times New Roman"/>
          <w:sz w:val="24"/>
          <w:szCs w:val="24"/>
        </w:rPr>
        <w:t>với tổng dư nợ.</w:t>
      </w:r>
    </w:p>
    <w:p w:rsidR="00445D26" w:rsidRDefault="00445D26" w:rsidP="005E6A85">
      <w:pPr>
        <w:spacing w:after="0"/>
        <w:ind w:firstLine="567"/>
        <w:jc w:val="both"/>
        <w:rPr>
          <w:rFonts w:ascii="Times New Roman" w:hAnsi="Times New Roman" w:cs="Times New Roman"/>
          <w:sz w:val="24"/>
          <w:szCs w:val="24"/>
        </w:rPr>
      </w:pPr>
      <w:r>
        <w:rPr>
          <w:rFonts w:ascii="Times New Roman" w:hAnsi="Times New Roman" w:cs="Times New Roman"/>
          <w:sz w:val="24"/>
          <w:szCs w:val="24"/>
        </w:rPr>
        <w:t>Tỷ lệ dự phòng rủi ro</w:t>
      </w:r>
      <w:r w:rsidR="00EE4F8C">
        <w:rPr>
          <w:rFonts w:ascii="Times New Roman" w:hAnsi="Times New Roman" w:cs="Times New Roman"/>
          <w:sz w:val="24"/>
          <w:szCs w:val="24"/>
        </w:rPr>
        <w:t xml:space="preserve"> </w:t>
      </w:r>
      <w:r>
        <w:rPr>
          <w:rFonts w:ascii="Times New Roman" w:hAnsi="Times New Roman" w:cs="Times New Roman"/>
          <w:sz w:val="24"/>
          <w:szCs w:val="24"/>
        </w:rPr>
        <w:t>cho vay (LLPR)</w:t>
      </w:r>
      <w:r w:rsidR="009C3778">
        <w:rPr>
          <w:rFonts w:ascii="Times New Roman" w:hAnsi="Times New Roman" w:cs="Times New Roman"/>
          <w:sz w:val="24"/>
          <w:szCs w:val="24"/>
        </w:rPr>
        <w:t xml:space="preserve"> phản ánh chi phí dự phòng rủi ro cho khách hàng vay so với tổng dư nợ.</w:t>
      </w:r>
    </w:p>
    <w:p w:rsidR="009C3778" w:rsidRPr="00A31FEA" w:rsidRDefault="009C3778" w:rsidP="005E6A85">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Tỷ lệ dư nợ so với tổng tiền gửi (LTD) phản ánh tổng dư nợ so với tổng tiền gửi của khách hàng. </w:t>
      </w:r>
    </w:p>
    <w:p w:rsidR="00A165ED" w:rsidRDefault="00A165ED" w:rsidP="005E6A85">
      <w:pPr>
        <w:spacing w:after="0"/>
        <w:ind w:firstLine="567"/>
        <w:jc w:val="center"/>
        <w:rPr>
          <w:rFonts w:ascii="Times New Roman" w:hAnsi="Times New Roman" w:cs="Times New Roman"/>
          <w:b/>
          <w:sz w:val="24"/>
          <w:szCs w:val="24"/>
        </w:rPr>
        <w:sectPr w:rsidR="00A165ED" w:rsidSect="008E4954">
          <w:footnotePr>
            <w:numFmt w:val="upperRoman"/>
          </w:footnotePr>
          <w:type w:val="continuous"/>
          <w:pgSz w:w="10773" w:h="15309" w:code="9"/>
          <w:pgMar w:top="1134" w:right="1134" w:bottom="1134" w:left="1134" w:header="0" w:footer="0" w:gutter="0"/>
          <w:cols w:num="2" w:space="425"/>
          <w:docGrid w:linePitch="360"/>
        </w:sectPr>
      </w:pPr>
    </w:p>
    <w:p w:rsidR="001A65F4" w:rsidRPr="00BB4558" w:rsidRDefault="001A65F4" w:rsidP="008124C4">
      <w:pPr>
        <w:spacing w:before="120" w:after="120" w:line="240" w:lineRule="auto"/>
        <w:ind w:firstLine="567"/>
        <w:jc w:val="center"/>
        <w:rPr>
          <w:rFonts w:ascii="Times New Roman" w:hAnsi="Times New Roman" w:cs="Times New Roman"/>
          <w:szCs w:val="24"/>
        </w:rPr>
      </w:pPr>
      <w:r w:rsidRPr="00BB4558">
        <w:rPr>
          <w:rFonts w:ascii="Times New Roman" w:hAnsi="Times New Roman" w:cs="Times New Roman"/>
          <w:b/>
          <w:szCs w:val="24"/>
        </w:rPr>
        <w:lastRenderedPageBreak/>
        <w:t>Bảng</w:t>
      </w:r>
      <w:r w:rsidR="00A35542">
        <w:rPr>
          <w:rFonts w:ascii="Times New Roman" w:hAnsi="Times New Roman" w:cs="Times New Roman"/>
          <w:b/>
          <w:szCs w:val="24"/>
        </w:rPr>
        <w:t xml:space="preserve"> </w:t>
      </w:r>
      <w:r w:rsidR="009413D9" w:rsidRPr="00BB4558">
        <w:rPr>
          <w:rFonts w:ascii="Times New Roman" w:hAnsi="Times New Roman" w:cs="Times New Roman"/>
          <w:b/>
          <w:szCs w:val="24"/>
        </w:rPr>
        <w:t>2</w:t>
      </w:r>
      <w:r w:rsidR="003B46B2" w:rsidRPr="00BB4558">
        <w:rPr>
          <w:rFonts w:ascii="Times New Roman" w:hAnsi="Times New Roman" w:cs="Times New Roman"/>
          <w:b/>
          <w:szCs w:val="24"/>
        </w:rPr>
        <w:t>.</w:t>
      </w:r>
      <w:r w:rsidR="00BB4558" w:rsidRPr="00BB4558">
        <w:rPr>
          <w:rFonts w:ascii="Times New Roman" w:hAnsi="Times New Roman" w:cs="Times New Roman"/>
          <w:b/>
          <w:szCs w:val="24"/>
        </w:rPr>
        <w:t xml:space="preserve"> </w:t>
      </w:r>
      <w:r w:rsidR="00700EEC" w:rsidRPr="00BB4558">
        <w:rPr>
          <w:rFonts w:ascii="Times New Roman" w:hAnsi="Times New Roman" w:cs="Times New Roman"/>
          <w:szCs w:val="24"/>
        </w:rPr>
        <w:t>Mô tả các biến sử dụng trong mô hình</w:t>
      </w:r>
    </w:p>
    <w:tbl>
      <w:tblPr>
        <w:tblStyle w:val="TableGrid"/>
        <w:tblW w:w="8614" w:type="dxa"/>
        <w:jc w:val="center"/>
        <w:tblBorders>
          <w:left w:val="none" w:sz="0" w:space="0" w:color="auto"/>
          <w:right w:val="none" w:sz="0" w:space="0" w:color="auto"/>
        </w:tblBorders>
        <w:tblLook w:val="04A0" w:firstRow="1" w:lastRow="0" w:firstColumn="1" w:lastColumn="0" w:noHBand="0" w:noVBand="1"/>
      </w:tblPr>
      <w:tblGrid>
        <w:gridCol w:w="3838"/>
        <w:gridCol w:w="4776"/>
      </w:tblGrid>
      <w:tr w:rsidR="008124C4" w:rsidRPr="00A31FEA" w:rsidTr="00022756">
        <w:trPr>
          <w:jc w:val="center"/>
        </w:trPr>
        <w:tc>
          <w:tcPr>
            <w:tcW w:w="4159" w:type="dxa"/>
            <w:shd w:val="clear" w:color="auto" w:fill="auto"/>
            <w:vAlign w:val="center"/>
          </w:tcPr>
          <w:p w:rsidR="008124C4" w:rsidRPr="00BB4558" w:rsidRDefault="008124C4" w:rsidP="008124C4">
            <w:pPr>
              <w:spacing w:line="240" w:lineRule="atLeast"/>
              <w:jc w:val="center"/>
              <w:rPr>
                <w:rFonts w:ascii="Times New Roman" w:hAnsi="Times New Roman" w:cs="Times New Roman"/>
                <w:b/>
                <w:bCs/>
                <w:sz w:val="20"/>
                <w:lang w:val="de-DE"/>
              </w:rPr>
            </w:pPr>
            <w:r w:rsidRPr="00BB4558">
              <w:rPr>
                <w:rFonts w:ascii="Times New Roman" w:hAnsi="Times New Roman" w:cs="Times New Roman"/>
                <w:b/>
                <w:bCs/>
                <w:sz w:val="20"/>
                <w:lang w:val="de-DE"/>
              </w:rPr>
              <w:t xml:space="preserve">Tên biến </w:t>
            </w:r>
          </w:p>
        </w:tc>
        <w:tc>
          <w:tcPr>
            <w:tcW w:w="4455" w:type="dxa"/>
            <w:shd w:val="clear" w:color="auto" w:fill="auto"/>
            <w:vAlign w:val="center"/>
          </w:tcPr>
          <w:p w:rsidR="008124C4" w:rsidRPr="00BB4558" w:rsidRDefault="008124C4" w:rsidP="008124C4">
            <w:pPr>
              <w:spacing w:line="240" w:lineRule="atLeast"/>
              <w:jc w:val="center"/>
              <w:rPr>
                <w:rFonts w:ascii="Times New Roman" w:hAnsi="Times New Roman" w:cs="Times New Roman"/>
                <w:b/>
                <w:bCs/>
                <w:sz w:val="20"/>
                <w:lang w:val="de-DE"/>
              </w:rPr>
            </w:pPr>
            <w:r w:rsidRPr="00BB4558">
              <w:rPr>
                <w:rFonts w:ascii="Times New Roman" w:hAnsi="Times New Roman" w:cs="Times New Roman"/>
                <w:b/>
                <w:bCs/>
                <w:sz w:val="20"/>
                <w:lang w:val="de-DE"/>
              </w:rPr>
              <w:t>Cách tính</w:t>
            </w:r>
          </w:p>
        </w:tc>
      </w:tr>
      <w:tr w:rsidR="008124C4" w:rsidRPr="00A31FEA" w:rsidTr="00022756">
        <w:trPr>
          <w:jc w:val="center"/>
        </w:trPr>
        <w:tc>
          <w:tcPr>
            <w:tcW w:w="8614" w:type="dxa"/>
            <w:gridSpan w:val="2"/>
            <w:shd w:val="clear" w:color="auto" w:fill="auto"/>
            <w:vAlign w:val="center"/>
          </w:tcPr>
          <w:p w:rsidR="008124C4" w:rsidRPr="00BB4558" w:rsidRDefault="008124C4" w:rsidP="008124C4">
            <w:pPr>
              <w:spacing w:line="240" w:lineRule="atLeast"/>
              <w:jc w:val="both"/>
              <w:rPr>
                <w:rFonts w:ascii="Times New Roman" w:hAnsi="Times New Roman" w:cs="Times New Roman"/>
                <w:bCs/>
                <w:i/>
                <w:sz w:val="20"/>
              </w:rPr>
            </w:pPr>
            <w:r w:rsidRPr="00BB4558">
              <w:rPr>
                <w:rFonts w:ascii="Times New Roman" w:hAnsi="Times New Roman" w:cs="Times New Roman"/>
                <w:bCs/>
                <w:i/>
                <w:sz w:val="20"/>
              </w:rPr>
              <w:t>Biến phụ thuộc</w:t>
            </w:r>
          </w:p>
        </w:tc>
      </w:tr>
      <w:tr w:rsidR="008124C4" w:rsidRPr="00A31FEA" w:rsidTr="00022756">
        <w:trPr>
          <w:jc w:val="center"/>
        </w:trPr>
        <w:tc>
          <w:tcPr>
            <w:tcW w:w="4159" w:type="dxa"/>
          </w:tcPr>
          <w:p w:rsidR="008124C4" w:rsidRPr="00BB4558" w:rsidRDefault="008124C4" w:rsidP="008124C4">
            <w:pPr>
              <w:spacing w:line="240" w:lineRule="atLeast"/>
              <w:jc w:val="both"/>
              <w:rPr>
                <w:rFonts w:ascii="Times New Roman" w:hAnsi="Times New Roman" w:cs="Times New Roman"/>
                <w:bCs/>
                <w:sz w:val="20"/>
              </w:rPr>
            </w:pPr>
            <w:r w:rsidRPr="00BB4558">
              <w:rPr>
                <w:rFonts w:ascii="Times New Roman" w:hAnsi="Times New Roman" w:cs="Times New Roman"/>
                <w:bCs/>
                <w:sz w:val="20"/>
              </w:rPr>
              <w:t>- Tỷ lệ lợi nhuận ròng so với vốn chủ sở hữu (ROE)</w:t>
            </w:r>
          </w:p>
        </w:tc>
        <w:tc>
          <w:tcPr>
            <w:tcW w:w="4455" w:type="dxa"/>
          </w:tcPr>
          <w:tbl>
            <w:tblPr>
              <w:tblStyle w:val="TableGrid"/>
              <w:tblW w:w="239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93"/>
            </w:tblGrid>
            <w:tr w:rsidR="008124C4" w:rsidRPr="00BB4558" w:rsidTr="00022756">
              <w:trPr>
                <w:trHeight w:val="233"/>
                <w:jc w:val="center"/>
              </w:trPr>
              <w:tc>
                <w:tcPr>
                  <w:tcW w:w="2393" w:type="dxa"/>
                </w:tcPr>
                <w:p w:rsidR="008124C4" w:rsidRPr="00BB4558" w:rsidRDefault="008124C4" w:rsidP="008124C4">
                  <w:pPr>
                    <w:spacing w:line="240" w:lineRule="atLeast"/>
                    <w:jc w:val="center"/>
                    <w:rPr>
                      <w:rFonts w:ascii="Times New Roman" w:hAnsi="Times New Roman" w:cs="Times New Roman"/>
                      <w:bCs/>
                      <w:sz w:val="20"/>
                      <w:lang w:val="de-DE"/>
                    </w:rPr>
                  </w:pPr>
                  <w:r w:rsidRPr="00BB4558">
                    <w:rPr>
                      <w:rFonts w:ascii="Times New Roman" w:hAnsi="Times New Roman" w:cs="Times New Roman"/>
                      <w:bCs/>
                      <w:sz w:val="20"/>
                      <w:lang w:val="de-DE"/>
                    </w:rPr>
                    <w:t>Lợi nhuận ròng</w:t>
                  </w:r>
                </w:p>
              </w:tc>
            </w:tr>
            <w:tr w:rsidR="008124C4" w:rsidRPr="00BB4558" w:rsidTr="00022756">
              <w:trPr>
                <w:trHeight w:val="340"/>
                <w:jc w:val="center"/>
              </w:trPr>
              <w:tc>
                <w:tcPr>
                  <w:tcW w:w="2393" w:type="dxa"/>
                </w:tcPr>
                <w:p w:rsidR="008124C4" w:rsidRPr="00BB4558" w:rsidRDefault="008124C4" w:rsidP="008124C4">
                  <w:pPr>
                    <w:spacing w:line="240" w:lineRule="atLeast"/>
                    <w:jc w:val="center"/>
                    <w:rPr>
                      <w:rFonts w:ascii="Times New Roman" w:hAnsi="Times New Roman" w:cs="Times New Roman"/>
                      <w:bCs/>
                      <w:sz w:val="20"/>
                    </w:rPr>
                  </w:pPr>
                  <w:r w:rsidRPr="00BB4558">
                    <w:rPr>
                      <w:rFonts w:ascii="Times New Roman" w:hAnsi="Times New Roman" w:cs="Times New Roman"/>
                      <w:bCs/>
                      <w:sz w:val="20"/>
                    </w:rPr>
                    <w:t>Vốn chủ sở hữu</w:t>
                  </w:r>
                </w:p>
              </w:tc>
            </w:tr>
          </w:tbl>
          <w:p w:rsidR="008124C4" w:rsidRPr="00BB4558" w:rsidRDefault="008124C4" w:rsidP="008124C4">
            <w:pPr>
              <w:spacing w:line="240" w:lineRule="atLeast"/>
              <w:jc w:val="center"/>
              <w:rPr>
                <w:rFonts w:ascii="Times New Roman" w:hAnsi="Times New Roman" w:cs="Times New Roman"/>
                <w:bCs/>
                <w:sz w:val="20"/>
              </w:rPr>
            </w:pPr>
          </w:p>
        </w:tc>
      </w:tr>
      <w:tr w:rsidR="008124C4" w:rsidRPr="00A31FEA" w:rsidTr="00022756">
        <w:trPr>
          <w:jc w:val="center"/>
        </w:trPr>
        <w:tc>
          <w:tcPr>
            <w:tcW w:w="8614" w:type="dxa"/>
            <w:gridSpan w:val="2"/>
          </w:tcPr>
          <w:p w:rsidR="008124C4" w:rsidRPr="00BB4558" w:rsidRDefault="008124C4" w:rsidP="008124C4">
            <w:pPr>
              <w:spacing w:line="240" w:lineRule="atLeast"/>
              <w:jc w:val="both"/>
              <w:rPr>
                <w:rFonts w:ascii="Times New Roman" w:hAnsi="Times New Roman" w:cs="Times New Roman"/>
                <w:bCs/>
                <w:i/>
                <w:sz w:val="20"/>
              </w:rPr>
            </w:pPr>
            <w:r w:rsidRPr="00BB4558">
              <w:rPr>
                <w:rFonts w:ascii="Times New Roman" w:hAnsi="Times New Roman" w:cs="Times New Roman"/>
                <w:bCs/>
                <w:i/>
                <w:sz w:val="20"/>
              </w:rPr>
              <w:t>Biến độc lập</w:t>
            </w:r>
          </w:p>
        </w:tc>
      </w:tr>
      <w:tr w:rsidR="008124C4" w:rsidRPr="00A31FEA" w:rsidTr="00022756">
        <w:trPr>
          <w:jc w:val="center"/>
        </w:trPr>
        <w:tc>
          <w:tcPr>
            <w:tcW w:w="4159" w:type="dxa"/>
          </w:tcPr>
          <w:p w:rsidR="008124C4" w:rsidRPr="00BB4558" w:rsidRDefault="008124C4" w:rsidP="008124C4">
            <w:pPr>
              <w:spacing w:line="240" w:lineRule="atLeast"/>
              <w:jc w:val="both"/>
              <w:rPr>
                <w:rFonts w:ascii="Times New Roman" w:hAnsi="Times New Roman" w:cs="Times New Roman"/>
                <w:bCs/>
                <w:sz w:val="20"/>
              </w:rPr>
            </w:pPr>
            <w:r w:rsidRPr="00BB4558">
              <w:rPr>
                <w:rFonts w:ascii="Times New Roman" w:hAnsi="Times New Roman" w:cs="Times New Roman"/>
                <w:bCs/>
                <w:sz w:val="20"/>
              </w:rPr>
              <w:t>- Tỷ lệ an toàn vốn tối thiểu (CAR)</w:t>
            </w:r>
          </w:p>
        </w:tc>
        <w:tc>
          <w:tcPr>
            <w:tcW w:w="4455" w:type="dxa"/>
          </w:tcPr>
          <w:tbl>
            <w:tblPr>
              <w:tblStyle w:val="TableGrid"/>
              <w:tblW w:w="45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0"/>
            </w:tblGrid>
            <w:tr w:rsidR="008124C4" w:rsidRPr="00BB4558" w:rsidTr="00022756">
              <w:trPr>
                <w:trHeight w:val="222"/>
              </w:trPr>
              <w:tc>
                <w:tcPr>
                  <w:tcW w:w="4560" w:type="dxa"/>
                </w:tcPr>
                <w:p w:rsidR="008124C4" w:rsidRPr="00BB4558" w:rsidRDefault="008124C4" w:rsidP="008124C4">
                  <w:pPr>
                    <w:spacing w:line="240" w:lineRule="atLeast"/>
                    <w:jc w:val="center"/>
                    <w:rPr>
                      <w:rFonts w:ascii="Times New Roman" w:hAnsi="Times New Roman" w:cs="Times New Roman"/>
                      <w:bCs/>
                      <w:sz w:val="20"/>
                      <w:lang w:val="de-DE"/>
                    </w:rPr>
                  </w:pPr>
                  <w:r w:rsidRPr="00BB4558">
                    <w:rPr>
                      <w:rFonts w:ascii="Times New Roman" w:hAnsi="Times New Roman" w:cs="Times New Roman"/>
                      <w:bCs/>
                      <w:sz w:val="20"/>
                      <w:lang w:val="de-DE"/>
                    </w:rPr>
                    <w:t>vốn cấp 1 + vốn cấp 2</w:t>
                  </w:r>
                </w:p>
              </w:tc>
            </w:tr>
            <w:tr w:rsidR="008124C4" w:rsidRPr="00BB4558" w:rsidTr="00022756">
              <w:trPr>
                <w:trHeight w:val="325"/>
              </w:trPr>
              <w:tc>
                <w:tcPr>
                  <w:tcW w:w="4560" w:type="dxa"/>
                </w:tcPr>
                <w:p w:rsidR="008124C4" w:rsidRPr="00BB4558" w:rsidRDefault="008124C4" w:rsidP="008124C4">
                  <w:pPr>
                    <w:spacing w:line="240" w:lineRule="atLeast"/>
                    <w:jc w:val="center"/>
                    <w:rPr>
                      <w:rFonts w:ascii="Times New Roman" w:hAnsi="Times New Roman" w:cs="Times New Roman"/>
                      <w:bCs/>
                      <w:sz w:val="20"/>
                    </w:rPr>
                  </w:pPr>
                  <w:r w:rsidRPr="00BB4558">
                    <w:rPr>
                      <w:rFonts w:ascii="Times New Roman" w:hAnsi="Times New Roman" w:cs="Times New Roman"/>
                      <w:bCs/>
                      <w:sz w:val="20"/>
                    </w:rPr>
                    <w:t>Tài sản “có‘‘ điều chỉnh theo trọng số rủi ro</w:t>
                  </w:r>
                </w:p>
              </w:tc>
            </w:tr>
          </w:tbl>
          <w:p w:rsidR="008124C4" w:rsidRPr="00BB4558" w:rsidRDefault="008124C4" w:rsidP="008124C4">
            <w:pPr>
              <w:spacing w:line="240" w:lineRule="atLeast"/>
              <w:jc w:val="center"/>
              <w:rPr>
                <w:rFonts w:ascii="Times New Roman" w:hAnsi="Times New Roman" w:cs="Times New Roman"/>
                <w:bCs/>
                <w:sz w:val="20"/>
              </w:rPr>
            </w:pPr>
          </w:p>
        </w:tc>
      </w:tr>
      <w:tr w:rsidR="008124C4" w:rsidRPr="00A31FEA" w:rsidTr="00022756">
        <w:trPr>
          <w:jc w:val="center"/>
        </w:trPr>
        <w:tc>
          <w:tcPr>
            <w:tcW w:w="4159" w:type="dxa"/>
          </w:tcPr>
          <w:p w:rsidR="008124C4" w:rsidRPr="00BB4558" w:rsidRDefault="008124C4" w:rsidP="008124C4">
            <w:pPr>
              <w:spacing w:line="240" w:lineRule="atLeast"/>
              <w:jc w:val="both"/>
              <w:rPr>
                <w:rFonts w:ascii="Times New Roman" w:hAnsi="Times New Roman" w:cs="Times New Roman"/>
                <w:bCs/>
                <w:sz w:val="20"/>
              </w:rPr>
            </w:pPr>
            <w:r w:rsidRPr="00BB4558">
              <w:rPr>
                <w:rFonts w:ascii="Times New Roman" w:hAnsi="Times New Roman" w:cs="Times New Roman"/>
                <w:sz w:val="20"/>
              </w:rPr>
              <w:t>- Tỷ lệ nợ xấu so với dư nợ (NPLdn)</w:t>
            </w:r>
          </w:p>
        </w:tc>
        <w:tc>
          <w:tcPr>
            <w:tcW w:w="4455" w:type="dxa"/>
          </w:tcPr>
          <w:tbl>
            <w:tblPr>
              <w:tblStyle w:val="TableGrid"/>
              <w:tblW w:w="2098"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8"/>
            </w:tblGrid>
            <w:tr w:rsidR="008124C4" w:rsidRPr="00BB4558" w:rsidTr="00022756">
              <w:trPr>
                <w:trHeight w:val="192"/>
                <w:jc w:val="center"/>
              </w:trPr>
              <w:tc>
                <w:tcPr>
                  <w:tcW w:w="2098" w:type="dxa"/>
                </w:tcPr>
                <w:p w:rsidR="008124C4" w:rsidRPr="00BB4558" w:rsidRDefault="008124C4" w:rsidP="008124C4">
                  <w:pPr>
                    <w:spacing w:line="240" w:lineRule="atLeast"/>
                    <w:jc w:val="center"/>
                    <w:rPr>
                      <w:rFonts w:ascii="Times New Roman" w:hAnsi="Times New Roman" w:cs="Times New Roman"/>
                      <w:bCs/>
                      <w:sz w:val="20"/>
                      <w:lang w:val="de-DE"/>
                    </w:rPr>
                  </w:pPr>
                  <w:r w:rsidRPr="00BB4558">
                    <w:rPr>
                      <w:rFonts w:ascii="Times New Roman" w:hAnsi="Times New Roman" w:cs="Times New Roman"/>
                      <w:bCs/>
                      <w:sz w:val="20"/>
                      <w:lang w:val="de-DE"/>
                    </w:rPr>
                    <w:t>Nợ xấu</w:t>
                  </w:r>
                </w:p>
              </w:tc>
            </w:tr>
            <w:tr w:rsidR="008124C4" w:rsidRPr="00BB4558" w:rsidTr="00022756">
              <w:trPr>
                <w:trHeight w:val="154"/>
                <w:jc w:val="center"/>
              </w:trPr>
              <w:tc>
                <w:tcPr>
                  <w:tcW w:w="2098" w:type="dxa"/>
                </w:tcPr>
                <w:p w:rsidR="008124C4" w:rsidRPr="00BB4558" w:rsidRDefault="008124C4" w:rsidP="008124C4">
                  <w:pPr>
                    <w:spacing w:line="240" w:lineRule="atLeast"/>
                    <w:jc w:val="center"/>
                    <w:rPr>
                      <w:rFonts w:ascii="Times New Roman" w:hAnsi="Times New Roman" w:cs="Times New Roman"/>
                      <w:bCs/>
                      <w:sz w:val="20"/>
                      <w:lang w:val="de-DE"/>
                    </w:rPr>
                  </w:pPr>
                  <w:r w:rsidRPr="00BB4558">
                    <w:rPr>
                      <w:rFonts w:ascii="Times New Roman" w:hAnsi="Times New Roman" w:cs="Times New Roman"/>
                      <w:bCs/>
                      <w:sz w:val="20"/>
                      <w:lang w:val="de-DE"/>
                    </w:rPr>
                    <w:t>Tổng dư nợ</w:t>
                  </w:r>
                </w:p>
              </w:tc>
            </w:tr>
          </w:tbl>
          <w:p w:rsidR="008124C4" w:rsidRPr="00BB4558" w:rsidRDefault="008124C4" w:rsidP="008124C4">
            <w:pPr>
              <w:spacing w:line="240" w:lineRule="atLeast"/>
              <w:jc w:val="center"/>
              <w:rPr>
                <w:rFonts w:ascii="Times New Roman" w:hAnsi="Times New Roman" w:cs="Times New Roman"/>
                <w:bCs/>
                <w:sz w:val="20"/>
              </w:rPr>
            </w:pPr>
          </w:p>
        </w:tc>
      </w:tr>
      <w:tr w:rsidR="008124C4" w:rsidRPr="00A31FEA" w:rsidTr="00022756">
        <w:trPr>
          <w:jc w:val="center"/>
        </w:trPr>
        <w:tc>
          <w:tcPr>
            <w:tcW w:w="4159" w:type="dxa"/>
          </w:tcPr>
          <w:p w:rsidR="008124C4" w:rsidRPr="00BB4558" w:rsidRDefault="008124C4" w:rsidP="008124C4">
            <w:pPr>
              <w:spacing w:line="240" w:lineRule="atLeast"/>
              <w:jc w:val="both"/>
              <w:rPr>
                <w:rFonts w:ascii="Times New Roman" w:hAnsi="Times New Roman" w:cs="Times New Roman"/>
                <w:bCs/>
                <w:sz w:val="20"/>
              </w:rPr>
            </w:pPr>
            <w:r w:rsidRPr="00BB4558">
              <w:rPr>
                <w:rFonts w:ascii="Times New Roman" w:hAnsi="Times New Roman" w:cs="Times New Roman"/>
                <w:sz w:val="20"/>
              </w:rPr>
              <w:t>- Tỷ lệ nợ có khả năng mất vốn so với dư nợ (NPLmv)</w:t>
            </w:r>
          </w:p>
        </w:tc>
        <w:tc>
          <w:tcPr>
            <w:tcW w:w="4455" w:type="dxa"/>
          </w:tcPr>
          <w:tbl>
            <w:tblPr>
              <w:tblStyle w:val="TableGrid"/>
              <w:tblW w:w="2888"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8"/>
            </w:tblGrid>
            <w:tr w:rsidR="008124C4" w:rsidRPr="00BB4558" w:rsidTr="00022756">
              <w:trPr>
                <w:trHeight w:val="192"/>
                <w:jc w:val="center"/>
              </w:trPr>
              <w:tc>
                <w:tcPr>
                  <w:tcW w:w="2888" w:type="dxa"/>
                </w:tcPr>
                <w:p w:rsidR="008124C4" w:rsidRPr="00BB4558" w:rsidRDefault="008124C4" w:rsidP="008124C4">
                  <w:pPr>
                    <w:spacing w:line="240" w:lineRule="atLeast"/>
                    <w:jc w:val="center"/>
                    <w:rPr>
                      <w:rFonts w:ascii="Times New Roman" w:hAnsi="Times New Roman" w:cs="Times New Roman"/>
                      <w:bCs/>
                      <w:sz w:val="20"/>
                    </w:rPr>
                  </w:pPr>
                  <w:r w:rsidRPr="00BB4558">
                    <w:rPr>
                      <w:rFonts w:ascii="Times New Roman" w:hAnsi="Times New Roman" w:cs="Times New Roman"/>
                      <w:bCs/>
                      <w:sz w:val="20"/>
                    </w:rPr>
                    <w:t>Nợ có khả năng mất vốn</w:t>
                  </w:r>
                </w:p>
              </w:tc>
            </w:tr>
            <w:tr w:rsidR="008124C4" w:rsidRPr="00BB4558" w:rsidTr="00022756">
              <w:trPr>
                <w:trHeight w:val="154"/>
                <w:jc w:val="center"/>
              </w:trPr>
              <w:tc>
                <w:tcPr>
                  <w:tcW w:w="2888" w:type="dxa"/>
                </w:tcPr>
                <w:p w:rsidR="008124C4" w:rsidRPr="00BB4558" w:rsidRDefault="008124C4" w:rsidP="008124C4">
                  <w:pPr>
                    <w:spacing w:line="240" w:lineRule="atLeast"/>
                    <w:jc w:val="center"/>
                    <w:rPr>
                      <w:rFonts w:ascii="Times New Roman" w:hAnsi="Times New Roman" w:cs="Times New Roman"/>
                      <w:bCs/>
                      <w:sz w:val="20"/>
                      <w:lang w:val="de-DE"/>
                    </w:rPr>
                  </w:pPr>
                  <w:r w:rsidRPr="00BB4558">
                    <w:rPr>
                      <w:rFonts w:ascii="Times New Roman" w:hAnsi="Times New Roman" w:cs="Times New Roman"/>
                      <w:bCs/>
                      <w:sz w:val="20"/>
                      <w:lang w:val="de-DE"/>
                    </w:rPr>
                    <w:t>Tổng dư nợ</w:t>
                  </w:r>
                </w:p>
              </w:tc>
            </w:tr>
          </w:tbl>
          <w:p w:rsidR="008124C4" w:rsidRPr="00BB4558" w:rsidRDefault="008124C4" w:rsidP="008124C4">
            <w:pPr>
              <w:spacing w:line="240" w:lineRule="atLeast"/>
              <w:jc w:val="center"/>
              <w:rPr>
                <w:rFonts w:ascii="Times New Roman" w:hAnsi="Times New Roman" w:cs="Times New Roman"/>
                <w:bCs/>
                <w:sz w:val="20"/>
              </w:rPr>
            </w:pPr>
          </w:p>
        </w:tc>
      </w:tr>
      <w:tr w:rsidR="008124C4" w:rsidRPr="00A31FEA" w:rsidTr="00022756">
        <w:trPr>
          <w:jc w:val="center"/>
        </w:trPr>
        <w:tc>
          <w:tcPr>
            <w:tcW w:w="4159" w:type="dxa"/>
          </w:tcPr>
          <w:p w:rsidR="008124C4" w:rsidRPr="00BB4558" w:rsidRDefault="008124C4" w:rsidP="008124C4">
            <w:pPr>
              <w:spacing w:line="240" w:lineRule="atLeast"/>
              <w:jc w:val="both"/>
              <w:rPr>
                <w:rFonts w:ascii="Times New Roman" w:hAnsi="Times New Roman" w:cs="Times New Roman"/>
                <w:sz w:val="20"/>
              </w:rPr>
            </w:pPr>
            <w:r w:rsidRPr="00BB4558">
              <w:rPr>
                <w:rFonts w:ascii="Times New Roman" w:hAnsi="Times New Roman" w:cs="Times New Roman"/>
                <w:sz w:val="20"/>
              </w:rPr>
              <w:t>- Tỷ lệ dự phòng rủi ro cho vay (LLPR)</w:t>
            </w:r>
          </w:p>
        </w:tc>
        <w:tc>
          <w:tcPr>
            <w:tcW w:w="4455" w:type="dxa"/>
          </w:tcPr>
          <w:tbl>
            <w:tblPr>
              <w:tblStyle w:val="TableGrid"/>
              <w:tblpPr w:leftFromText="180" w:rightFromText="180" w:vertAnchor="text" w:horzAnchor="margin" w:tblpXSpec="center" w:tblpY="-137"/>
              <w:tblOverlap w:val="never"/>
              <w:tblW w:w="331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11"/>
            </w:tblGrid>
            <w:tr w:rsidR="008124C4" w:rsidRPr="00BB4558" w:rsidTr="00022756">
              <w:trPr>
                <w:trHeight w:val="167"/>
              </w:trPr>
              <w:tc>
                <w:tcPr>
                  <w:tcW w:w="3311" w:type="dxa"/>
                </w:tcPr>
                <w:p w:rsidR="008124C4" w:rsidRPr="00BB4558" w:rsidRDefault="008124C4" w:rsidP="008124C4">
                  <w:pPr>
                    <w:spacing w:line="240" w:lineRule="atLeast"/>
                    <w:jc w:val="center"/>
                    <w:rPr>
                      <w:rFonts w:ascii="Times New Roman" w:hAnsi="Times New Roman" w:cs="Times New Roman"/>
                      <w:bCs/>
                      <w:sz w:val="20"/>
                    </w:rPr>
                  </w:pPr>
                  <w:r w:rsidRPr="00BB4558">
                    <w:rPr>
                      <w:rFonts w:ascii="Times New Roman" w:hAnsi="Times New Roman" w:cs="Times New Roman"/>
                      <w:bCs/>
                      <w:sz w:val="20"/>
                    </w:rPr>
                    <w:t>Dự phòng rủi ro cho vay</w:t>
                  </w:r>
                </w:p>
              </w:tc>
            </w:tr>
            <w:tr w:rsidR="008124C4" w:rsidRPr="00BB4558" w:rsidTr="00022756">
              <w:trPr>
                <w:trHeight w:val="134"/>
              </w:trPr>
              <w:tc>
                <w:tcPr>
                  <w:tcW w:w="3311" w:type="dxa"/>
                </w:tcPr>
                <w:p w:rsidR="008124C4" w:rsidRPr="00BB4558" w:rsidRDefault="008124C4" w:rsidP="008124C4">
                  <w:pPr>
                    <w:spacing w:line="240" w:lineRule="atLeast"/>
                    <w:jc w:val="center"/>
                    <w:rPr>
                      <w:rFonts w:ascii="Times New Roman" w:hAnsi="Times New Roman" w:cs="Times New Roman"/>
                      <w:bCs/>
                      <w:sz w:val="20"/>
                      <w:lang w:val="de-DE"/>
                    </w:rPr>
                  </w:pPr>
                  <w:r w:rsidRPr="00BB4558">
                    <w:rPr>
                      <w:rFonts w:ascii="Times New Roman" w:hAnsi="Times New Roman" w:cs="Times New Roman"/>
                      <w:bCs/>
                      <w:sz w:val="20"/>
                      <w:lang w:val="de-DE"/>
                    </w:rPr>
                    <w:t>Tổng dư nợ</w:t>
                  </w:r>
                </w:p>
              </w:tc>
            </w:tr>
          </w:tbl>
          <w:p w:rsidR="008124C4" w:rsidRPr="00BB4558" w:rsidRDefault="008124C4" w:rsidP="008124C4">
            <w:pPr>
              <w:spacing w:line="240" w:lineRule="atLeast"/>
              <w:jc w:val="both"/>
              <w:rPr>
                <w:rFonts w:ascii="Times New Roman" w:hAnsi="Times New Roman" w:cs="Times New Roman"/>
                <w:sz w:val="20"/>
              </w:rPr>
            </w:pPr>
          </w:p>
        </w:tc>
      </w:tr>
      <w:tr w:rsidR="008124C4" w:rsidRPr="00A31FEA" w:rsidTr="00022756">
        <w:trPr>
          <w:jc w:val="center"/>
        </w:trPr>
        <w:tc>
          <w:tcPr>
            <w:tcW w:w="4159" w:type="dxa"/>
          </w:tcPr>
          <w:p w:rsidR="008124C4" w:rsidRPr="00BB4558" w:rsidRDefault="00BB4558" w:rsidP="008124C4">
            <w:pPr>
              <w:tabs>
                <w:tab w:val="left" w:pos="3420"/>
              </w:tabs>
              <w:spacing w:line="240" w:lineRule="atLeast"/>
              <w:jc w:val="both"/>
              <w:rPr>
                <w:rFonts w:ascii="Times New Roman" w:hAnsi="Times New Roman" w:cs="Times New Roman"/>
                <w:sz w:val="20"/>
              </w:rPr>
            </w:pPr>
            <w:r w:rsidRPr="00BB4558">
              <w:rPr>
                <w:rFonts w:ascii="Times New Roman" w:hAnsi="Times New Roman" w:cs="Times New Roman"/>
                <w:sz w:val="20"/>
              </w:rPr>
              <w:t>-</w:t>
            </w:r>
            <w:r w:rsidR="008124C4" w:rsidRPr="00BB4558">
              <w:rPr>
                <w:rFonts w:ascii="Times New Roman" w:hAnsi="Times New Roman" w:cs="Times New Roman"/>
                <w:sz w:val="20"/>
              </w:rPr>
              <w:t xml:space="preserve"> Dư nợ so với tổng tiền gửi (LTD)</w:t>
            </w:r>
          </w:p>
        </w:tc>
        <w:tc>
          <w:tcPr>
            <w:tcW w:w="4455" w:type="dxa"/>
          </w:tcPr>
          <w:tbl>
            <w:tblPr>
              <w:tblStyle w:val="TableGrid"/>
              <w:tblpPr w:leftFromText="180" w:rightFromText="180" w:vertAnchor="text" w:horzAnchor="margin" w:tblpXSpec="center" w:tblpY="-242"/>
              <w:tblOverlap w:val="never"/>
              <w:tblW w:w="28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8"/>
            </w:tblGrid>
            <w:tr w:rsidR="008124C4" w:rsidRPr="00BB4558" w:rsidTr="00022756">
              <w:trPr>
                <w:trHeight w:val="192"/>
              </w:trPr>
              <w:tc>
                <w:tcPr>
                  <w:tcW w:w="2888" w:type="dxa"/>
                </w:tcPr>
                <w:p w:rsidR="008124C4" w:rsidRPr="00BB4558" w:rsidRDefault="008124C4" w:rsidP="008124C4">
                  <w:pPr>
                    <w:spacing w:line="240" w:lineRule="atLeast"/>
                    <w:jc w:val="center"/>
                    <w:rPr>
                      <w:rFonts w:ascii="Times New Roman" w:hAnsi="Times New Roman" w:cs="Times New Roman"/>
                      <w:bCs/>
                      <w:sz w:val="20"/>
                      <w:lang w:val="de-DE"/>
                    </w:rPr>
                  </w:pPr>
                  <w:r w:rsidRPr="00BB4558">
                    <w:rPr>
                      <w:rFonts w:ascii="Times New Roman" w:hAnsi="Times New Roman" w:cs="Times New Roman"/>
                      <w:bCs/>
                      <w:sz w:val="20"/>
                      <w:lang w:val="de-DE"/>
                    </w:rPr>
                    <w:t>Tổng dư nợ</w:t>
                  </w:r>
                </w:p>
              </w:tc>
            </w:tr>
            <w:tr w:rsidR="008124C4" w:rsidRPr="00BB4558" w:rsidTr="00022756">
              <w:trPr>
                <w:trHeight w:val="154"/>
              </w:trPr>
              <w:tc>
                <w:tcPr>
                  <w:tcW w:w="2888" w:type="dxa"/>
                </w:tcPr>
                <w:p w:rsidR="008124C4" w:rsidRPr="00BB4558" w:rsidRDefault="008124C4" w:rsidP="008124C4">
                  <w:pPr>
                    <w:spacing w:line="240" w:lineRule="atLeast"/>
                    <w:jc w:val="center"/>
                    <w:rPr>
                      <w:rFonts w:ascii="Times New Roman" w:hAnsi="Times New Roman" w:cs="Times New Roman"/>
                      <w:bCs/>
                      <w:sz w:val="20"/>
                    </w:rPr>
                  </w:pPr>
                  <w:r w:rsidRPr="00BB4558">
                    <w:rPr>
                      <w:rFonts w:ascii="Times New Roman" w:hAnsi="Times New Roman" w:cs="Times New Roman"/>
                      <w:bCs/>
                      <w:sz w:val="20"/>
                    </w:rPr>
                    <w:t>Tổng tiền gửi khách hàng</w:t>
                  </w:r>
                </w:p>
              </w:tc>
            </w:tr>
          </w:tbl>
          <w:p w:rsidR="008124C4" w:rsidRPr="00BB4558" w:rsidRDefault="008124C4" w:rsidP="008124C4">
            <w:pPr>
              <w:spacing w:line="240" w:lineRule="atLeast"/>
              <w:jc w:val="both"/>
              <w:rPr>
                <w:rFonts w:ascii="Times New Roman" w:hAnsi="Times New Roman" w:cs="Times New Roman"/>
                <w:sz w:val="20"/>
              </w:rPr>
            </w:pPr>
          </w:p>
        </w:tc>
      </w:tr>
    </w:tbl>
    <w:p w:rsidR="008124C4" w:rsidRPr="008124C4" w:rsidRDefault="008124C4" w:rsidP="008124C4">
      <w:pPr>
        <w:spacing w:before="120" w:after="120" w:line="240" w:lineRule="auto"/>
        <w:ind w:firstLine="567"/>
        <w:jc w:val="center"/>
        <w:rPr>
          <w:rFonts w:ascii="Times New Roman" w:hAnsi="Times New Roman" w:cs="Times New Roman"/>
          <w:sz w:val="6"/>
          <w:szCs w:val="24"/>
        </w:rPr>
      </w:pPr>
    </w:p>
    <w:p w:rsidR="00A165ED" w:rsidRDefault="00A165ED" w:rsidP="00063CD3">
      <w:pPr>
        <w:spacing w:before="120" w:after="120" w:line="240" w:lineRule="auto"/>
        <w:jc w:val="both"/>
        <w:rPr>
          <w:rFonts w:ascii="Times New Roman" w:hAnsi="Times New Roman" w:cs="Times New Roman"/>
          <w:b/>
          <w:sz w:val="24"/>
        </w:rPr>
        <w:sectPr w:rsidR="00A165ED" w:rsidSect="00412254">
          <w:footnotePr>
            <w:numFmt w:val="upperRoman"/>
          </w:footnotePr>
          <w:type w:val="continuous"/>
          <w:pgSz w:w="10773" w:h="15309" w:code="9"/>
          <w:pgMar w:top="1134" w:right="1134" w:bottom="1134" w:left="1134" w:header="0" w:footer="0" w:gutter="0"/>
          <w:cols w:space="720"/>
          <w:docGrid w:linePitch="360"/>
        </w:sectPr>
      </w:pPr>
    </w:p>
    <w:p w:rsidR="00336B03" w:rsidRPr="009C3778" w:rsidRDefault="00336B03" w:rsidP="00063CD3">
      <w:pPr>
        <w:spacing w:before="120" w:after="120" w:line="240" w:lineRule="auto"/>
        <w:jc w:val="both"/>
        <w:rPr>
          <w:rFonts w:ascii="Times New Roman" w:hAnsi="Times New Roman" w:cs="Times New Roman"/>
          <w:b/>
          <w:sz w:val="24"/>
        </w:rPr>
      </w:pPr>
      <w:r w:rsidRPr="009C3778">
        <w:rPr>
          <w:rFonts w:ascii="Times New Roman" w:hAnsi="Times New Roman" w:cs="Times New Roman"/>
          <w:b/>
          <w:sz w:val="24"/>
        </w:rPr>
        <w:lastRenderedPageBreak/>
        <w:t>3.3</w:t>
      </w:r>
      <w:r w:rsidR="00812DF0">
        <w:rPr>
          <w:rFonts w:ascii="Times New Roman" w:hAnsi="Times New Roman" w:cs="Times New Roman"/>
          <w:b/>
          <w:sz w:val="24"/>
          <w:lang w:val="vi-VN"/>
        </w:rPr>
        <w:t>.</w:t>
      </w:r>
      <w:r w:rsidRPr="009C3778">
        <w:rPr>
          <w:rFonts w:ascii="Times New Roman" w:hAnsi="Times New Roman" w:cs="Times New Roman"/>
          <w:b/>
          <w:sz w:val="24"/>
        </w:rPr>
        <w:t xml:space="preserve"> Phương pháp nghiên cứu </w:t>
      </w:r>
    </w:p>
    <w:p w:rsidR="00342347" w:rsidRPr="00A31FEA" w:rsidRDefault="00BE5746" w:rsidP="00B93D4F">
      <w:pPr>
        <w:spacing w:after="0"/>
        <w:ind w:firstLine="567"/>
        <w:jc w:val="both"/>
        <w:rPr>
          <w:rFonts w:ascii="Times New Roman" w:hAnsi="Times New Roman" w:cs="Times New Roman"/>
          <w:sz w:val="24"/>
          <w:szCs w:val="24"/>
        </w:rPr>
      </w:pPr>
      <w:r w:rsidRPr="00A31FEA">
        <w:rPr>
          <w:rFonts w:ascii="Times New Roman" w:hAnsi="Times New Roman" w:cs="Times New Roman"/>
          <w:sz w:val="24"/>
          <w:szCs w:val="24"/>
        </w:rPr>
        <w:t xml:space="preserve">Để đánh giá </w:t>
      </w:r>
      <w:r w:rsidR="000F53E5">
        <w:rPr>
          <w:rFonts w:ascii="Times New Roman" w:hAnsi="Times New Roman" w:cs="Times New Roman"/>
          <w:sz w:val="24"/>
          <w:szCs w:val="24"/>
        </w:rPr>
        <w:t>tác động của rủi ro tín dụng đến khả năng sinh lờ</w:t>
      </w:r>
      <w:r w:rsidR="00AB0A8C">
        <w:rPr>
          <w:rFonts w:ascii="Times New Roman" w:hAnsi="Times New Roman" w:cs="Times New Roman"/>
          <w:sz w:val="24"/>
          <w:szCs w:val="24"/>
        </w:rPr>
        <w:t>i</w:t>
      </w:r>
      <w:r w:rsidRPr="00A31FEA">
        <w:rPr>
          <w:rFonts w:ascii="Times New Roman" w:hAnsi="Times New Roman" w:cs="Times New Roman"/>
          <w:sz w:val="24"/>
          <w:szCs w:val="24"/>
        </w:rPr>
        <w:t xml:space="preserve"> của các </w:t>
      </w:r>
      <w:r w:rsidR="00D871A4">
        <w:rPr>
          <w:rFonts w:ascii="Times New Roman" w:hAnsi="Times New Roman" w:cs="Times New Roman"/>
          <w:sz w:val="24"/>
          <w:szCs w:val="24"/>
        </w:rPr>
        <w:t>NHTM</w:t>
      </w:r>
      <w:r w:rsidR="000F53E5">
        <w:rPr>
          <w:rFonts w:ascii="Times New Roman" w:hAnsi="Times New Roman" w:cs="Times New Roman"/>
          <w:sz w:val="24"/>
          <w:szCs w:val="24"/>
        </w:rPr>
        <w:t>,</w:t>
      </w:r>
      <w:r w:rsidR="0068507F">
        <w:rPr>
          <w:rFonts w:ascii="Times New Roman" w:hAnsi="Times New Roman" w:cs="Times New Roman"/>
          <w:sz w:val="24"/>
          <w:szCs w:val="24"/>
        </w:rPr>
        <w:t xml:space="preserve"> </w:t>
      </w:r>
      <w:r w:rsidRPr="00A31FEA">
        <w:rPr>
          <w:rFonts w:ascii="Times New Roman" w:hAnsi="Times New Roman" w:cs="Times New Roman"/>
          <w:sz w:val="24"/>
          <w:szCs w:val="24"/>
        </w:rPr>
        <w:t>n</w:t>
      </w:r>
      <w:r w:rsidR="00342347" w:rsidRPr="00A31FEA">
        <w:rPr>
          <w:rFonts w:ascii="Times New Roman" w:hAnsi="Times New Roman" w:cs="Times New Roman"/>
          <w:sz w:val="24"/>
          <w:szCs w:val="24"/>
        </w:rPr>
        <w:t>ghiên cứ</w:t>
      </w:r>
      <w:r w:rsidR="008F638C" w:rsidRPr="00A31FEA">
        <w:rPr>
          <w:rFonts w:ascii="Times New Roman" w:hAnsi="Times New Roman" w:cs="Times New Roman"/>
          <w:sz w:val="24"/>
          <w:szCs w:val="24"/>
        </w:rPr>
        <w:t>u</w:t>
      </w:r>
      <w:r w:rsidR="00342347" w:rsidRPr="00A31FEA">
        <w:rPr>
          <w:rFonts w:ascii="Times New Roman" w:hAnsi="Times New Roman" w:cs="Times New Roman"/>
          <w:sz w:val="24"/>
          <w:szCs w:val="24"/>
        </w:rPr>
        <w:t xml:space="preserve"> sử dụng mô hình hồi quy dữ liệu bảng bao gồm </w:t>
      </w:r>
      <w:r w:rsidRPr="00A31FEA">
        <w:rPr>
          <w:rFonts w:ascii="Times New Roman" w:hAnsi="Times New Roman" w:cs="Times New Roman"/>
          <w:sz w:val="24"/>
          <w:szCs w:val="24"/>
        </w:rPr>
        <w:t xml:space="preserve">ba phương pháp: phương pháp </w:t>
      </w:r>
      <w:r w:rsidR="00342347" w:rsidRPr="00A31FEA">
        <w:rPr>
          <w:rFonts w:ascii="Times New Roman" w:hAnsi="Times New Roman" w:cs="Times New Roman"/>
          <w:sz w:val="24"/>
          <w:szCs w:val="24"/>
        </w:rPr>
        <w:t>các ảnh hưởng cố định</w:t>
      </w:r>
      <w:r w:rsidRPr="00A31FEA">
        <w:rPr>
          <w:rFonts w:ascii="Times New Roman" w:hAnsi="Times New Roman" w:cs="Times New Roman"/>
          <w:sz w:val="24"/>
          <w:szCs w:val="24"/>
        </w:rPr>
        <w:t xml:space="preserve"> (FEM),</w:t>
      </w:r>
      <w:r w:rsidR="00342347" w:rsidRPr="00A31FEA">
        <w:rPr>
          <w:rFonts w:ascii="Times New Roman" w:hAnsi="Times New Roman" w:cs="Times New Roman"/>
          <w:sz w:val="24"/>
          <w:szCs w:val="24"/>
        </w:rPr>
        <w:t xml:space="preserve"> ảnh hưởng ngẫu nhiên</w:t>
      </w:r>
      <w:r w:rsidRPr="00A31FEA">
        <w:rPr>
          <w:rFonts w:ascii="Times New Roman" w:hAnsi="Times New Roman" w:cs="Times New Roman"/>
          <w:sz w:val="24"/>
          <w:szCs w:val="24"/>
        </w:rPr>
        <w:t xml:space="preserve"> (</w:t>
      </w:r>
      <w:r w:rsidR="00BA2FF9" w:rsidRPr="00CA5FD0">
        <w:rPr>
          <w:rFonts w:ascii="Times New Roman" w:hAnsi="Times New Roman" w:cs="Times New Roman"/>
          <w:sz w:val="24"/>
          <w:szCs w:val="24"/>
        </w:rPr>
        <w:t xml:space="preserve">Random Effects Model </w:t>
      </w:r>
      <w:r w:rsidR="0068507F">
        <w:rPr>
          <w:rFonts w:ascii="Times New Roman" w:hAnsi="Times New Roman" w:cs="Times New Roman"/>
          <w:sz w:val="24"/>
          <w:szCs w:val="24"/>
        </w:rPr>
        <w:t>-</w:t>
      </w:r>
      <w:r w:rsidR="00BA2FF9" w:rsidRPr="00CA5FD0">
        <w:rPr>
          <w:rFonts w:ascii="Times New Roman" w:hAnsi="Times New Roman" w:cs="Times New Roman"/>
          <w:sz w:val="24"/>
          <w:szCs w:val="24"/>
        </w:rPr>
        <w:t xml:space="preserve"> REM</w:t>
      </w:r>
      <w:r w:rsidRPr="00A31FEA">
        <w:rPr>
          <w:rFonts w:ascii="Times New Roman" w:hAnsi="Times New Roman" w:cs="Times New Roman"/>
          <w:sz w:val="24"/>
          <w:szCs w:val="24"/>
        </w:rPr>
        <w:t>)</w:t>
      </w:r>
      <w:r w:rsidR="0068507F">
        <w:rPr>
          <w:rFonts w:ascii="Times New Roman" w:hAnsi="Times New Roman" w:cs="Times New Roman"/>
          <w:sz w:val="24"/>
          <w:szCs w:val="24"/>
        </w:rPr>
        <w:t xml:space="preserve"> </w:t>
      </w:r>
      <w:r w:rsidRPr="00A31FEA">
        <w:rPr>
          <w:rFonts w:ascii="Times New Roman" w:hAnsi="Times New Roman" w:cs="Times New Roman"/>
          <w:sz w:val="24"/>
          <w:szCs w:val="24"/>
        </w:rPr>
        <w:t xml:space="preserve">và phương pháp hồi quy bình phương bé nhất (OLS) </w:t>
      </w:r>
      <w:r w:rsidR="00342347" w:rsidRPr="00A31FEA">
        <w:rPr>
          <w:rFonts w:ascii="Times New Roman" w:hAnsi="Times New Roman" w:cs="Times New Roman"/>
          <w:sz w:val="24"/>
          <w:szCs w:val="24"/>
        </w:rPr>
        <w:t>với khoảng thời gian 1</w:t>
      </w:r>
      <w:r w:rsidR="000F53E5">
        <w:rPr>
          <w:rFonts w:ascii="Times New Roman" w:hAnsi="Times New Roman" w:cs="Times New Roman"/>
          <w:sz w:val="24"/>
          <w:szCs w:val="24"/>
        </w:rPr>
        <w:t>1</w:t>
      </w:r>
      <w:r w:rsidR="00342347" w:rsidRPr="00A31FEA">
        <w:rPr>
          <w:rFonts w:ascii="Times New Roman" w:hAnsi="Times New Roman" w:cs="Times New Roman"/>
          <w:sz w:val="24"/>
          <w:szCs w:val="24"/>
        </w:rPr>
        <w:t xml:space="preserve"> năm (2007-201</w:t>
      </w:r>
      <w:r w:rsidR="000F53E5">
        <w:rPr>
          <w:rFonts w:ascii="Times New Roman" w:hAnsi="Times New Roman" w:cs="Times New Roman"/>
          <w:sz w:val="24"/>
          <w:szCs w:val="24"/>
        </w:rPr>
        <w:t>7</w:t>
      </w:r>
      <w:r w:rsidR="00342347" w:rsidRPr="00A31FEA">
        <w:rPr>
          <w:rFonts w:ascii="Times New Roman" w:hAnsi="Times New Roman" w:cs="Times New Roman"/>
          <w:sz w:val="24"/>
          <w:szCs w:val="24"/>
        </w:rPr>
        <w:t xml:space="preserve">). </w:t>
      </w:r>
      <w:r w:rsidR="00EE3E26" w:rsidRPr="00A31FEA">
        <w:rPr>
          <w:rFonts w:ascii="Times New Roman" w:hAnsi="Times New Roman" w:cs="Times New Roman"/>
          <w:sz w:val="24"/>
          <w:szCs w:val="24"/>
        </w:rPr>
        <w:t xml:space="preserve">Dữ liệu của 12 ngân hàng được lấy từ </w:t>
      </w:r>
      <w:r w:rsidR="00FD60BB" w:rsidRPr="00A31FEA">
        <w:rPr>
          <w:rFonts w:ascii="Times New Roman" w:hAnsi="Times New Roman" w:cs="Times New Roman"/>
          <w:sz w:val="24"/>
          <w:szCs w:val="24"/>
        </w:rPr>
        <w:t xml:space="preserve">các nguồn tin cậy từ </w:t>
      </w:r>
      <w:r w:rsidR="00EE3E26" w:rsidRPr="00A31FEA">
        <w:rPr>
          <w:rFonts w:ascii="Times New Roman" w:hAnsi="Times New Roman" w:cs="Times New Roman"/>
          <w:sz w:val="24"/>
          <w:szCs w:val="24"/>
        </w:rPr>
        <w:t>báo cáo tài chính đã được kiểm toán và báo cáo thường niên.</w:t>
      </w:r>
    </w:p>
    <w:p w:rsidR="00B22CA7" w:rsidRPr="00A31FEA" w:rsidRDefault="00B22CA7" w:rsidP="00AB0A8C">
      <w:pPr>
        <w:pStyle w:val="Default"/>
        <w:spacing w:line="276" w:lineRule="auto"/>
        <w:jc w:val="both"/>
        <w:rPr>
          <w:b/>
          <w:i/>
        </w:rPr>
      </w:pPr>
      <w:r w:rsidRPr="00A31FEA">
        <w:rPr>
          <w:b/>
          <w:i/>
        </w:rPr>
        <w:t>Mô hình các ảnh hưởng cố định (FEM):</w:t>
      </w:r>
    </w:p>
    <w:p w:rsidR="00B22CA7" w:rsidRDefault="00B4466D" w:rsidP="00FB27A5">
      <w:pPr>
        <w:pStyle w:val="Default"/>
        <w:spacing w:line="276" w:lineRule="auto"/>
        <w:jc w:val="center"/>
        <w:rPr>
          <w:i/>
          <w:iCs/>
        </w:rPr>
      </w:pPr>
      <w:r w:rsidRPr="00A31FEA">
        <w:rPr>
          <w:i/>
          <w:iCs/>
        </w:rPr>
        <w:lastRenderedPageBreak/>
        <w:t>Y</w:t>
      </w:r>
      <w:r w:rsidR="005963BA">
        <w:rPr>
          <w:i/>
          <w:iCs/>
        </w:rPr>
        <w:t>it = β1+ β2</w:t>
      </w:r>
      <w:r w:rsidR="00C0673C" w:rsidRPr="00A31FEA">
        <w:rPr>
          <w:i/>
          <w:iCs/>
        </w:rPr>
        <w:t xml:space="preserve">X2it + β3X3it + β4X4it + β5X5it </w:t>
      </w:r>
      <w:r w:rsidRPr="00A31FEA">
        <w:rPr>
          <w:i/>
          <w:iCs/>
        </w:rPr>
        <w:t>+ uit</w:t>
      </w:r>
      <w:r w:rsidR="000A68BC" w:rsidRPr="00A31FEA">
        <w:rPr>
          <w:i/>
          <w:iCs/>
        </w:rPr>
        <w:t>(1)</w:t>
      </w:r>
    </w:p>
    <w:p w:rsidR="00E64D0A" w:rsidRDefault="00E64D0A" w:rsidP="00FB27A5">
      <w:pPr>
        <w:spacing w:after="0"/>
        <w:ind w:firstLine="567"/>
        <w:rPr>
          <w:rFonts w:ascii="Times New Roman" w:hAnsi="Times New Roman" w:cs="Times New Roman"/>
          <w:i/>
          <w:iCs/>
          <w:sz w:val="24"/>
          <w:szCs w:val="24"/>
        </w:rPr>
      </w:pPr>
      <w:r>
        <w:rPr>
          <w:rFonts w:ascii="Times New Roman" w:hAnsi="Times New Roman" w:cs="Times New Roman"/>
          <w:i/>
          <w:iCs/>
          <w:sz w:val="24"/>
          <w:szCs w:val="24"/>
        </w:rPr>
        <w:t>i=1,2,3…12</w:t>
      </w:r>
    </w:p>
    <w:p w:rsidR="00E64D0A" w:rsidRDefault="00E64D0A" w:rsidP="008124C4">
      <w:pPr>
        <w:spacing w:after="0"/>
        <w:ind w:firstLine="567"/>
        <w:rPr>
          <w:rFonts w:ascii="Times New Roman" w:hAnsi="Times New Roman" w:cs="Times New Roman"/>
          <w:i/>
          <w:iCs/>
          <w:sz w:val="24"/>
          <w:szCs w:val="24"/>
        </w:rPr>
      </w:pPr>
      <w:r>
        <w:rPr>
          <w:rFonts w:ascii="Times New Roman" w:hAnsi="Times New Roman" w:cs="Times New Roman"/>
          <w:i/>
          <w:iCs/>
          <w:sz w:val="24"/>
          <w:szCs w:val="24"/>
        </w:rPr>
        <w:t>t=1,2,3</w:t>
      </w:r>
      <w:r w:rsidR="00336B03">
        <w:rPr>
          <w:rFonts w:ascii="Times New Roman" w:hAnsi="Times New Roman" w:cs="Times New Roman"/>
          <w:i/>
          <w:iCs/>
          <w:sz w:val="24"/>
          <w:szCs w:val="24"/>
        </w:rPr>
        <w:t>…11</w:t>
      </w:r>
    </w:p>
    <w:p w:rsidR="00B5007D" w:rsidRPr="00A31FEA" w:rsidRDefault="00B4466D" w:rsidP="005E6A85">
      <w:pPr>
        <w:spacing w:after="0"/>
        <w:ind w:firstLine="567"/>
        <w:jc w:val="both"/>
        <w:rPr>
          <w:rFonts w:ascii="Times New Roman" w:hAnsi="Times New Roman" w:cs="Times New Roman"/>
          <w:sz w:val="24"/>
          <w:szCs w:val="24"/>
        </w:rPr>
      </w:pPr>
      <w:r w:rsidRPr="00A31FEA">
        <w:rPr>
          <w:rFonts w:ascii="Times New Roman" w:hAnsi="Times New Roman" w:cs="Times New Roman"/>
          <w:sz w:val="24"/>
          <w:szCs w:val="24"/>
        </w:rPr>
        <w:t>Trong đó:</w:t>
      </w:r>
      <w:r w:rsidR="005B363B">
        <w:rPr>
          <w:rFonts w:ascii="Times New Roman" w:hAnsi="Times New Roman" w:cs="Times New Roman"/>
          <w:sz w:val="24"/>
          <w:szCs w:val="24"/>
        </w:rPr>
        <w:t>Yit</w:t>
      </w:r>
      <w:r w:rsidR="00A64C9D" w:rsidRPr="00A31FEA">
        <w:rPr>
          <w:rFonts w:ascii="Times New Roman" w:hAnsi="Times New Roman" w:cs="Times New Roman"/>
          <w:sz w:val="24"/>
          <w:szCs w:val="24"/>
        </w:rPr>
        <w:t xml:space="preserve"> là biến phụ thuộ</w:t>
      </w:r>
      <w:r w:rsidR="00336B03">
        <w:rPr>
          <w:rFonts w:ascii="Times New Roman" w:hAnsi="Times New Roman" w:cs="Times New Roman"/>
          <w:sz w:val="24"/>
          <w:szCs w:val="24"/>
        </w:rPr>
        <w:t>c, ROE phản ánh khả năng sinh lời</w:t>
      </w:r>
      <w:r w:rsidR="00F013AC">
        <w:rPr>
          <w:rFonts w:ascii="Times New Roman" w:hAnsi="Times New Roman" w:cs="Times New Roman"/>
          <w:sz w:val="24"/>
          <w:szCs w:val="24"/>
        </w:rPr>
        <w:t xml:space="preserve"> của ngân hàng thứ i tại thời điểm t.</w:t>
      </w:r>
    </w:p>
    <w:p w:rsidR="006C5177" w:rsidRPr="006C5177" w:rsidRDefault="006C5177" w:rsidP="005E6A85">
      <w:pPr>
        <w:pStyle w:val="Default"/>
        <w:spacing w:line="276" w:lineRule="auto"/>
        <w:ind w:firstLine="567"/>
        <w:rPr>
          <w:iCs/>
        </w:rPr>
      </w:pPr>
      <w:r w:rsidRPr="00A31FEA">
        <w:rPr>
          <w:i/>
          <w:iCs/>
        </w:rPr>
        <w:t>β</w:t>
      </w:r>
      <w:r w:rsidRPr="006C5177">
        <w:rPr>
          <w:i/>
          <w:iCs/>
        </w:rPr>
        <w:t xml:space="preserve">1, </w:t>
      </w:r>
      <w:r w:rsidRPr="00A31FEA">
        <w:rPr>
          <w:i/>
          <w:iCs/>
        </w:rPr>
        <w:t>β</w:t>
      </w:r>
      <w:r w:rsidRPr="006C5177">
        <w:rPr>
          <w:i/>
          <w:iCs/>
        </w:rPr>
        <w:t>2</w:t>
      </w:r>
      <w:r w:rsidR="00336B03">
        <w:rPr>
          <w:i/>
          <w:iCs/>
        </w:rPr>
        <w:t>,</w:t>
      </w:r>
      <w:r w:rsidR="00336B03" w:rsidRPr="00A31FEA">
        <w:rPr>
          <w:i/>
          <w:iCs/>
        </w:rPr>
        <w:t>β</w:t>
      </w:r>
      <w:r w:rsidR="00336B03">
        <w:rPr>
          <w:i/>
          <w:iCs/>
        </w:rPr>
        <w:t>3,</w:t>
      </w:r>
      <w:r w:rsidR="00336B03" w:rsidRPr="00A31FEA">
        <w:rPr>
          <w:i/>
          <w:iCs/>
        </w:rPr>
        <w:t>β</w:t>
      </w:r>
      <w:r w:rsidR="00336B03">
        <w:rPr>
          <w:i/>
          <w:iCs/>
        </w:rPr>
        <w:t>4,</w:t>
      </w:r>
      <w:r w:rsidRPr="00A31FEA">
        <w:rPr>
          <w:i/>
          <w:iCs/>
        </w:rPr>
        <w:t>β</w:t>
      </w:r>
      <w:r w:rsidR="00336B03">
        <w:rPr>
          <w:i/>
          <w:iCs/>
        </w:rPr>
        <w:t>5</w:t>
      </w:r>
      <w:r w:rsidR="0068507F">
        <w:rPr>
          <w:i/>
          <w:iCs/>
        </w:rPr>
        <w:t xml:space="preserve"> </w:t>
      </w:r>
      <w:r w:rsidR="00B5007D" w:rsidRPr="006C5177">
        <w:rPr>
          <w:iCs/>
        </w:rPr>
        <w:t>là các hệ số</w:t>
      </w:r>
    </w:p>
    <w:p w:rsidR="00B5007D" w:rsidRPr="00A31FEA" w:rsidRDefault="00B5007D" w:rsidP="005E6A85">
      <w:pPr>
        <w:spacing w:after="0"/>
        <w:ind w:firstLine="567"/>
        <w:jc w:val="both"/>
        <w:rPr>
          <w:rFonts w:ascii="Times New Roman" w:hAnsi="Times New Roman" w:cs="Times New Roman"/>
          <w:sz w:val="24"/>
          <w:szCs w:val="24"/>
        </w:rPr>
      </w:pPr>
      <w:r w:rsidRPr="00A31FEA">
        <w:rPr>
          <w:rFonts w:ascii="Times New Roman" w:hAnsi="Times New Roman" w:cs="Times New Roman"/>
          <w:sz w:val="24"/>
          <w:szCs w:val="24"/>
        </w:rPr>
        <w:t>Xit là các biến độc lập</w:t>
      </w:r>
      <w:r w:rsidR="00D51E27">
        <w:rPr>
          <w:rFonts w:ascii="Times New Roman" w:hAnsi="Times New Roman" w:cs="Times New Roman"/>
          <w:sz w:val="24"/>
          <w:szCs w:val="24"/>
        </w:rPr>
        <w:t xml:space="preserve"> của ngân hàng thứ i tại thời điểm t</w:t>
      </w:r>
    </w:p>
    <w:p w:rsidR="00B5007D" w:rsidRPr="00A31FEA" w:rsidRDefault="00B5007D" w:rsidP="005E6A85">
      <w:pPr>
        <w:spacing w:after="0"/>
        <w:ind w:firstLine="567"/>
        <w:jc w:val="both"/>
        <w:rPr>
          <w:rFonts w:ascii="Times New Roman" w:hAnsi="Times New Roman" w:cs="Times New Roman"/>
          <w:sz w:val="24"/>
          <w:szCs w:val="24"/>
        </w:rPr>
      </w:pPr>
      <w:r w:rsidRPr="00A31FEA">
        <w:rPr>
          <w:rFonts w:ascii="Times New Roman" w:hAnsi="Times New Roman" w:cs="Times New Roman"/>
          <w:bCs/>
          <w:iCs/>
          <w:sz w:val="24"/>
          <w:szCs w:val="24"/>
        </w:rPr>
        <w:t>Giả định mô hình FEM đưa ra là: t</w:t>
      </w:r>
      <w:r w:rsidRPr="00A31FEA">
        <w:rPr>
          <w:rFonts w:ascii="Times New Roman" w:hAnsi="Times New Roman" w:cs="Times New Roman"/>
          <w:sz w:val="24"/>
          <w:szCs w:val="24"/>
        </w:rPr>
        <w:t>ung độ gốc</w:t>
      </w:r>
      <w:r w:rsidR="006C5177">
        <w:rPr>
          <w:rFonts w:ascii="Times New Roman" w:hAnsi="Times New Roman" w:cs="Times New Roman"/>
          <w:sz w:val="24"/>
          <w:szCs w:val="24"/>
        </w:rPr>
        <w:t xml:space="preserve"> và hệ số </w:t>
      </w:r>
      <w:r w:rsidR="00725C0E">
        <w:rPr>
          <w:rFonts w:ascii="Times New Roman" w:hAnsi="Times New Roman" w:cs="Times New Roman"/>
          <w:sz w:val="24"/>
          <w:szCs w:val="24"/>
        </w:rPr>
        <w:t>gốc</w:t>
      </w:r>
      <w:r w:rsidRPr="00A31FEA">
        <w:rPr>
          <w:rFonts w:ascii="Times New Roman" w:hAnsi="Times New Roman" w:cs="Times New Roman"/>
          <w:sz w:val="24"/>
          <w:szCs w:val="24"/>
        </w:rPr>
        <w:t xml:space="preserve"> của mỗi </w:t>
      </w:r>
      <w:r w:rsidR="00D871A4">
        <w:rPr>
          <w:rFonts w:ascii="Times New Roman" w:hAnsi="Times New Roman" w:cs="Times New Roman"/>
          <w:sz w:val="24"/>
          <w:szCs w:val="24"/>
        </w:rPr>
        <w:t>NHTM</w:t>
      </w:r>
      <w:r w:rsidRPr="00A31FEA">
        <w:rPr>
          <w:rFonts w:ascii="Times New Roman" w:hAnsi="Times New Roman" w:cs="Times New Roman"/>
          <w:sz w:val="24"/>
          <w:szCs w:val="24"/>
        </w:rPr>
        <w:t xml:space="preserve"> là </w:t>
      </w:r>
      <w:r w:rsidR="006C5177">
        <w:rPr>
          <w:rFonts w:ascii="Times New Roman" w:hAnsi="Times New Roman" w:cs="Times New Roman"/>
          <w:sz w:val="24"/>
          <w:szCs w:val="24"/>
        </w:rPr>
        <w:t>không đổi</w:t>
      </w:r>
    </w:p>
    <w:p w:rsidR="00B5007D" w:rsidRPr="00A31FEA" w:rsidRDefault="00B5007D" w:rsidP="00AB0A8C">
      <w:pPr>
        <w:spacing w:after="0"/>
        <w:jc w:val="both"/>
        <w:rPr>
          <w:rFonts w:ascii="Times New Roman" w:hAnsi="Times New Roman" w:cs="Times New Roman"/>
          <w:b/>
          <w:bCs/>
          <w:i/>
          <w:iCs/>
          <w:sz w:val="24"/>
          <w:szCs w:val="24"/>
        </w:rPr>
      </w:pPr>
      <w:r w:rsidRPr="00A31FEA">
        <w:rPr>
          <w:rFonts w:ascii="Times New Roman" w:hAnsi="Times New Roman" w:cs="Times New Roman"/>
          <w:b/>
          <w:bCs/>
          <w:i/>
          <w:iCs/>
          <w:sz w:val="24"/>
          <w:szCs w:val="24"/>
        </w:rPr>
        <w:t>Mô hình ảnh hưởng ngẫu nhiên</w:t>
      </w:r>
      <w:r w:rsidR="003E0E2B" w:rsidRPr="00A31FEA">
        <w:rPr>
          <w:rFonts w:ascii="Times New Roman" w:hAnsi="Times New Roman" w:cs="Times New Roman"/>
          <w:b/>
          <w:bCs/>
          <w:i/>
          <w:iCs/>
          <w:sz w:val="24"/>
          <w:szCs w:val="24"/>
        </w:rPr>
        <w:t xml:space="preserve"> (</w:t>
      </w:r>
      <w:r w:rsidR="00BA2FF9">
        <w:rPr>
          <w:rFonts w:ascii="Times New Roman" w:hAnsi="Times New Roman" w:cs="Times New Roman"/>
          <w:b/>
          <w:bCs/>
          <w:i/>
          <w:iCs/>
          <w:sz w:val="24"/>
          <w:szCs w:val="24"/>
        </w:rPr>
        <w:t>REM</w:t>
      </w:r>
      <w:r w:rsidR="003E0E2B" w:rsidRPr="00A31FEA">
        <w:rPr>
          <w:rFonts w:ascii="Times New Roman" w:hAnsi="Times New Roman" w:cs="Times New Roman"/>
          <w:b/>
          <w:bCs/>
          <w:i/>
          <w:iCs/>
          <w:sz w:val="24"/>
          <w:szCs w:val="24"/>
        </w:rPr>
        <w:t>)</w:t>
      </w:r>
      <w:r w:rsidRPr="00A31FEA">
        <w:rPr>
          <w:rFonts w:ascii="Times New Roman" w:hAnsi="Times New Roman" w:cs="Times New Roman"/>
          <w:b/>
          <w:bCs/>
          <w:i/>
          <w:iCs/>
          <w:sz w:val="24"/>
          <w:szCs w:val="24"/>
        </w:rPr>
        <w:t>:</w:t>
      </w:r>
    </w:p>
    <w:p w:rsidR="00B5007D" w:rsidRDefault="00A83F4E" w:rsidP="005E6A85">
      <w:pPr>
        <w:pStyle w:val="Default"/>
        <w:tabs>
          <w:tab w:val="left" w:pos="7655"/>
        </w:tabs>
        <w:spacing w:line="276" w:lineRule="auto"/>
        <w:jc w:val="center"/>
        <w:rPr>
          <w:i/>
          <w:iCs/>
        </w:rPr>
      </w:pPr>
      <w:r w:rsidRPr="00A31FEA">
        <w:rPr>
          <w:i/>
          <w:iCs/>
        </w:rPr>
        <w:t xml:space="preserve">Yit </w:t>
      </w:r>
      <w:r w:rsidR="00342347" w:rsidRPr="00A31FEA">
        <w:rPr>
          <w:i/>
          <w:iCs/>
        </w:rPr>
        <w:t>= β1i +</w:t>
      </w:r>
      <w:r w:rsidR="006C1266">
        <w:rPr>
          <w:i/>
          <w:iCs/>
        </w:rPr>
        <w:t xml:space="preserve"> β2</w:t>
      </w:r>
      <w:r w:rsidR="00D60A17">
        <w:rPr>
          <w:i/>
          <w:iCs/>
        </w:rPr>
        <w:t>X2it + β3</w:t>
      </w:r>
      <w:r w:rsidR="006C1266">
        <w:rPr>
          <w:i/>
          <w:iCs/>
        </w:rPr>
        <w:t>X3it + β4</w:t>
      </w:r>
      <w:r w:rsidR="00CB382C" w:rsidRPr="00A31FEA">
        <w:rPr>
          <w:i/>
          <w:iCs/>
        </w:rPr>
        <w:t xml:space="preserve">X4it + β5X5it </w:t>
      </w:r>
      <w:r w:rsidR="00336B03">
        <w:rPr>
          <w:i/>
          <w:iCs/>
        </w:rPr>
        <w:t>+</w:t>
      </w:r>
      <w:r w:rsidR="00B5007D" w:rsidRPr="00A31FEA">
        <w:rPr>
          <w:i/>
          <w:iCs/>
        </w:rPr>
        <w:t xml:space="preserve"> εi + uit</w:t>
      </w:r>
      <w:r w:rsidR="00E1096A">
        <w:rPr>
          <w:i/>
          <w:iCs/>
        </w:rPr>
        <w:tab/>
      </w:r>
      <w:r w:rsidR="000A68BC" w:rsidRPr="00A31FEA">
        <w:rPr>
          <w:i/>
          <w:iCs/>
        </w:rPr>
        <w:t>(2)</w:t>
      </w:r>
    </w:p>
    <w:p w:rsidR="00725C0E" w:rsidRPr="00E54926" w:rsidRDefault="00725C0E" w:rsidP="005E6A85">
      <w:pPr>
        <w:spacing w:after="0"/>
        <w:ind w:firstLine="567"/>
        <w:jc w:val="both"/>
        <w:rPr>
          <w:rFonts w:ascii="Times New Roman" w:hAnsi="Times New Roman" w:cs="Times New Roman"/>
          <w:sz w:val="24"/>
          <w:szCs w:val="24"/>
        </w:rPr>
      </w:pPr>
      <w:r w:rsidRPr="00E54926">
        <w:rPr>
          <w:rFonts w:ascii="Times New Roman" w:hAnsi="Times New Roman" w:cs="Times New Roman"/>
          <w:sz w:val="24"/>
          <w:szCs w:val="24"/>
        </w:rPr>
        <w:lastRenderedPageBreak/>
        <w:t xml:space="preserve">Thay vì xem β1i là cố định, ta giả định đó là một biến ngẫu nhiên với một giá trị trung bình là β1. Và giá trị tung độ gốc cho một </w:t>
      </w:r>
      <w:r w:rsidR="00D871A4">
        <w:rPr>
          <w:rFonts w:ascii="Times New Roman" w:hAnsi="Times New Roman" w:cs="Times New Roman"/>
          <w:sz w:val="24"/>
          <w:szCs w:val="24"/>
        </w:rPr>
        <w:t>NHTM</w:t>
      </w:r>
      <w:r w:rsidRPr="00E54926">
        <w:rPr>
          <w:rFonts w:ascii="Times New Roman" w:hAnsi="Times New Roman" w:cs="Times New Roman"/>
          <w:sz w:val="24"/>
          <w:szCs w:val="24"/>
        </w:rPr>
        <w:t xml:space="preserve"> riêng lẻ có thể được biểu thị là:</w:t>
      </w:r>
    </w:p>
    <w:p w:rsidR="00725C0E" w:rsidRPr="00725C0E" w:rsidRDefault="00725C0E" w:rsidP="00502A0A">
      <w:pPr>
        <w:pStyle w:val="Default"/>
        <w:spacing w:line="276" w:lineRule="auto"/>
        <w:ind w:firstLine="567"/>
        <w:rPr>
          <w:i/>
          <w:iCs/>
        </w:rPr>
      </w:pPr>
      <w:r w:rsidRPr="00725C0E">
        <w:rPr>
          <w:i/>
          <w:iCs/>
        </w:rPr>
        <w:t>β1i = β1 + εi</w:t>
      </w:r>
    </w:p>
    <w:p w:rsidR="00B5007D" w:rsidRPr="00A31FEA" w:rsidRDefault="00342347" w:rsidP="005E6A85">
      <w:pPr>
        <w:pStyle w:val="Default"/>
        <w:tabs>
          <w:tab w:val="left" w:pos="7371"/>
        </w:tabs>
        <w:spacing w:line="276" w:lineRule="auto"/>
        <w:jc w:val="center"/>
        <w:rPr>
          <w:i/>
          <w:iCs/>
        </w:rPr>
      </w:pPr>
      <w:r w:rsidRPr="00A31FEA">
        <w:rPr>
          <w:i/>
          <w:iCs/>
        </w:rPr>
        <w:t>=β1 +</w:t>
      </w:r>
      <w:r w:rsidR="00CB382C" w:rsidRPr="00A31FEA">
        <w:rPr>
          <w:i/>
          <w:iCs/>
        </w:rPr>
        <w:t xml:space="preserve"> β2 X2it + β3 X3it + β4 X4it + β5X5it </w:t>
      </w:r>
      <w:r w:rsidR="00B5007D" w:rsidRPr="00A31FEA">
        <w:rPr>
          <w:i/>
          <w:iCs/>
        </w:rPr>
        <w:t>+ wit</w:t>
      </w:r>
      <w:r w:rsidR="00E1096A">
        <w:rPr>
          <w:i/>
          <w:iCs/>
        </w:rPr>
        <w:tab/>
      </w:r>
      <w:r w:rsidR="000A68BC" w:rsidRPr="00A31FEA">
        <w:rPr>
          <w:i/>
          <w:iCs/>
        </w:rPr>
        <w:t>(3)</w:t>
      </w:r>
    </w:p>
    <w:p w:rsidR="00B5007D" w:rsidRDefault="00B5007D" w:rsidP="008124C4">
      <w:pPr>
        <w:spacing w:after="0"/>
        <w:ind w:firstLine="567"/>
        <w:jc w:val="both"/>
        <w:rPr>
          <w:rFonts w:ascii="Times New Roman" w:hAnsi="Times New Roman" w:cs="Times New Roman"/>
          <w:i/>
          <w:iCs/>
          <w:sz w:val="24"/>
          <w:szCs w:val="24"/>
        </w:rPr>
      </w:pPr>
      <w:r w:rsidRPr="00A31FEA">
        <w:rPr>
          <w:rFonts w:ascii="Times New Roman" w:hAnsi="Times New Roman" w:cs="Times New Roman"/>
          <w:i/>
          <w:iCs/>
          <w:sz w:val="24"/>
          <w:szCs w:val="24"/>
        </w:rPr>
        <w:t>Trong đó: wit = εi + uit</w:t>
      </w:r>
    </w:p>
    <w:p w:rsidR="00B5007D" w:rsidRPr="00A31FEA" w:rsidRDefault="00B5007D" w:rsidP="005E6A85">
      <w:pPr>
        <w:spacing w:after="0"/>
        <w:ind w:firstLine="567"/>
        <w:rPr>
          <w:rFonts w:ascii="Times New Roman" w:hAnsi="Times New Roman" w:cs="Times New Roman"/>
          <w:bCs/>
          <w:iCs/>
          <w:sz w:val="24"/>
          <w:szCs w:val="24"/>
        </w:rPr>
      </w:pPr>
      <w:r w:rsidRPr="00A31FEA">
        <w:rPr>
          <w:rFonts w:ascii="Times New Roman" w:hAnsi="Times New Roman" w:cs="Times New Roman"/>
          <w:bCs/>
          <w:iCs/>
          <w:sz w:val="24"/>
          <w:szCs w:val="24"/>
        </w:rPr>
        <w:t>Giả định mô hình các thành phần sai số đưa ra là:</w:t>
      </w:r>
    </w:p>
    <w:p w:rsidR="00B5007D" w:rsidRPr="00A31FEA" w:rsidRDefault="00B5007D" w:rsidP="008124C4">
      <w:pPr>
        <w:pStyle w:val="Default"/>
        <w:spacing w:line="276" w:lineRule="auto"/>
        <w:ind w:firstLine="567"/>
      </w:pPr>
      <w:r w:rsidRPr="00A31FEA">
        <w:rPr>
          <w:i/>
          <w:iCs/>
        </w:rPr>
        <w:t>εit ~ N (0,</w:t>
      </w:r>
      <m:oMath>
        <m:sSubSup>
          <m:sSubSupPr>
            <m:ctrlPr>
              <w:rPr>
                <w:rFonts w:ascii="Cambria Math" w:hAnsi="Cambria Math"/>
                <w:i/>
                <w:iCs/>
              </w:rPr>
            </m:ctrlPr>
          </m:sSubSupPr>
          <m:e>
            <m:r>
              <w:rPr>
                <w:rFonts w:ascii="Cambria Math" w:hAnsi="Cambria Math"/>
              </w:rPr>
              <m:t xml:space="preserve"> σ</m:t>
            </m:r>
          </m:e>
          <m:sub>
            <m:r>
              <w:rPr>
                <w:rFonts w:ascii="Cambria Math" w:hAnsi="Cambria Math"/>
              </w:rPr>
              <m:t>ε</m:t>
            </m:r>
          </m:sub>
          <m:sup>
            <m:r>
              <w:rPr>
                <w:rFonts w:ascii="Cambria Math" w:hAnsi="Cambria Math"/>
              </w:rPr>
              <m:t>2</m:t>
            </m:r>
          </m:sup>
        </m:sSubSup>
      </m:oMath>
      <w:r w:rsidRPr="00A31FEA">
        <w:rPr>
          <w:i/>
          <w:iCs/>
        </w:rPr>
        <w:t xml:space="preserve"> )</w:t>
      </w:r>
    </w:p>
    <w:p w:rsidR="00B5007D" w:rsidRPr="00A31FEA" w:rsidRDefault="00B5007D" w:rsidP="008124C4">
      <w:pPr>
        <w:pStyle w:val="Default"/>
        <w:spacing w:line="276" w:lineRule="auto"/>
        <w:ind w:firstLine="567"/>
        <w:rPr>
          <w:i/>
          <w:iCs/>
        </w:rPr>
      </w:pPr>
      <w:r w:rsidRPr="00A31FEA">
        <w:rPr>
          <w:i/>
          <w:iCs/>
        </w:rPr>
        <w:t xml:space="preserve">uit ~ N (0, </w:t>
      </w:r>
      <m:oMath>
        <m:sSubSup>
          <m:sSubSupPr>
            <m:ctrlPr>
              <w:rPr>
                <w:rFonts w:ascii="Cambria Math" w:hAnsi="Cambria Math"/>
                <w:i/>
                <w:iCs/>
              </w:rPr>
            </m:ctrlPr>
          </m:sSubSupPr>
          <m:e>
            <m:r>
              <w:rPr>
                <w:rFonts w:ascii="Cambria Math" w:hAnsi="Cambria Math"/>
              </w:rPr>
              <m:t xml:space="preserve"> σ</m:t>
            </m:r>
          </m:e>
          <m:sub>
            <m:r>
              <w:rPr>
                <w:rFonts w:ascii="Cambria Math" w:hAnsi="Cambria Math"/>
              </w:rPr>
              <m:t>u</m:t>
            </m:r>
          </m:sub>
          <m:sup>
            <m:r>
              <w:rPr>
                <w:rFonts w:ascii="Cambria Math" w:hAnsi="Cambria Math"/>
              </w:rPr>
              <m:t>2</m:t>
            </m:r>
          </m:sup>
        </m:sSubSup>
      </m:oMath>
      <w:r w:rsidRPr="00A31FEA">
        <w:rPr>
          <w:i/>
          <w:iCs/>
        </w:rPr>
        <w:t>)</w:t>
      </w:r>
    </w:p>
    <w:p w:rsidR="00B5007D" w:rsidRPr="00A31FEA" w:rsidRDefault="00B5007D" w:rsidP="008124C4">
      <w:pPr>
        <w:pStyle w:val="Default"/>
        <w:spacing w:line="276" w:lineRule="auto"/>
        <w:ind w:firstLine="567"/>
        <w:rPr>
          <w:lang w:val="de-DE"/>
        </w:rPr>
      </w:pPr>
      <w:r w:rsidRPr="00A31FEA">
        <w:rPr>
          <w:i/>
          <w:iCs/>
          <w:lang w:val="de-DE"/>
        </w:rPr>
        <w:t>E(</w:t>
      </w:r>
      <w:r w:rsidRPr="00A31FEA">
        <w:rPr>
          <w:i/>
          <w:iCs/>
        </w:rPr>
        <w:t>ε</w:t>
      </w:r>
      <w:r w:rsidRPr="00A31FEA">
        <w:rPr>
          <w:i/>
          <w:iCs/>
          <w:vertAlign w:val="subscript"/>
          <w:lang w:val="de-DE"/>
        </w:rPr>
        <w:t>i</w:t>
      </w:r>
      <w:r w:rsidRPr="00A31FEA">
        <w:rPr>
          <w:i/>
          <w:iCs/>
          <w:lang w:val="de-DE"/>
        </w:rPr>
        <w:t>u</w:t>
      </w:r>
      <w:r w:rsidRPr="00A31FEA">
        <w:rPr>
          <w:i/>
          <w:iCs/>
          <w:vertAlign w:val="subscript"/>
          <w:lang w:val="de-DE"/>
        </w:rPr>
        <w:t>it</w:t>
      </w:r>
      <w:r w:rsidRPr="00A31FEA">
        <w:rPr>
          <w:i/>
          <w:iCs/>
          <w:lang w:val="de-DE"/>
        </w:rPr>
        <w:t>) = 0 E(</w:t>
      </w:r>
      <w:r w:rsidRPr="00A31FEA">
        <w:rPr>
          <w:i/>
          <w:iCs/>
        </w:rPr>
        <w:t>ε</w:t>
      </w:r>
      <w:r w:rsidRPr="00A31FEA">
        <w:rPr>
          <w:i/>
          <w:iCs/>
          <w:vertAlign w:val="subscript"/>
          <w:lang w:val="de-DE"/>
        </w:rPr>
        <w:t>i</w:t>
      </w:r>
      <w:r w:rsidRPr="00A31FEA">
        <w:rPr>
          <w:i/>
          <w:iCs/>
        </w:rPr>
        <w:t>ε</w:t>
      </w:r>
      <w:r w:rsidRPr="00A31FEA">
        <w:rPr>
          <w:i/>
          <w:iCs/>
          <w:vertAlign w:val="subscript"/>
          <w:lang w:val="de-DE"/>
        </w:rPr>
        <w:t>j</w:t>
      </w:r>
      <w:r w:rsidRPr="00A31FEA">
        <w:rPr>
          <w:i/>
          <w:iCs/>
          <w:lang w:val="de-DE"/>
        </w:rPr>
        <w:t>) = 0 (i ≠ j)</w:t>
      </w:r>
    </w:p>
    <w:p w:rsidR="00B5007D" w:rsidRPr="00A31FEA" w:rsidRDefault="00B5007D" w:rsidP="005E6A85">
      <w:pPr>
        <w:spacing w:after="0"/>
        <w:jc w:val="center"/>
        <w:rPr>
          <w:rFonts w:ascii="Times New Roman" w:hAnsi="Times New Roman" w:cs="Times New Roman"/>
          <w:bCs/>
          <w:iCs/>
          <w:sz w:val="24"/>
          <w:szCs w:val="24"/>
          <w:lang w:val="de-DE"/>
        </w:rPr>
      </w:pPr>
      <w:r w:rsidRPr="00A31FEA">
        <w:rPr>
          <w:rFonts w:ascii="Times New Roman" w:hAnsi="Times New Roman" w:cs="Times New Roman"/>
          <w:i/>
          <w:iCs/>
          <w:sz w:val="24"/>
          <w:szCs w:val="24"/>
          <w:lang w:val="de-DE"/>
        </w:rPr>
        <w:t>E(u</w:t>
      </w:r>
      <w:r w:rsidRPr="00A31FEA">
        <w:rPr>
          <w:rFonts w:ascii="Times New Roman" w:hAnsi="Times New Roman" w:cs="Times New Roman"/>
          <w:i/>
          <w:iCs/>
          <w:sz w:val="24"/>
          <w:szCs w:val="24"/>
          <w:vertAlign w:val="subscript"/>
          <w:lang w:val="de-DE"/>
        </w:rPr>
        <w:t>it</w:t>
      </w:r>
      <w:r w:rsidRPr="00A31FEA">
        <w:rPr>
          <w:rFonts w:ascii="Times New Roman" w:hAnsi="Times New Roman" w:cs="Times New Roman"/>
          <w:i/>
          <w:iCs/>
          <w:sz w:val="24"/>
          <w:szCs w:val="24"/>
          <w:lang w:val="de-DE"/>
        </w:rPr>
        <w:t>u</w:t>
      </w:r>
      <w:r w:rsidRPr="00A31FEA">
        <w:rPr>
          <w:rFonts w:ascii="Times New Roman" w:hAnsi="Times New Roman" w:cs="Times New Roman"/>
          <w:i/>
          <w:iCs/>
          <w:sz w:val="24"/>
          <w:szCs w:val="24"/>
          <w:vertAlign w:val="subscript"/>
          <w:lang w:val="de-DE"/>
        </w:rPr>
        <w:t>is</w:t>
      </w:r>
      <w:r w:rsidRPr="00A31FEA">
        <w:rPr>
          <w:rFonts w:ascii="Times New Roman" w:hAnsi="Times New Roman" w:cs="Times New Roman"/>
          <w:i/>
          <w:iCs/>
          <w:sz w:val="24"/>
          <w:szCs w:val="24"/>
          <w:lang w:val="de-DE"/>
        </w:rPr>
        <w:t>) = E(u</w:t>
      </w:r>
      <w:r w:rsidRPr="00A31FEA">
        <w:rPr>
          <w:rFonts w:ascii="Times New Roman" w:hAnsi="Times New Roman" w:cs="Times New Roman"/>
          <w:i/>
          <w:iCs/>
          <w:sz w:val="24"/>
          <w:szCs w:val="24"/>
          <w:vertAlign w:val="subscript"/>
          <w:lang w:val="de-DE"/>
        </w:rPr>
        <w:t>it</w:t>
      </w:r>
      <w:r w:rsidRPr="00A31FEA">
        <w:rPr>
          <w:rFonts w:ascii="Times New Roman" w:hAnsi="Times New Roman" w:cs="Times New Roman"/>
          <w:i/>
          <w:iCs/>
          <w:sz w:val="24"/>
          <w:szCs w:val="24"/>
          <w:lang w:val="de-DE"/>
        </w:rPr>
        <w:t>u</w:t>
      </w:r>
      <w:r w:rsidRPr="00A31FEA">
        <w:rPr>
          <w:rFonts w:ascii="Times New Roman" w:hAnsi="Times New Roman" w:cs="Times New Roman"/>
          <w:i/>
          <w:iCs/>
          <w:sz w:val="24"/>
          <w:szCs w:val="24"/>
          <w:vertAlign w:val="subscript"/>
          <w:lang w:val="de-DE"/>
        </w:rPr>
        <w:t>jt</w:t>
      </w:r>
      <w:r w:rsidRPr="00A31FEA">
        <w:rPr>
          <w:rFonts w:ascii="Times New Roman" w:hAnsi="Times New Roman" w:cs="Times New Roman"/>
          <w:i/>
          <w:iCs/>
          <w:sz w:val="24"/>
          <w:szCs w:val="24"/>
          <w:lang w:val="de-DE"/>
        </w:rPr>
        <w:t>) = E(u</w:t>
      </w:r>
      <w:r w:rsidRPr="00A31FEA">
        <w:rPr>
          <w:rFonts w:ascii="Times New Roman" w:hAnsi="Times New Roman" w:cs="Times New Roman"/>
          <w:i/>
          <w:iCs/>
          <w:sz w:val="24"/>
          <w:szCs w:val="24"/>
          <w:vertAlign w:val="subscript"/>
          <w:lang w:val="de-DE"/>
        </w:rPr>
        <w:t>it</w:t>
      </w:r>
      <w:r w:rsidRPr="00A31FEA">
        <w:rPr>
          <w:rFonts w:ascii="Times New Roman" w:hAnsi="Times New Roman" w:cs="Times New Roman"/>
          <w:i/>
          <w:iCs/>
          <w:sz w:val="24"/>
          <w:szCs w:val="24"/>
          <w:lang w:val="de-DE"/>
        </w:rPr>
        <w:t>u</w:t>
      </w:r>
      <w:r w:rsidRPr="00A31FEA">
        <w:rPr>
          <w:rFonts w:ascii="Times New Roman" w:hAnsi="Times New Roman" w:cs="Times New Roman"/>
          <w:i/>
          <w:iCs/>
          <w:sz w:val="24"/>
          <w:szCs w:val="24"/>
          <w:vertAlign w:val="subscript"/>
          <w:lang w:val="de-DE"/>
        </w:rPr>
        <w:t>js</w:t>
      </w:r>
      <w:r w:rsidRPr="00A31FEA">
        <w:rPr>
          <w:rFonts w:ascii="Times New Roman" w:hAnsi="Times New Roman" w:cs="Times New Roman"/>
          <w:i/>
          <w:iCs/>
          <w:sz w:val="24"/>
          <w:szCs w:val="24"/>
          <w:lang w:val="de-DE"/>
        </w:rPr>
        <w:t>) = 0 (i ≠ j; t ≠ s)</w:t>
      </w:r>
    </w:p>
    <w:p w:rsidR="00B5007D" w:rsidRPr="00A31FEA" w:rsidRDefault="00B5007D" w:rsidP="005E6A85">
      <w:pPr>
        <w:spacing w:after="0"/>
        <w:ind w:firstLine="567"/>
        <w:jc w:val="both"/>
        <w:rPr>
          <w:rFonts w:ascii="Times New Roman" w:hAnsi="Times New Roman" w:cs="Times New Roman"/>
          <w:sz w:val="24"/>
          <w:szCs w:val="24"/>
          <w:lang w:val="de-DE"/>
        </w:rPr>
      </w:pPr>
      <w:r w:rsidRPr="00A31FEA">
        <w:rPr>
          <w:rFonts w:ascii="Times New Roman" w:hAnsi="Times New Roman" w:cs="Times New Roman"/>
          <w:sz w:val="24"/>
          <w:szCs w:val="24"/>
          <w:lang w:val="de-DE"/>
        </w:rPr>
        <w:t xml:space="preserve">Như vậy các thành phần sai số của các </w:t>
      </w:r>
      <w:r w:rsidR="00D871A4">
        <w:rPr>
          <w:rFonts w:ascii="Times New Roman" w:hAnsi="Times New Roman" w:cs="Times New Roman"/>
          <w:sz w:val="24"/>
          <w:szCs w:val="24"/>
          <w:lang w:val="de-DE"/>
        </w:rPr>
        <w:t>NHTM</w:t>
      </w:r>
      <w:r w:rsidRPr="00A31FEA">
        <w:rPr>
          <w:rFonts w:ascii="Times New Roman" w:hAnsi="Times New Roman" w:cs="Times New Roman"/>
          <w:sz w:val="24"/>
          <w:szCs w:val="24"/>
          <w:lang w:val="de-DE"/>
        </w:rPr>
        <w:t xml:space="preserve"> không tương quan với nhau và không tự tương quan giữa các đơn vị theo không gian và theo chuỗi thời gian.</w:t>
      </w:r>
    </w:p>
    <w:p w:rsidR="00131914" w:rsidRPr="00A31FEA" w:rsidRDefault="00CA5FD0" w:rsidP="005E6A85">
      <w:pPr>
        <w:spacing w:after="0"/>
        <w:ind w:firstLine="567"/>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Tác </w:t>
      </w:r>
      <w:r w:rsidR="00FD60BB" w:rsidRPr="00A31FEA">
        <w:rPr>
          <w:rFonts w:ascii="Times New Roman" w:hAnsi="Times New Roman" w:cs="Times New Roman"/>
          <w:sz w:val="24"/>
          <w:szCs w:val="24"/>
          <w:lang w:val="de-DE"/>
        </w:rPr>
        <w:t>giả</w:t>
      </w:r>
      <w:r w:rsidR="00131914" w:rsidRPr="00A31FEA">
        <w:rPr>
          <w:rFonts w:ascii="Times New Roman" w:hAnsi="Times New Roman" w:cs="Times New Roman"/>
          <w:sz w:val="24"/>
          <w:szCs w:val="24"/>
          <w:lang w:val="de-DE"/>
        </w:rPr>
        <w:t xml:space="preserve"> sử dụng ba phương pháp hồi quy khác nhau, và để xác định phương pháp nào là phù hợp nhất, bước đầu tiên tác giả </w:t>
      </w:r>
      <w:r w:rsidR="00E32B6C">
        <w:rPr>
          <w:rFonts w:ascii="Times New Roman" w:hAnsi="Times New Roman" w:cs="Times New Roman"/>
          <w:sz w:val="24"/>
          <w:szCs w:val="24"/>
          <w:lang w:val="de-DE"/>
        </w:rPr>
        <w:t>k</w:t>
      </w:r>
      <w:r w:rsidR="00236842" w:rsidRPr="00A31FEA">
        <w:rPr>
          <w:rFonts w:ascii="Times New Roman" w:hAnsi="Times New Roman" w:cs="Times New Roman"/>
          <w:sz w:val="24"/>
          <w:szCs w:val="24"/>
          <w:lang w:val="de-DE"/>
        </w:rPr>
        <w:t>iểm tra hiện tượng tự tương quan và đa cộng tuyến giữa các biến đưa vào mô hình</w:t>
      </w:r>
      <w:r w:rsidR="00F30475">
        <w:rPr>
          <w:rFonts w:ascii="Times New Roman" w:hAnsi="Times New Roman" w:cs="Times New Roman"/>
          <w:sz w:val="24"/>
          <w:szCs w:val="24"/>
          <w:lang w:val="de-DE"/>
        </w:rPr>
        <w:t xml:space="preserve"> </w:t>
      </w:r>
      <w:r w:rsidR="00AF3DB8" w:rsidRPr="00A31FEA">
        <w:rPr>
          <w:rFonts w:ascii="Times New Roman" w:hAnsi="Times New Roman" w:cs="Times New Roman"/>
          <w:sz w:val="24"/>
          <w:szCs w:val="24"/>
          <w:lang w:val="de-DE"/>
        </w:rPr>
        <w:t xml:space="preserve">và bước cuối cùng kiểm định </w:t>
      </w:r>
      <w:r w:rsidR="00FD60BB" w:rsidRPr="00A31FEA">
        <w:rPr>
          <w:rFonts w:ascii="Times New Roman" w:hAnsi="Times New Roman" w:cs="Times New Roman"/>
          <w:sz w:val="24"/>
          <w:szCs w:val="24"/>
          <w:lang w:val="de-DE"/>
        </w:rPr>
        <w:t>sự phù hợp của mô hình nghiên cứu.</w:t>
      </w:r>
    </w:p>
    <w:p w:rsidR="003E0E2B" w:rsidRDefault="003E0E2B" w:rsidP="005E6A85">
      <w:pPr>
        <w:tabs>
          <w:tab w:val="left" w:pos="8445"/>
        </w:tabs>
        <w:spacing w:after="0"/>
        <w:ind w:firstLine="567"/>
        <w:jc w:val="both"/>
        <w:rPr>
          <w:rFonts w:ascii="Times New Roman" w:hAnsi="Times New Roman" w:cs="Times New Roman"/>
          <w:sz w:val="24"/>
          <w:szCs w:val="24"/>
          <w:lang w:val="de-DE"/>
        </w:rPr>
      </w:pPr>
      <w:r w:rsidRPr="00A31FEA">
        <w:rPr>
          <w:rFonts w:ascii="Times New Roman" w:hAnsi="Times New Roman" w:cs="Times New Roman"/>
          <w:sz w:val="24"/>
          <w:szCs w:val="24"/>
          <w:lang w:val="de-DE"/>
        </w:rPr>
        <w:t xml:space="preserve">Bước </w:t>
      </w:r>
      <w:r w:rsidR="002B70CC" w:rsidRPr="00A31FEA">
        <w:rPr>
          <w:rFonts w:ascii="Times New Roman" w:hAnsi="Times New Roman" w:cs="Times New Roman"/>
          <w:sz w:val="24"/>
          <w:szCs w:val="24"/>
          <w:lang w:val="de-DE"/>
        </w:rPr>
        <w:t>1</w:t>
      </w:r>
      <w:r w:rsidRPr="00A31FEA">
        <w:rPr>
          <w:rFonts w:ascii="Times New Roman" w:hAnsi="Times New Roman" w:cs="Times New Roman"/>
          <w:sz w:val="24"/>
          <w:szCs w:val="24"/>
          <w:lang w:val="de-DE"/>
        </w:rPr>
        <w:t>: Kiểm tra hiện tượng tự tương quan và đa cộng tuyến giữa các biến</w:t>
      </w:r>
    </w:p>
    <w:p w:rsidR="00CA5FD0" w:rsidRPr="00A31FEA" w:rsidRDefault="00CA5FD0" w:rsidP="005E6A85">
      <w:pPr>
        <w:spacing w:after="0"/>
        <w:ind w:firstLine="567"/>
        <w:jc w:val="both"/>
        <w:rPr>
          <w:rFonts w:ascii="Times New Roman" w:hAnsi="Times New Roman" w:cs="Times New Roman"/>
          <w:sz w:val="24"/>
          <w:szCs w:val="24"/>
          <w:lang w:val="de-DE"/>
        </w:rPr>
      </w:pPr>
      <w:r>
        <w:rPr>
          <w:rFonts w:ascii="Times New Roman" w:hAnsi="Times New Roman" w:cs="Times New Roman"/>
          <w:sz w:val="24"/>
          <w:szCs w:val="24"/>
          <w:lang w:val="de-DE"/>
        </w:rPr>
        <w:t>Bước 2: Xác định mô hình phù hợp với dữ liệu nghiên cứu</w:t>
      </w:r>
    </w:p>
    <w:p w:rsidR="002B70CC" w:rsidRPr="00A31FEA" w:rsidRDefault="002B70CC" w:rsidP="00063CD3">
      <w:pPr>
        <w:spacing w:after="0" w:line="288" w:lineRule="auto"/>
        <w:ind w:firstLine="567"/>
        <w:jc w:val="both"/>
        <w:rPr>
          <w:rFonts w:ascii="Times New Roman" w:hAnsi="Times New Roman" w:cs="Times New Roman"/>
          <w:sz w:val="24"/>
          <w:szCs w:val="24"/>
          <w:lang w:val="de-DE"/>
        </w:rPr>
      </w:pPr>
      <w:r w:rsidRPr="00A31FEA">
        <w:rPr>
          <w:rFonts w:ascii="Times New Roman" w:hAnsi="Times New Roman" w:cs="Times New Roman"/>
          <w:sz w:val="24"/>
          <w:szCs w:val="24"/>
          <w:lang w:val="de-DE"/>
        </w:rPr>
        <w:t xml:space="preserve">Bước </w:t>
      </w:r>
      <w:r w:rsidR="00CA5FD0">
        <w:rPr>
          <w:rFonts w:ascii="Times New Roman" w:hAnsi="Times New Roman" w:cs="Times New Roman"/>
          <w:sz w:val="24"/>
          <w:szCs w:val="24"/>
          <w:lang w:val="de-DE"/>
        </w:rPr>
        <w:t>3</w:t>
      </w:r>
      <w:r w:rsidRPr="00A31FEA">
        <w:rPr>
          <w:rFonts w:ascii="Times New Roman" w:hAnsi="Times New Roman" w:cs="Times New Roman"/>
          <w:sz w:val="24"/>
          <w:szCs w:val="24"/>
          <w:lang w:val="de-DE"/>
        </w:rPr>
        <w:t>: Kiểm định sự phù hợp của mô hình</w:t>
      </w:r>
      <w:r w:rsidR="002E63EB" w:rsidRPr="00A31FEA">
        <w:rPr>
          <w:rFonts w:ascii="Times New Roman" w:hAnsi="Times New Roman" w:cs="Times New Roman"/>
          <w:sz w:val="24"/>
          <w:szCs w:val="24"/>
          <w:lang w:val="de-DE"/>
        </w:rPr>
        <w:t xml:space="preserve"> nghiên cứu</w:t>
      </w:r>
    </w:p>
    <w:p w:rsidR="00052AEA" w:rsidRPr="00A31FEA" w:rsidRDefault="00336B03" w:rsidP="00502A0A">
      <w:pPr>
        <w:spacing w:before="120" w:after="120" w:line="240" w:lineRule="auto"/>
        <w:jc w:val="both"/>
        <w:rPr>
          <w:rFonts w:ascii="Times New Roman" w:hAnsi="Times New Roman" w:cs="Times New Roman"/>
          <w:b/>
          <w:i/>
          <w:sz w:val="24"/>
          <w:szCs w:val="24"/>
          <w:lang w:val="de-DE"/>
        </w:rPr>
      </w:pPr>
      <w:r>
        <w:rPr>
          <w:rFonts w:ascii="Times New Roman" w:hAnsi="Times New Roman" w:cs="Times New Roman"/>
          <w:b/>
          <w:sz w:val="24"/>
          <w:szCs w:val="24"/>
          <w:lang w:val="de-DE"/>
        </w:rPr>
        <w:t>4</w:t>
      </w:r>
      <w:r w:rsidR="0060053C" w:rsidRPr="00A31FEA">
        <w:rPr>
          <w:rFonts w:ascii="Times New Roman" w:hAnsi="Times New Roman" w:cs="Times New Roman"/>
          <w:b/>
          <w:sz w:val="24"/>
          <w:szCs w:val="24"/>
          <w:lang w:val="de-DE"/>
        </w:rPr>
        <w:t>. KẾT QUẢ NGHIÊN CỨU VÀ THẢO LUẬN</w:t>
      </w:r>
    </w:p>
    <w:p w:rsidR="003E0E2B" w:rsidRPr="00A31FEA" w:rsidRDefault="00336B03" w:rsidP="00502A0A">
      <w:pPr>
        <w:spacing w:before="120" w:after="120" w:line="240" w:lineRule="auto"/>
        <w:rPr>
          <w:rFonts w:ascii="Times New Roman" w:hAnsi="Times New Roman" w:cs="Times New Roman"/>
          <w:b/>
          <w:sz w:val="24"/>
          <w:szCs w:val="24"/>
          <w:lang w:val="de-DE"/>
        </w:rPr>
      </w:pPr>
      <w:r>
        <w:rPr>
          <w:rFonts w:ascii="Times New Roman" w:hAnsi="Times New Roman" w:cs="Times New Roman"/>
          <w:b/>
          <w:sz w:val="24"/>
          <w:szCs w:val="24"/>
          <w:lang w:val="de-DE"/>
        </w:rPr>
        <w:t>4</w:t>
      </w:r>
      <w:r w:rsidR="00BF152D" w:rsidRPr="00A31FEA">
        <w:rPr>
          <w:rFonts w:ascii="Times New Roman" w:hAnsi="Times New Roman" w:cs="Times New Roman"/>
          <w:b/>
          <w:sz w:val="24"/>
          <w:szCs w:val="24"/>
          <w:lang w:val="de-DE"/>
        </w:rPr>
        <w:t>.</w:t>
      </w:r>
      <w:r w:rsidR="00923F8C" w:rsidRPr="00A31FEA">
        <w:rPr>
          <w:rFonts w:ascii="Times New Roman" w:hAnsi="Times New Roman" w:cs="Times New Roman"/>
          <w:b/>
          <w:sz w:val="24"/>
          <w:szCs w:val="24"/>
          <w:lang w:val="de-DE"/>
        </w:rPr>
        <w:t>1</w:t>
      </w:r>
      <w:r w:rsidR="00BF152D" w:rsidRPr="00A31FEA">
        <w:rPr>
          <w:rFonts w:ascii="Times New Roman" w:hAnsi="Times New Roman" w:cs="Times New Roman"/>
          <w:b/>
          <w:sz w:val="24"/>
          <w:szCs w:val="24"/>
          <w:lang w:val="de-DE"/>
        </w:rPr>
        <w:t xml:space="preserve"> Phân tích tương quan</w:t>
      </w:r>
    </w:p>
    <w:p w:rsidR="00A165ED" w:rsidRDefault="00A165ED" w:rsidP="00063CD3">
      <w:pPr>
        <w:spacing w:after="0" w:line="288" w:lineRule="auto"/>
        <w:jc w:val="center"/>
        <w:rPr>
          <w:rFonts w:ascii="Times New Roman" w:hAnsi="Times New Roman" w:cs="Times New Roman"/>
          <w:b/>
          <w:sz w:val="24"/>
          <w:szCs w:val="24"/>
          <w:lang w:val="de-DE"/>
        </w:rPr>
        <w:sectPr w:rsidR="00A165ED" w:rsidSect="00502A0A">
          <w:footnotePr>
            <w:numFmt w:val="upperRoman"/>
          </w:footnotePr>
          <w:type w:val="continuous"/>
          <w:pgSz w:w="10773" w:h="15309" w:code="9"/>
          <w:pgMar w:top="1134" w:right="1134" w:bottom="1134" w:left="1134" w:header="0" w:footer="0" w:gutter="0"/>
          <w:cols w:num="2" w:space="425"/>
          <w:docGrid w:linePitch="360"/>
        </w:sectPr>
      </w:pPr>
    </w:p>
    <w:p w:rsidR="00140503" w:rsidRPr="00BB4558" w:rsidRDefault="00140503" w:rsidP="00502A0A">
      <w:pPr>
        <w:spacing w:before="120" w:after="120" w:line="240" w:lineRule="auto"/>
        <w:jc w:val="center"/>
        <w:rPr>
          <w:rFonts w:ascii="Times New Roman" w:hAnsi="Times New Roman" w:cs="Times New Roman"/>
          <w:b/>
          <w:i/>
          <w:szCs w:val="24"/>
          <w:lang w:val="de-DE"/>
        </w:rPr>
      </w:pPr>
      <w:r w:rsidRPr="00BB4558">
        <w:rPr>
          <w:rFonts w:ascii="Times New Roman" w:hAnsi="Times New Roman" w:cs="Times New Roman"/>
          <w:b/>
          <w:szCs w:val="24"/>
          <w:lang w:val="de-DE"/>
        </w:rPr>
        <w:lastRenderedPageBreak/>
        <w:t xml:space="preserve">Bảng </w:t>
      </w:r>
      <w:r w:rsidR="00E66098" w:rsidRPr="00BB4558">
        <w:rPr>
          <w:rFonts w:ascii="Times New Roman" w:hAnsi="Times New Roman" w:cs="Times New Roman"/>
          <w:b/>
          <w:szCs w:val="24"/>
          <w:lang w:val="de-DE"/>
        </w:rPr>
        <w:t>3</w:t>
      </w:r>
      <w:r w:rsidR="00063CD3" w:rsidRPr="00BB4558">
        <w:rPr>
          <w:rFonts w:ascii="Times New Roman" w:hAnsi="Times New Roman" w:cs="Times New Roman"/>
          <w:b/>
          <w:szCs w:val="24"/>
          <w:lang w:val="de-DE"/>
        </w:rPr>
        <w:t>.</w:t>
      </w:r>
      <w:r w:rsidR="00A35542">
        <w:rPr>
          <w:rFonts w:ascii="Times New Roman" w:hAnsi="Times New Roman" w:cs="Times New Roman"/>
          <w:b/>
          <w:szCs w:val="24"/>
          <w:lang w:val="de-DE"/>
        </w:rPr>
        <w:t xml:space="preserve"> </w:t>
      </w:r>
      <w:r w:rsidRPr="00BB4558">
        <w:rPr>
          <w:rFonts w:ascii="Times New Roman" w:hAnsi="Times New Roman" w:cs="Times New Roman"/>
          <w:szCs w:val="24"/>
          <w:lang w:val="de-DE"/>
        </w:rPr>
        <w:t>Ma trận tương quan giữa các biến trong mô hình nghiên cứu</w:t>
      </w:r>
    </w:p>
    <w:tbl>
      <w:tblPr>
        <w:tblStyle w:val="TableGrid"/>
        <w:tblW w:w="6120" w:type="dxa"/>
        <w:jc w:val="center"/>
        <w:tblBorders>
          <w:insideH w:val="none" w:sz="0" w:space="0" w:color="auto"/>
          <w:insideV w:val="none" w:sz="0" w:space="0" w:color="auto"/>
        </w:tblBorders>
        <w:tblLayout w:type="fixed"/>
        <w:tblLook w:val="04A0" w:firstRow="1" w:lastRow="0" w:firstColumn="1" w:lastColumn="0" w:noHBand="0" w:noVBand="1"/>
      </w:tblPr>
      <w:tblGrid>
        <w:gridCol w:w="914"/>
        <w:gridCol w:w="850"/>
        <w:gridCol w:w="818"/>
        <w:gridCol w:w="851"/>
        <w:gridCol w:w="845"/>
        <w:gridCol w:w="914"/>
        <w:gridCol w:w="928"/>
      </w:tblGrid>
      <w:tr w:rsidR="00140503" w:rsidTr="00140503">
        <w:trPr>
          <w:jc w:val="center"/>
        </w:trPr>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lang w:val="de-DE"/>
              </w:rPr>
            </w:pPr>
          </w:p>
        </w:tc>
        <w:tc>
          <w:tcPr>
            <w:tcW w:w="851"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ROE</w:t>
            </w:r>
          </w:p>
        </w:tc>
        <w:tc>
          <w:tcPr>
            <w:tcW w:w="819"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108" w:right="-105"/>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CAR</w:t>
            </w:r>
          </w:p>
        </w:tc>
        <w:tc>
          <w:tcPr>
            <w:tcW w:w="852" w:type="dxa"/>
            <w:tcBorders>
              <w:top w:val="single" w:sz="4" w:space="0" w:color="auto"/>
              <w:left w:val="nil"/>
              <w:bottom w:val="single" w:sz="4" w:space="0" w:color="auto"/>
              <w:right w:val="nil"/>
            </w:tcBorders>
            <w:hideMark/>
          </w:tcPr>
          <w:p w:rsidR="00140503" w:rsidRPr="00BB4558" w:rsidRDefault="00140503" w:rsidP="008124C4">
            <w:pPr>
              <w:spacing w:line="240" w:lineRule="atLeast"/>
              <w:ind w:right="-104"/>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NPLdn</w:t>
            </w:r>
          </w:p>
        </w:tc>
        <w:tc>
          <w:tcPr>
            <w:tcW w:w="846"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97" w:right="-108"/>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NPLm</w:t>
            </w:r>
            <w:r w:rsidR="00CA5FD0" w:rsidRPr="00BB4558">
              <w:rPr>
                <w:rFonts w:ascii="Times New Roman" w:eastAsia="Times New Roman" w:hAnsi="Times New Roman" w:cs="Times New Roman"/>
                <w:sz w:val="20"/>
                <w:szCs w:val="24"/>
              </w:rPr>
              <w:t>v</w:t>
            </w:r>
          </w:p>
        </w:tc>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89" w:right="-27"/>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LLPR</w:t>
            </w:r>
          </w:p>
        </w:tc>
        <w:tc>
          <w:tcPr>
            <w:tcW w:w="929"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89" w:right="-27"/>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LTD</w:t>
            </w:r>
          </w:p>
        </w:tc>
      </w:tr>
      <w:tr w:rsidR="00140503" w:rsidTr="00140503">
        <w:trPr>
          <w:jc w:val="center"/>
        </w:trPr>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right="-108"/>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ROE</w:t>
            </w:r>
          </w:p>
        </w:tc>
        <w:tc>
          <w:tcPr>
            <w:tcW w:w="851"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49"/>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1,000</w:t>
            </w:r>
          </w:p>
        </w:tc>
        <w:tc>
          <w:tcPr>
            <w:tcW w:w="819"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852"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846"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929"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r>
      <w:tr w:rsidR="00140503" w:rsidTr="00140503">
        <w:trPr>
          <w:jc w:val="center"/>
        </w:trPr>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right="-108"/>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CAR</w:t>
            </w:r>
          </w:p>
        </w:tc>
        <w:tc>
          <w:tcPr>
            <w:tcW w:w="851" w:type="dxa"/>
            <w:tcBorders>
              <w:top w:val="single" w:sz="4" w:space="0" w:color="auto"/>
              <w:left w:val="nil"/>
              <w:bottom w:val="single" w:sz="4" w:space="0" w:color="auto"/>
              <w:right w:val="nil"/>
            </w:tcBorders>
            <w:hideMark/>
          </w:tcPr>
          <w:p w:rsidR="00140503" w:rsidRPr="00BB4558" w:rsidRDefault="00140503" w:rsidP="008124C4">
            <w:pPr>
              <w:spacing w:line="240" w:lineRule="atLeast"/>
              <w:ind w:right="-143"/>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0,009</w:t>
            </w:r>
          </w:p>
        </w:tc>
        <w:tc>
          <w:tcPr>
            <w:tcW w:w="819"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49"/>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1,000</w:t>
            </w:r>
          </w:p>
        </w:tc>
        <w:tc>
          <w:tcPr>
            <w:tcW w:w="852"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846"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929"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r>
      <w:tr w:rsidR="00140503" w:rsidTr="00140503">
        <w:trPr>
          <w:jc w:val="center"/>
        </w:trPr>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right="-108"/>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NPLdn</w:t>
            </w:r>
          </w:p>
        </w:tc>
        <w:tc>
          <w:tcPr>
            <w:tcW w:w="851"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156" w:right="-143"/>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-0,004</w:t>
            </w:r>
          </w:p>
        </w:tc>
        <w:tc>
          <w:tcPr>
            <w:tcW w:w="819"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108" w:right="-105"/>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-0,518</w:t>
            </w:r>
          </w:p>
        </w:tc>
        <w:tc>
          <w:tcPr>
            <w:tcW w:w="852"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49"/>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1,000</w:t>
            </w:r>
          </w:p>
        </w:tc>
        <w:tc>
          <w:tcPr>
            <w:tcW w:w="846"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929"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r>
      <w:tr w:rsidR="00140503" w:rsidTr="00140503">
        <w:trPr>
          <w:jc w:val="center"/>
        </w:trPr>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right="-108"/>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NPLm</w:t>
            </w:r>
            <w:r w:rsidR="00CA5FD0" w:rsidRPr="00BB4558">
              <w:rPr>
                <w:rFonts w:ascii="Times New Roman" w:eastAsia="Times New Roman" w:hAnsi="Times New Roman" w:cs="Times New Roman"/>
                <w:sz w:val="20"/>
                <w:szCs w:val="24"/>
              </w:rPr>
              <w:t>v</w:t>
            </w:r>
          </w:p>
        </w:tc>
        <w:tc>
          <w:tcPr>
            <w:tcW w:w="851"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91" w:right="-122"/>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-0,002</w:t>
            </w:r>
          </w:p>
        </w:tc>
        <w:tc>
          <w:tcPr>
            <w:tcW w:w="819"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108" w:right="-105"/>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-0,458</w:t>
            </w:r>
          </w:p>
        </w:tc>
        <w:tc>
          <w:tcPr>
            <w:tcW w:w="852"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0,673</w:t>
            </w:r>
          </w:p>
        </w:tc>
        <w:tc>
          <w:tcPr>
            <w:tcW w:w="846"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49"/>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1,000</w:t>
            </w:r>
          </w:p>
        </w:tc>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c>
          <w:tcPr>
            <w:tcW w:w="929"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r>
      <w:tr w:rsidR="00140503" w:rsidTr="00140503">
        <w:trPr>
          <w:jc w:val="center"/>
        </w:trPr>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right="-108"/>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LLPR</w:t>
            </w:r>
          </w:p>
        </w:tc>
        <w:tc>
          <w:tcPr>
            <w:tcW w:w="851"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-0,016</w:t>
            </w:r>
          </w:p>
        </w:tc>
        <w:tc>
          <w:tcPr>
            <w:tcW w:w="819"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108" w:right="-105"/>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-0,781</w:t>
            </w:r>
          </w:p>
        </w:tc>
        <w:tc>
          <w:tcPr>
            <w:tcW w:w="852"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0,522</w:t>
            </w:r>
          </w:p>
        </w:tc>
        <w:tc>
          <w:tcPr>
            <w:tcW w:w="846"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0,644</w:t>
            </w:r>
          </w:p>
        </w:tc>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49"/>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1,000</w:t>
            </w:r>
          </w:p>
        </w:tc>
        <w:tc>
          <w:tcPr>
            <w:tcW w:w="929" w:type="dxa"/>
            <w:tcBorders>
              <w:top w:val="single" w:sz="4" w:space="0" w:color="auto"/>
              <w:left w:val="nil"/>
              <w:bottom w:val="single" w:sz="4" w:space="0" w:color="auto"/>
              <w:right w:val="nil"/>
            </w:tcBorders>
            <w:hideMark/>
          </w:tcPr>
          <w:p w:rsidR="00140503" w:rsidRPr="00BB4558" w:rsidRDefault="00140503" w:rsidP="008124C4">
            <w:pPr>
              <w:spacing w:line="240" w:lineRule="atLeast"/>
              <w:rPr>
                <w:sz w:val="20"/>
              </w:rPr>
            </w:pPr>
          </w:p>
        </w:tc>
      </w:tr>
      <w:tr w:rsidR="00140503" w:rsidTr="00140503">
        <w:trPr>
          <w:jc w:val="center"/>
        </w:trPr>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right="-108"/>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LTD</w:t>
            </w:r>
          </w:p>
        </w:tc>
        <w:tc>
          <w:tcPr>
            <w:tcW w:w="851"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0,027</w:t>
            </w:r>
          </w:p>
        </w:tc>
        <w:tc>
          <w:tcPr>
            <w:tcW w:w="819"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108" w:right="-105"/>
              <w:jc w:val="center"/>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0,547</w:t>
            </w:r>
          </w:p>
        </w:tc>
        <w:tc>
          <w:tcPr>
            <w:tcW w:w="852"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-0,556</w:t>
            </w:r>
          </w:p>
        </w:tc>
        <w:tc>
          <w:tcPr>
            <w:tcW w:w="846"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-0,921</w:t>
            </w:r>
          </w:p>
        </w:tc>
        <w:tc>
          <w:tcPr>
            <w:tcW w:w="915" w:type="dxa"/>
            <w:tcBorders>
              <w:top w:val="single" w:sz="4" w:space="0" w:color="auto"/>
              <w:left w:val="nil"/>
              <w:bottom w:val="single" w:sz="4" w:space="0" w:color="auto"/>
              <w:right w:val="nil"/>
            </w:tcBorders>
            <w:hideMark/>
          </w:tcPr>
          <w:p w:rsidR="00140503" w:rsidRPr="00BB4558" w:rsidRDefault="00140503" w:rsidP="008124C4">
            <w:pPr>
              <w:spacing w:line="240" w:lineRule="atLeast"/>
              <w:ind w:left="-49"/>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-0,728</w:t>
            </w:r>
          </w:p>
        </w:tc>
        <w:tc>
          <w:tcPr>
            <w:tcW w:w="929" w:type="dxa"/>
            <w:tcBorders>
              <w:top w:val="single" w:sz="4" w:space="0" w:color="auto"/>
              <w:left w:val="nil"/>
              <w:bottom w:val="single" w:sz="4" w:space="0" w:color="auto"/>
              <w:right w:val="nil"/>
            </w:tcBorders>
            <w:hideMark/>
          </w:tcPr>
          <w:p w:rsidR="00140503" w:rsidRPr="00BB4558" w:rsidRDefault="00140503" w:rsidP="008124C4">
            <w:pPr>
              <w:spacing w:line="240" w:lineRule="atLeast"/>
              <w:rPr>
                <w:rFonts w:ascii="Times New Roman" w:eastAsia="Times New Roman" w:hAnsi="Times New Roman" w:cs="Times New Roman"/>
                <w:sz w:val="20"/>
                <w:szCs w:val="24"/>
              </w:rPr>
            </w:pPr>
            <w:r w:rsidRPr="00BB4558">
              <w:rPr>
                <w:rFonts w:ascii="Times New Roman" w:eastAsia="Times New Roman" w:hAnsi="Times New Roman" w:cs="Times New Roman"/>
                <w:sz w:val="20"/>
                <w:szCs w:val="24"/>
              </w:rPr>
              <w:t>1,000</w:t>
            </w:r>
          </w:p>
        </w:tc>
      </w:tr>
    </w:tbl>
    <w:p w:rsidR="00140503" w:rsidRDefault="00CA5FD0" w:rsidP="008124C4">
      <w:pPr>
        <w:spacing w:after="0" w:line="288" w:lineRule="auto"/>
        <w:ind w:right="1275"/>
        <w:jc w:val="right"/>
        <w:rPr>
          <w:rFonts w:ascii="Times New Roman" w:hAnsi="Times New Roman" w:cs="Times New Roman"/>
          <w:i/>
          <w:sz w:val="24"/>
          <w:szCs w:val="24"/>
        </w:rPr>
      </w:pPr>
      <w:r w:rsidRPr="002E7582">
        <w:rPr>
          <w:rFonts w:ascii="Times New Roman" w:hAnsi="Times New Roman" w:cs="Times New Roman"/>
          <w:i/>
          <w:szCs w:val="24"/>
        </w:rPr>
        <w:t>Nguồn: k</w:t>
      </w:r>
      <w:r w:rsidR="00140503" w:rsidRPr="002E7582">
        <w:rPr>
          <w:rFonts w:ascii="Times New Roman" w:hAnsi="Times New Roman" w:cs="Times New Roman"/>
          <w:i/>
          <w:szCs w:val="24"/>
        </w:rPr>
        <w:t>ết quả tính toán qua phần mềm Stata 12 của tác giả</w:t>
      </w:r>
    </w:p>
    <w:p w:rsidR="00A165ED" w:rsidRDefault="00A165ED" w:rsidP="00063CD3">
      <w:pPr>
        <w:autoSpaceDE w:val="0"/>
        <w:autoSpaceDN w:val="0"/>
        <w:adjustRightInd w:val="0"/>
        <w:spacing w:after="0" w:line="288" w:lineRule="auto"/>
        <w:ind w:firstLine="720"/>
        <w:jc w:val="both"/>
        <w:rPr>
          <w:rFonts w:ascii="Times New Roman" w:hAnsi="Times New Roman" w:cs="Times New Roman"/>
          <w:sz w:val="24"/>
          <w:szCs w:val="24"/>
        </w:rPr>
        <w:sectPr w:rsidR="00A165ED" w:rsidSect="00412254">
          <w:footnotePr>
            <w:numFmt w:val="upperRoman"/>
          </w:footnotePr>
          <w:type w:val="continuous"/>
          <w:pgSz w:w="10773" w:h="15309" w:code="9"/>
          <w:pgMar w:top="1134" w:right="1134" w:bottom="1134" w:left="1134" w:header="0" w:footer="0" w:gutter="0"/>
          <w:cols w:space="720"/>
          <w:docGrid w:linePitch="360"/>
        </w:sectPr>
      </w:pPr>
    </w:p>
    <w:p w:rsidR="00CA5FD0" w:rsidRDefault="00140503" w:rsidP="00502A0A">
      <w:pPr>
        <w:autoSpaceDE w:val="0"/>
        <w:autoSpaceDN w:val="0"/>
        <w:adjustRightInd w:val="0"/>
        <w:spacing w:after="0" w:line="288"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Dựa vào bảng </w:t>
      </w:r>
      <w:r w:rsidR="00E66098">
        <w:rPr>
          <w:rFonts w:ascii="Times New Roman" w:hAnsi="Times New Roman" w:cs="Times New Roman"/>
          <w:sz w:val="24"/>
          <w:szCs w:val="24"/>
        </w:rPr>
        <w:t>3</w:t>
      </w:r>
      <w:r>
        <w:rPr>
          <w:rFonts w:ascii="Times New Roman" w:hAnsi="Times New Roman" w:cs="Times New Roman"/>
          <w:sz w:val="24"/>
          <w:szCs w:val="24"/>
        </w:rPr>
        <w:t xml:space="preserve"> ta có giá trị sig của các biến độc lập so với biến phụ thuộc ROE nhỏ hơn 5%, chứng tỏ các biến độc lập tương quan với biến phụ thuộc và giải thích được biến phụ thuộc với độ tin cậy trên 95%. Bên cạnh đó, để kiểm tra hiện tượng đa cộng tuyến giữa các biế</w:t>
      </w:r>
      <w:r w:rsidR="00AB0A8C">
        <w:rPr>
          <w:rFonts w:ascii="Times New Roman" w:hAnsi="Times New Roman" w:cs="Times New Roman"/>
          <w:sz w:val="24"/>
          <w:szCs w:val="24"/>
        </w:rPr>
        <w:t xml:space="preserve">n, </w:t>
      </w:r>
      <w:r>
        <w:rPr>
          <w:rFonts w:ascii="Times New Roman" w:hAnsi="Times New Roman" w:cs="Times New Roman"/>
          <w:sz w:val="24"/>
          <w:szCs w:val="24"/>
        </w:rPr>
        <w:t xml:space="preserve">tác </w:t>
      </w:r>
      <w:r>
        <w:rPr>
          <w:rFonts w:ascii="Times New Roman" w:hAnsi="Times New Roman" w:cs="Times New Roman"/>
          <w:sz w:val="24"/>
          <w:szCs w:val="24"/>
        </w:rPr>
        <w:lastRenderedPageBreak/>
        <w:t xml:space="preserve">giả tiến hành kiểm định hệ số phóng đại phương sai (Variance Inflation Factor </w:t>
      </w:r>
      <w:r w:rsidR="002E7582">
        <w:rPr>
          <w:rFonts w:ascii="Times New Roman" w:hAnsi="Times New Roman" w:cs="Times New Roman"/>
          <w:sz w:val="24"/>
          <w:szCs w:val="24"/>
        </w:rPr>
        <w:t>-</w:t>
      </w:r>
      <w:r>
        <w:rPr>
          <w:rFonts w:ascii="Times New Roman" w:hAnsi="Times New Roman" w:cs="Times New Roman"/>
          <w:sz w:val="24"/>
          <w:szCs w:val="24"/>
        </w:rPr>
        <w:t xml:space="preserve"> VIF), kết quả của kiểm định VIF cho thấy tất cả các hệ số đều nhỏ hơn 10, điều này chứng tỏ không có hiện tượng đa cộng tuyến đối với dữ liệu nghiên cứu</w:t>
      </w:r>
    </w:p>
    <w:p w:rsidR="003E0E2B" w:rsidRDefault="00336B03" w:rsidP="005E6A85">
      <w:pPr>
        <w:autoSpaceDE w:val="0"/>
        <w:autoSpaceDN w:val="0"/>
        <w:adjustRightInd w:val="0"/>
        <w:spacing w:after="0" w:line="288" w:lineRule="auto"/>
        <w:jc w:val="both"/>
        <w:rPr>
          <w:rFonts w:ascii="Times New Roman" w:hAnsi="Times New Roman" w:cs="Times New Roman"/>
          <w:b/>
          <w:sz w:val="24"/>
          <w:szCs w:val="24"/>
        </w:rPr>
      </w:pPr>
      <w:r>
        <w:rPr>
          <w:rFonts w:ascii="Times New Roman" w:hAnsi="Times New Roman" w:cs="Times New Roman"/>
          <w:b/>
          <w:sz w:val="24"/>
          <w:szCs w:val="24"/>
        </w:rPr>
        <w:t>4</w:t>
      </w:r>
      <w:r w:rsidR="003E0E2B" w:rsidRPr="00A31FEA">
        <w:rPr>
          <w:rFonts w:ascii="Times New Roman" w:hAnsi="Times New Roman" w:cs="Times New Roman"/>
          <w:b/>
          <w:sz w:val="24"/>
          <w:szCs w:val="24"/>
        </w:rPr>
        <w:t>.2</w:t>
      </w:r>
      <w:r w:rsidR="00063CD3">
        <w:rPr>
          <w:rFonts w:ascii="Times New Roman" w:hAnsi="Times New Roman" w:cs="Times New Roman"/>
          <w:b/>
          <w:sz w:val="24"/>
          <w:szCs w:val="24"/>
          <w:lang w:val="vi-VN"/>
        </w:rPr>
        <w:t>.</w:t>
      </w:r>
      <w:r w:rsidR="003E0E2B" w:rsidRPr="00A31FEA">
        <w:rPr>
          <w:rFonts w:ascii="Times New Roman" w:hAnsi="Times New Roman" w:cs="Times New Roman"/>
          <w:b/>
          <w:sz w:val="24"/>
          <w:szCs w:val="24"/>
        </w:rPr>
        <w:t xml:space="preserve"> Kết quả hồi quy </w:t>
      </w:r>
    </w:p>
    <w:p w:rsidR="00A165ED" w:rsidRDefault="00A165ED" w:rsidP="005E6A85">
      <w:pPr>
        <w:tabs>
          <w:tab w:val="left" w:pos="3120"/>
        </w:tabs>
        <w:autoSpaceDE w:val="0"/>
        <w:autoSpaceDN w:val="0"/>
        <w:adjustRightInd w:val="0"/>
        <w:spacing w:after="0" w:line="288" w:lineRule="auto"/>
        <w:jc w:val="center"/>
        <w:rPr>
          <w:rFonts w:ascii="Times New Roman" w:hAnsi="Times New Roman" w:cs="Times New Roman"/>
          <w:b/>
          <w:sz w:val="24"/>
          <w:szCs w:val="24"/>
        </w:rPr>
        <w:sectPr w:rsidR="00A165ED" w:rsidSect="002E7582">
          <w:footnotePr>
            <w:numFmt w:val="upperRoman"/>
          </w:footnotePr>
          <w:type w:val="continuous"/>
          <w:pgSz w:w="10773" w:h="15309" w:code="9"/>
          <w:pgMar w:top="1134" w:right="1134" w:bottom="1134" w:left="1134" w:header="0" w:footer="0" w:gutter="0"/>
          <w:cols w:num="2" w:space="425"/>
          <w:docGrid w:linePitch="360"/>
        </w:sectPr>
      </w:pPr>
    </w:p>
    <w:p w:rsidR="00BB4558" w:rsidRDefault="00BB4558" w:rsidP="005E6A85">
      <w:pPr>
        <w:tabs>
          <w:tab w:val="left" w:pos="3120"/>
        </w:tabs>
        <w:autoSpaceDE w:val="0"/>
        <w:autoSpaceDN w:val="0"/>
        <w:adjustRightInd w:val="0"/>
        <w:spacing w:after="0" w:line="288" w:lineRule="auto"/>
        <w:jc w:val="center"/>
        <w:rPr>
          <w:rFonts w:ascii="Times New Roman" w:hAnsi="Times New Roman" w:cs="Times New Roman"/>
          <w:b/>
          <w:szCs w:val="24"/>
        </w:rPr>
      </w:pPr>
    </w:p>
    <w:p w:rsidR="00BB4558" w:rsidRDefault="00BB4558" w:rsidP="005E6A85">
      <w:pPr>
        <w:tabs>
          <w:tab w:val="left" w:pos="3120"/>
        </w:tabs>
        <w:autoSpaceDE w:val="0"/>
        <w:autoSpaceDN w:val="0"/>
        <w:adjustRightInd w:val="0"/>
        <w:spacing w:after="0" w:line="288" w:lineRule="auto"/>
        <w:jc w:val="center"/>
        <w:rPr>
          <w:rFonts w:ascii="Times New Roman" w:hAnsi="Times New Roman" w:cs="Times New Roman"/>
          <w:b/>
          <w:szCs w:val="24"/>
        </w:rPr>
      </w:pPr>
    </w:p>
    <w:p w:rsidR="00AF3DB8" w:rsidRPr="00BB4558" w:rsidRDefault="00A34BB9" w:rsidP="00A35542">
      <w:pPr>
        <w:tabs>
          <w:tab w:val="left" w:pos="3120"/>
        </w:tabs>
        <w:autoSpaceDE w:val="0"/>
        <w:autoSpaceDN w:val="0"/>
        <w:adjustRightInd w:val="0"/>
        <w:spacing w:before="120" w:after="120" w:line="240" w:lineRule="auto"/>
        <w:jc w:val="center"/>
        <w:rPr>
          <w:rFonts w:ascii="Times New Roman" w:hAnsi="Times New Roman" w:cs="Times New Roman"/>
          <w:b/>
          <w:szCs w:val="24"/>
        </w:rPr>
      </w:pPr>
      <w:r w:rsidRPr="00BB4558">
        <w:rPr>
          <w:rFonts w:ascii="Times New Roman" w:hAnsi="Times New Roman" w:cs="Times New Roman"/>
          <w:b/>
          <w:szCs w:val="24"/>
        </w:rPr>
        <w:t xml:space="preserve">Bảng </w:t>
      </w:r>
      <w:r w:rsidR="002D2719" w:rsidRPr="00BB4558">
        <w:rPr>
          <w:rFonts w:ascii="Times New Roman" w:hAnsi="Times New Roman" w:cs="Times New Roman"/>
          <w:b/>
          <w:szCs w:val="24"/>
        </w:rPr>
        <w:t>4</w:t>
      </w:r>
      <w:r w:rsidR="00063CD3" w:rsidRPr="00BB4558">
        <w:rPr>
          <w:rFonts w:ascii="Times New Roman" w:hAnsi="Times New Roman" w:cs="Times New Roman"/>
          <w:b/>
          <w:szCs w:val="24"/>
        </w:rPr>
        <w:t>.</w:t>
      </w:r>
      <w:r w:rsidR="00A35542">
        <w:rPr>
          <w:rFonts w:ascii="Times New Roman" w:hAnsi="Times New Roman" w:cs="Times New Roman"/>
          <w:b/>
          <w:szCs w:val="24"/>
        </w:rPr>
        <w:t xml:space="preserve"> </w:t>
      </w:r>
      <w:r w:rsidRPr="00BB4558">
        <w:rPr>
          <w:rFonts w:ascii="Times New Roman" w:hAnsi="Times New Roman" w:cs="Times New Roman"/>
          <w:szCs w:val="24"/>
        </w:rPr>
        <w:t>Kết quả hồi quy theo ba phương pháp khác nhau</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13"/>
        <w:gridCol w:w="1236"/>
        <w:gridCol w:w="1627"/>
        <w:gridCol w:w="1647"/>
      </w:tblGrid>
      <w:tr w:rsidR="002D2719" w:rsidRPr="007B05CF" w:rsidTr="00493591">
        <w:trPr>
          <w:jc w:val="center"/>
        </w:trPr>
        <w:tc>
          <w:tcPr>
            <w:tcW w:w="2113" w:type="dxa"/>
            <w:vMerge w:val="restart"/>
          </w:tcPr>
          <w:p w:rsidR="002D2719" w:rsidRPr="00BB4558" w:rsidRDefault="002D2719" w:rsidP="00B82A87">
            <w:pPr>
              <w:spacing w:line="240" w:lineRule="atLeast"/>
              <w:jc w:val="center"/>
              <w:rPr>
                <w:rFonts w:ascii="Times New Roman" w:eastAsia="Times New Roman" w:hAnsi="Times New Roman" w:cs="Times New Roman"/>
                <w:b/>
                <w:sz w:val="20"/>
                <w:szCs w:val="20"/>
              </w:rPr>
            </w:pPr>
            <w:r w:rsidRPr="00BB4558">
              <w:rPr>
                <w:rFonts w:ascii="Times New Roman" w:eastAsia="Times New Roman" w:hAnsi="Times New Roman" w:cs="Times New Roman"/>
                <w:b/>
                <w:sz w:val="20"/>
                <w:szCs w:val="20"/>
              </w:rPr>
              <w:t>Các biến sử dụng trong mô hình</w:t>
            </w:r>
          </w:p>
        </w:tc>
        <w:tc>
          <w:tcPr>
            <w:tcW w:w="4510" w:type="dxa"/>
            <w:gridSpan w:val="3"/>
          </w:tcPr>
          <w:p w:rsidR="002D2719" w:rsidRPr="00BB4558" w:rsidRDefault="002D2719" w:rsidP="00B82A87">
            <w:pPr>
              <w:spacing w:line="240" w:lineRule="atLeast"/>
              <w:jc w:val="center"/>
              <w:rPr>
                <w:rFonts w:ascii="Times New Roman" w:eastAsia="Times New Roman" w:hAnsi="Times New Roman" w:cs="Times New Roman"/>
                <w:b/>
                <w:sz w:val="20"/>
                <w:szCs w:val="20"/>
              </w:rPr>
            </w:pPr>
            <w:r w:rsidRPr="00BB4558">
              <w:rPr>
                <w:rFonts w:ascii="Times New Roman" w:eastAsia="Times New Roman" w:hAnsi="Times New Roman" w:cs="Times New Roman"/>
                <w:b/>
                <w:sz w:val="20"/>
                <w:szCs w:val="20"/>
              </w:rPr>
              <w:t>ROE</w:t>
            </w:r>
          </w:p>
        </w:tc>
      </w:tr>
      <w:tr w:rsidR="002F411A" w:rsidRPr="007B05CF" w:rsidTr="00A05BD7">
        <w:trPr>
          <w:jc w:val="center"/>
        </w:trPr>
        <w:tc>
          <w:tcPr>
            <w:tcW w:w="2113" w:type="dxa"/>
            <w:vMerge/>
          </w:tcPr>
          <w:p w:rsidR="002F411A" w:rsidRPr="00BB4558" w:rsidRDefault="002F411A" w:rsidP="00B82A87">
            <w:pPr>
              <w:spacing w:line="240" w:lineRule="atLeast"/>
              <w:jc w:val="center"/>
              <w:rPr>
                <w:rFonts w:ascii="Times New Roman" w:eastAsia="Times New Roman" w:hAnsi="Times New Roman" w:cs="Times New Roman"/>
                <w:b/>
                <w:sz w:val="20"/>
                <w:szCs w:val="20"/>
              </w:rPr>
            </w:pPr>
          </w:p>
        </w:tc>
        <w:tc>
          <w:tcPr>
            <w:tcW w:w="1236" w:type="dxa"/>
          </w:tcPr>
          <w:p w:rsidR="002F411A" w:rsidRPr="00BB4558" w:rsidRDefault="002F411A" w:rsidP="00B82A87">
            <w:pPr>
              <w:spacing w:line="240" w:lineRule="atLeast"/>
              <w:jc w:val="center"/>
              <w:rPr>
                <w:rFonts w:ascii="Times New Roman" w:eastAsia="Times New Roman" w:hAnsi="Times New Roman" w:cs="Times New Roman"/>
                <w:b/>
                <w:sz w:val="20"/>
                <w:szCs w:val="20"/>
              </w:rPr>
            </w:pPr>
            <w:r w:rsidRPr="00BB4558">
              <w:rPr>
                <w:rFonts w:ascii="Times New Roman" w:eastAsia="Times New Roman" w:hAnsi="Times New Roman" w:cs="Times New Roman"/>
                <w:b/>
                <w:sz w:val="20"/>
                <w:szCs w:val="20"/>
              </w:rPr>
              <w:t>OLS</w:t>
            </w:r>
          </w:p>
        </w:tc>
        <w:tc>
          <w:tcPr>
            <w:tcW w:w="1627" w:type="dxa"/>
          </w:tcPr>
          <w:p w:rsidR="002F411A" w:rsidRPr="00BB4558" w:rsidRDefault="002F411A" w:rsidP="00B82A87">
            <w:pPr>
              <w:spacing w:line="240" w:lineRule="atLeast"/>
              <w:jc w:val="center"/>
              <w:rPr>
                <w:rFonts w:ascii="Times New Roman" w:eastAsia="Times New Roman" w:hAnsi="Times New Roman" w:cs="Times New Roman"/>
                <w:b/>
                <w:sz w:val="20"/>
                <w:szCs w:val="20"/>
              </w:rPr>
            </w:pPr>
            <w:r w:rsidRPr="00BB4558">
              <w:rPr>
                <w:rFonts w:ascii="Times New Roman" w:eastAsia="Times New Roman" w:hAnsi="Times New Roman" w:cs="Times New Roman"/>
                <w:b/>
                <w:sz w:val="20"/>
                <w:szCs w:val="20"/>
              </w:rPr>
              <w:t>FEM</w:t>
            </w:r>
          </w:p>
        </w:tc>
        <w:tc>
          <w:tcPr>
            <w:tcW w:w="1647" w:type="dxa"/>
          </w:tcPr>
          <w:p w:rsidR="002F411A" w:rsidRPr="00BB4558" w:rsidRDefault="002F411A" w:rsidP="00B82A87">
            <w:pPr>
              <w:spacing w:line="240" w:lineRule="atLeast"/>
              <w:jc w:val="center"/>
              <w:rPr>
                <w:rFonts w:ascii="Times New Roman" w:eastAsia="Times New Roman" w:hAnsi="Times New Roman" w:cs="Times New Roman"/>
                <w:b/>
                <w:sz w:val="20"/>
                <w:szCs w:val="20"/>
              </w:rPr>
            </w:pPr>
            <w:r w:rsidRPr="00BB4558">
              <w:rPr>
                <w:rFonts w:ascii="Times New Roman" w:eastAsia="Times New Roman" w:hAnsi="Times New Roman" w:cs="Times New Roman"/>
                <w:b/>
                <w:sz w:val="20"/>
                <w:szCs w:val="20"/>
              </w:rPr>
              <w:t>ECM</w:t>
            </w:r>
          </w:p>
        </w:tc>
      </w:tr>
      <w:tr w:rsidR="002F411A" w:rsidRPr="007B05CF" w:rsidTr="002D2719">
        <w:trPr>
          <w:jc w:val="center"/>
        </w:trPr>
        <w:tc>
          <w:tcPr>
            <w:tcW w:w="2113" w:type="dxa"/>
            <w:vMerge w:val="restart"/>
            <w:hideMark/>
          </w:tcPr>
          <w:p w:rsidR="002F411A" w:rsidRPr="00BB4558" w:rsidRDefault="002F411A" w:rsidP="00B82A87">
            <w:pPr>
              <w:spacing w:line="240" w:lineRule="atLeast"/>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lastRenderedPageBreak/>
              <w:t>CAR</w:t>
            </w:r>
          </w:p>
        </w:tc>
        <w:tc>
          <w:tcPr>
            <w:tcW w:w="1236" w:type="dxa"/>
            <w:vAlign w:val="center"/>
            <w:hideMark/>
          </w:tcPr>
          <w:p w:rsidR="002F411A" w:rsidRPr="00BB4558" w:rsidRDefault="002F411A"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0.4</w:t>
            </w:r>
            <w:r w:rsidR="007B05CF" w:rsidRPr="00BB4558">
              <w:rPr>
                <w:rFonts w:ascii="Times New Roman" w:eastAsia="Times New Roman" w:hAnsi="Times New Roman" w:cs="Times New Roman"/>
                <w:sz w:val="20"/>
                <w:szCs w:val="20"/>
              </w:rPr>
              <w:t>45</w:t>
            </w:r>
            <w:r w:rsidRPr="00BB4558">
              <w:rPr>
                <w:rFonts w:ascii="Times New Roman" w:eastAsia="Times New Roman" w:hAnsi="Times New Roman" w:cs="Times New Roman"/>
                <w:sz w:val="20"/>
                <w:szCs w:val="20"/>
              </w:rPr>
              <w:t>***</w:t>
            </w:r>
          </w:p>
        </w:tc>
        <w:tc>
          <w:tcPr>
            <w:tcW w:w="1627" w:type="dxa"/>
            <w:vAlign w:val="center"/>
            <w:hideMark/>
          </w:tcPr>
          <w:p w:rsidR="002F411A" w:rsidRPr="00BB4558" w:rsidRDefault="00824FFC"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0.822***</w:t>
            </w:r>
          </w:p>
        </w:tc>
        <w:tc>
          <w:tcPr>
            <w:tcW w:w="1647" w:type="dxa"/>
            <w:vAlign w:val="center"/>
            <w:hideMark/>
          </w:tcPr>
          <w:p w:rsidR="002F411A" w:rsidRPr="00BB4558" w:rsidRDefault="007B05CF"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0.671</w:t>
            </w:r>
            <w:r w:rsidR="002F411A" w:rsidRPr="00BB4558">
              <w:rPr>
                <w:rFonts w:ascii="Times New Roman" w:eastAsia="Times New Roman" w:hAnsi="Times New Roman" w:cs="Times New Roman"/>
                <w:sz w:val="20"/>
                <w:szCs w:val="20"/>
              </w:rPr>
              <w:t>*</w:t>
            </w:r>
            <w:r w:rsidR="00824FFC" w:rsidRPr="00BB4558">
              <w:rPr>
                <w:rFonts w:ascii="Times New Roman" w:eastAsia="Times New Roman" w:hAnsi="Times New Roman" w:cs="Times New Roman"/>
                <w:sz w:val="20"/>
                <w:szCs w:val="20"/>
              </w:rPr>
              <w:t>**</w:t>
            </w:r>
          </w:p>
        </w:tc>
      </w:tr>
      <w:tr w:rsidR="00824FFC" w:rsidRPr="007B05CF" w:rsidTr="002D2719">
        <w:trPr>
          <w:jc w:val="center"/>
        </w:trPr>
        <w:tc>
          <w:tcPr>
            <w:tcW w:w="2113" w:type="dxa"/>
            <w:vMerge/>
          </w:tcPr>
          <w:p w:rsidR="00824FFC" w:rsidRPr="00BB4558" w:rsidRDefault="00824FFC" w:rsidP="00B82A87">
            <w:pPr>
              <w:spacing w:line="240" w:lineRule="atLeast"/>
              <w:rPr>
                <w:rFonts w:ascii="Times New Roman" w:eastAsia="Times New Roman" w:hAnsi="Times New Roman" w:cs="Times New Roman"/>
                <w:sz w:val="20"/>
                <w:szCs w:val="20"/>
              </w:rPr>
            </w:pPr>
          </w:p>
        </w:tc>
        <w:tc>
          <w:tcPr>
            <w:tcW w:w="1236" w:type="dxa"/>
            <w:vAlign w:val="center"/>
          </w:tcPr>
          <w:p w:rsidR="00824FFC" w:rsidRPr="00BB4558" w:rsidRDefault="00A05BD7"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w:t>
            </w:r>
            <w:r w:rsidR="00AD4853" w:rsidRPr="00BB4558">
              <w:rPr>
                <w:rFonts w:ascii="Times New Roman" w:eastAsia="Times New Roman" w:hAnsi="Times New Roman" w:cs="Times New Roman"/>
                <w:sz w:val="20"/>
                <w:szCs w:val="20"/>
              </w:rPr>
              <w:t>3</w:t>
            </w:r>
            <w:r w:rsidR="00824FFC" w:rsidRPr="00BB4558">
              <w:rPr>
                <w:rFonts w:ascii="Times New Roman" w:eastAsia="Times New Roman" w:hAnsi="Times New Roman" w:cs="Times New Roman"/>
                <w:sz w:val="20"/>
                <w:szCs w:val="20"/>
              </w:rPr>
              <w:t>.21)</w:t>
            </w:r>
          </w:p>
        </w:tc>
        <w:tc>
          <w:tcPr>
            <w:tcW w:w="1627" w:type="dxa"/>
            <w:vAlign w:val="center"/>
          </w:tcPr>
          <w:p w:rsidR="00824FFC" w:rsidRPr="00BB4558" w:rsidRDefault="00A05BD7"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w:t>
            </w:r>
            <w:r w:rsidR="00AD4853" w:rsidRPr="00BB4558">
              <w:rPr>
                <w:rFonts w:ascii="Times New Roman" w:eastAsia="Times New Roman" w:hAnsi="Times New Roman" w:cs="Times New Roman"/>
                <w:sz w:val="20"/>
                <w:szCs w:val="20"/>
              </w:rPr>
              <w:t>5.14</w:t>
            </w:r>
            <w:r w:rsidR="00824FFC" w:rsidRPr="00BB4558">
              <w:rPr>
                <w:rFonts w:ascii="Times New Roman" w:eastAsia="Times New Roman" w:hAnsi="Times New Roman" w:cs="Times New Roman"/>
                <w:sz w:val="20"/>
                <w:szCs w:val="20"/>
              </w:rPr>
              <w:t>)</w:t>
            </w:r>
          </w:p>
        </w:tc>
        <w:tc>
          <w:tcPr>
            <w:tcW w:w="1647" w:type="dxa"/>
            <w:vAlign w:val="center"/>
          </w:tcPr>
          <w:p w:rsidR="00824FFC" w:rsidRPr="00BB4558" w:rsidRDefault="00A05BD7"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w:t>
            </w:r>
            <w:r w:rsidR="00287D71" w:rsidRPr="00BB4558">
              <w:rPr>
                <w:rFonts w:ascii="Times New Roman" w:eastAsia="Times New Roman" w:hAnsi="Times New Roman" w:cs="Times New Roman"/>
                <w:sz w:val="20"/>
                <w:szCs w:val="20"/>
              </w:rPr>
              <w:t>3.28</w:t>
            </w:r>
            <w:r w:rsidR="00824FFC" w:rsidRPr="00BB4558">
              <w:rPr>
                <w:rFonts w:ascii="Times New Roman" w:eastAsia="Times New Roman" w:hAnsi="Times New Roman" w:cs="Times New Roman"/>
                <w:sz w:val="20"/>
                <w:szCs w:val="20"/>
              </w:rPr>
              <w:t>)</w:t>
            </w:r>
          </w:p>
        </w:tc>
      </w:tr>
      <w:tr w:rsidR="00824FFC" w:rsidRPr="007B05CF" w:rsidTr="002D2719">
        <w:trPr>
          <w:jc w:val="center"/>
        </w:trPr>
        <w:tc>
          <w:tcPr>
            <w:tcW w:w="2113" w:type="dxa"/>
            <w:vMerge w:val="restart"/>
            <w:vAlign w:val="center"/>
          </w:tcPr>
          <w:p w:rsidR="00824FFC" w:rsidRPr="00BB4558" w:rsidRDefault="00824FFC" w:rsidP="00B82A87">
            <w:pPr>
              <w:spacing w:line="240" w:lineRule="atLeast"/>
              <w:rPr>
                <w:rFonts w:ascii="Times New Roman" w:hAnsi="Times New Roman" w:cs="Times New Roman"/>
                <w:sz w:val="20"/>
                <w:szCs w:val="20"/>
              </w:rPr>
            </w:pPr>
            <w:r w:rsidRPr="00BB4558">
              <w:rPr>
                <w:rFonts w:ascii="Times New Roman" w:hAnsi="Times New Roman" w:cs="Times New Roman"/>
                <w:sz w:val="20"/>
                <w:szCs w:val="20"/>
              </w:rPr>
              <w:t>NPLdn</w:t>
            </w:r>
          </w:p>
          <w:p w:rsidR="00824FFC" w:rsidRPr="00BB4558" w:rsidRDefault="00824FFC" w:rsidP="00B82A87">
            <w:pPr>
              <w:spacing w:line="240" w:lineRule="atLeast"/>
              <w:rPr>
                <w:rFonts w:ascii="Times New Roman" w:hAnsi="Times New Roman" w:cs="Times New Roman"/>
                <w:sz w:val="20"/>
                <w:szCs w:val="20"/>
              </w:rPr>
            </w:pPr>
          </w:p>
        </w:tc>
        <w:tc>
          <w:tcPr>
            <w:tcW w:w="1236" w:type="dxa"/>
            <w:vAlign w:val="center"/>
          </w:tcPr>
          <w:p w:rsidR="00824FFC" w:rsidRPr="00BB4558" w:rsidRDefault="00824FFC"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0.</w:t>
            </w:r>
            <w:r w:rsidR="007B05CF" w:rsidRPr="00BB4558">
              <w:rPr>
                <w:rFonts w:ascii="Times New Roman" w:hAnsi="Times New Roman" w:cs="Times New Roman"/>
                <w:sz w:val="20"/>
                <w:szCs w:val="20"/>
              </w:rPr>
              <w:t>5</w:t>
            </w:r>
            <w:r w:rsidR="00287D71" w:rsidRPr="00BB4558">
              <w:rPr>
                <w:rFonts w:ascii="Times New Roman" w:hAnsi="Times New Roman" w:cs="Times New Roman"/>
                <w:sz w:val="20"/>
                <w:szCs w:val="20"/>
              </w:rPr>
              <w:t>65</w:t>
            </w:r>
          </w:p>
        </w:tc>
        <w:tc>
          <w:tcPr>
            <w:tcW w:w="1627" w:type="dxa"/>
            <w:vAlign w:val="center"/>
          </w:tcPr>
          <w:p w:rsidR="00824FFC" w:rsidRPr="00BB4558" w:rsidRDefault="00824FFC"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w:t>
            </w:r>
            <w:r w:rsidR="00E208E5" w:rsidRPr="00BB4558">
              <w:rPr>
                <w:rFonts w:ascii="Times New Roman" w:eastAsia="Times New Roman" w:hAnsi="Times New Roman" w:cs="Times New Roman"/>
                <w:sz w:val="20"/>
                <w:szCs w:val="20"/>
              </w:rPr>
              <w:t>1</w:t>
            </w:r>
            <w:r w:rsidRPr="00BB4558">
              <w:rPr>
                <w:rFonts w:ascii="Times New Roman" w:eastAsia="Times New Roman" w:hAnsi="Times New Roman" w:cs="Times New Roman"/>
                <w:sz w:val="20"/>
                <w:szCs w:val="20"/>
              </w:rPr>
              <w:t>.</w:t>
            </w:r>
            <w:r w:rsidR="00E208E5" w:rsidRPr="00BB4558">
              <w:rPr>
                <w:rFonts w:ascii="Times New Roman" w:eastAsia="Times New Roman" w:hAnsi="Times New Roman" w:cs="Times New Roman"/>
                <w:sz w:val="20"/>
                <w:szCs w:val="20"/>
              </w:rPr>
              <w:t>15</w:t>
            </w:r>
            <w:r w:rsidRPr="00BB4558">
              <w:rPr>
                <w:rFonts w:ascii="Times New Roman" w:eastAsia="Times New Roman" w:hAnsi="Times New Roman" w:cs="Times New Roman"/>
                <w:sz w:val="20"/>
                <w:szCs w:val="20"/>
              </w:rPr>
              <w:t>8</w:t>
            </w:r>
            <w:r w:rsidR="009E0F3E" w:rsidRPr="00BB4558">
              <w:rPr>
                <w:rFonts w:ascii="Times New Roman" w:eastAsia="Times New Roman" w:hAnsi="Times New Roman" w:cs="Times New Roman"/>
                <w:sz w:val="20"/>
                <w:szCs w:val="20"/>
              </w:rPr>
              <w:t>**</w:t>
            </w:r>
          </w:p>
        </w:tc>
        <w:tc>
          <w:tcPr>
            <w:tcW w:w="1647" w:type="dxa"/>
            <w:vAlign w:val="center"/>
          </w:tcPr>
          <w:p w:rsidR="00824FFC" w:rsidRPr="00BB4558" w:rsidRDefault="00824FFC"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-1.108*</w:t>
            </w:r>
          </w:p>
        </w:tc>
      </w:tr>
      <w:tr w:rsidR="002D2719" w:rsidRPr="007B05CF" w:rsidTr="002D2719">
        <w:trPr>
          <w:jc w:val="center"/>
        </w:trPr>
        <w:tc>
          <w:tcPr>
            <w:tcW w:w="2113" w:type="dxa"/>
            <w:vMerge/>
            <w:vAlign w:val="center"/>
          </w:tcPr>
          <w:p w:rsidR="002D2719" w:rsidRPr="00BB4558" w:rsidRDefault="002D2719" w:rsidP="00B82A87">
            <w:pPr>
              <w:spacing w:line="240" w:lineRule="atLeast"/>
              <w:rPr>
                <w:rFonts w:ascii="Times New Roman" w:eastAsia="Times New Roman" w:hAnsi="Times New Roman" w:cs="Times New Roman"/>
                <w:sz w:val="20"/>
                <w:szCs w:val="20"/>
              </w:rPr>
            </w:pPr>
          </w:p>
        </w:tc>
        <w:tc>
          <w:tcPr>
            <w:tcW w:w="1236" w:type="dxa"/>
            <w:vAlign w:val="center"/>
          </w:tcPr>
          <w:p w:rsidR="002D2719" w:rsidRPr="00BB4558" w:rsidRDefault="002D2719" w:rsidP="00B82A87">
            <w:pPr>
              <w:spacing w:line="240" w:lineRule="atLeast"/>
              <w:jc w:val="center"/>
              <w:rPr>
                <w:rFonts w:ascii="Times New Roman" w:eastAsia="Times New Roman" w:hAnsi="Times New Roman" w:cs="Times New Roman"/>
                <w:sz w:val="20"/>
                <w:szCs w:val="20"/>
              </w:rPr>
            </w:pPr>
            <w:r w:rsidRPr="00BB4558">
              <w:rPr>
                <w:rFonts w:ascii="Times New Roman" w:hAnsi="Times New Roman" w:cs="Times New Roman"/>
                <w:sz w:val="20"/>
                <w:szCs w:val="20"/>
              </w:rPr>
              <w:t>(0.79)</w:t>
            </w:r>
          </w:p>
        </w:tc>
        <w:tc>
          <w:tcPr>
            <w:tcW w:w="1627" w:type="dxa"/>
            <w:vAlign w:val="center"/>
          </w:tcPr>
          <w:p w:rsidR="002D2719" w:rsidRPr="00BB4558" w:rsidRDefault="00AD4853"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(-1.99</w:t>
            </w:r>
            <w:r w:rsidR="002D2719" w:rsidRPr="00BB4558">
              <w:rPr>
                <w:rFonts w:ascii="Times New Roman" w:hAnsi="Times New Roman" w:cs="Times New Roman"/>
                <w:sz w:val="20"/>
                <w:szCs w:val="20"/>
              </w:rPr>
              <w:t>)</w:t>
            </w:r>
          </w:p>
        </w:tc>
        <w:tc>
          <w:tcPr>
            <w:tcW w:w="1647" w:type="dxa"/>
            <w:vAlign w:val="center"/>
          </w:tcPr>
          <w:p w:rsidR="002D2719" w:rsidRPr="00BB4558" w:rsidRDefault="00AD4853"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(-1</w:t>
            </w:r>
            <w:r w:rsidR="002D2719" w:rsidRPr="00BB4558">
              <w:rPr>
                <w:rFonts w:ascii="Times New Roman" w:hAnsi="Times New Roman" w:cs="Times New Roman"/>
                <w:sz w:val="20"/>
                <w:szCs w:val="20"/>
              </w:rPr>
              <w:t>.</w:t>
            </w:r>
            <w:r w:rsidR="00287D71" w:rsidRPr="00BB4558">
              <w:rPr>
                <w:rFonts w:ascii="Times New Roman" w:hAnsi="Times New Roman" w:cs="Times New Roman"/>
                <w:sz w:val="20"/>
                <w:szCs w:val="20"/>
              </w:rPr>
              <w:t>69</w:t>
            </w:r>
            <w:r w:rsidR="002D2719" w:rsidRPr="00BB4558">
              <w:rPr>
                <w:rFonts w:ascii="Times New Roman" w:hAnsi="Times New Roman" w:cs="Times New Roman"/>
                <w:sz w:val="20"/>
                <w:szCs w:val="20"/>
              </w:rPr>
              <w:t>)</w:t>
            </w:r>
          </w:p>
        </w:tc>
      </w:tr>
      <w:tr w:rsidR="002D2719" w:rsidRPr="007B05CF" w:rsidTr="002D2719">
        <w:trPr>
          <w:jc w:val="center"/>
        </w:trPr>
        <w:tc>
          <w:tcPr>
            <w:tcW w:w="2113" w:type="dxa"/>
            <w:vMerge w:val="restart"/>
            <w:vAlign w:val="center"/>
          </w:tcPr>
          <w:p w:rsidR="002D2719" w:rsidRPr="00BB4558" w:rsidRDefault="002D2719" w:rsidP="00B82A87">
            <w:pPr>
              <w:spacing w:line="240" w:lineRule="atLeast"/>
              <w:rPr>
                <w:rFonts w:ascii="Times New Roman" w:hAnsi="Times New Roman" w:cs="Times New Roman"/>
                <w:sz w:val="20"/>
                <w:szCs w:val="20"/>
              </w:rPr>
            </w:pPr>
            <w:r w:rsidRPr="00BB4558">
              <w:rPr>
                <w:rFonts w:ascii="Times New Roman" w:hAnsi="Times New Roman" w:cs="Times New Roman"/>
                <w:sz w:val="20"/>
                <w:szCs w:val="20"/>
              </w:rPr>
              <w:t>NPLmv</w:t>
            </w:r>
          </w:p>
        </w:tc>
        <w:tc>
          <w:tcPr>
            <w:tcW w:w="1236"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-0.081*</w:t>
            </w:r>
          </w:p>
        </w:tc>
        <w:tc>
          <w:tcPr>
            <w:tcW w:w="1627"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w:t>
            </w:r>
            <w:r w:rsidR="00E208E5" w:rsidRPr="00BB4558">
              <w:rPr>
                <w:rFonts w:ascii="Times New Roman" w:hAnsi="Times New Roman" w:cs="Times New Roman"/>
                <w:sz w:val="20"/>
                <w:szCs w:val="20"/>
              </w:rPr>
              <w:t>1</w:t>
            </w:r>
            <w:r w:rsidRPr="00BB4558">
              <w:rPr>
                <w:rFonts w:ascii="Times New Roman" w:hAnsi="Times New Roman" w:cs="Times New Roman"/>
                <w:sz w:val="20"/>
                <w:szCs w:val="20"/>
              </w:rPr>
              <w:t>.</w:t>
            </w:r>
            <w:r w:rsidR="00E208E5" w:rsidRPr="00BB4558">
              <w:rPr>
                <w:rFonts w:ascii="Times New Roman" w:hAnsi="Times New Roman" w:cs="Times New Roman"/>
                <w:sz w:val="20"/>
                <w:szCs w:val="20"/>
              </w:rPr>
              <w:t>9</w:t>
            </w:r>
            <w:r w:rsidRPr="00BB4558">
              <w:rPr>
                <w:rFonts w:ascii="Times New Roman" w:hAnsi="Times New Roman" w:cs="Times New Roman"/>
                <w:sz w:val="20"/>
                <w:szCs w:val="20"/>
              </w:rPr>
              <w:t>65**</w:t>
            </w:r>
            <w:r w:rsidR="009E0F3E" w:rsidRPr="00BB4558">
              <w:rPr>
                <w:rFonts w:ascii="Times New Roman" w:hAnsi="Times New Roman" w:cs="Times New Roman"/>
                <w:sz w:val="20"/>
                <w:szCs w:val="20"/>
              </w:rPr>
              <w:t>*</w:t>
            </w:r>
          </w:p>
        </w:tc>
        <w:tc>
          <w:tcPr>
            <w:tcW w:w="1647"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-0.115**</w:t>
            </w:r>
          </w:p>
        </w:tc>
      </w:tr>
      <w:tr w:rsidR="002D2719" w:rsidRPr="007B05CF" w:rsidTr="002D2719">
        <w:trPr>
          <w:jc w:val="center"/>
        </w:trPr>
        <w:tc>
          <w:tcPr>
            <w:tcW w:w="2113" w:type="dxa"/>
            <w:vMerge/>
            <w:vAlign w:val="center"/>
          </w:tcPr>
          <w:p w:rsidR="002D2719" w:rsidRPr="00BB4558" w:rsidRDefault="002D2719" w:rsidP="00B82A87">
            <w:pPr>
              <w:spacing w:line="240" w:lineRule="atLeast"/>
              <w:rPr>
                <w:rFonts w:ascii="Times New Roman" w:hAnsi="Times New Roman" w:cs="Times New Roman"/>
                <w:sz w:val="20"/>
                <w:szCs w:val="20"/>
              </w:rPr>
            </w:pPr>
          </w:p>
        </w:tc>
        <w:tc>
          <w:tcPr>
            <w:tcW w:w="1236" w:type="dxa"/>
            <w:vAlign w:val="center"/>
          </w:tcPr>
          <w:p w:rsidR="002D2719" w:rsidRPr="00BB4558" w:rsidRDefault="00287D71"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(-1.7</w:t>
            </w:r>
            <w:r w:rsidR="002D2719" w:rsidRPr="00BB4558">
              <w:rPr>
                <w:rFonts w:ascii="Times New Roman" w:hAnsi="Times New Roman" w:cs="Times New Roman"/>
                <w:sz w:val="20"/>
                <w:szCs w:val="20"/>
              </w:rPr>
              <w:t>5)</w:t>
            </w:r>
          </w:p>
        </w:tc>
        <w:tc>
          <w:tcPr>
            <w:tcW w:w="1627"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(-2.</w:t>
            </w:r>
            <w:r w:rsidR="00AD4853" w:rsidRPr="00BB4558">
              <w:rPr>
                <w:rFonts w:ascii="Times New Roman" w:hAnsi="Times New Roman" w:cs="Times New Roman"/>
                <w:sz w:val="20"/>
                <w:szCs w:val="20"/>
              </w:rPr>
              <w:t>68</w:t>
            </w:r>
            <w:r w:rsidRPr="00BB4558">
              <w:rPr>
                <w:rFonts w:ascii="Times New Roman" w:hAnsi="Times New Roman" w:cs="Times New Roman"/>
                <w:sz w:val="20"/>
                <w:szCs w:val="20"/>
              </w:rPr>
              <w:t>)</w:t>
            </w:r>
          </w:p>
        </w:tc>
        <w:tc>
          <w:tcPr>
            <w:tcW w:w="1647" w:type="dxa"/>
            <w:vAlign w:val="center"/>
          </w:tcPr>
          <w:p w:rsidR="002D2719" w:rsidRPr="00BB4558" w:rsidRDefault="00AD4853"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w:t>
            </w:r>
            <w:r w:rsidR="00287D71" w:rsidRPr="00BB4558">
              <w:rPr>
                <w:rFonts w:ascii="Times New Roman" w:hAnsi="Times New Roman" w:cs="Times New Roman"/>
                <w:sz w:val="20"/>
                <w:szCs w:val="20"/>
              </w:rPr>
              <w:t>2</w:t>
            </w:r>
            <w:r w:rsidR="00306AB9" w:rsidRPr="00BB4558">
              <w:rPr>
                <w:rFonts w:ascii="Times New Roman" w:hAnsi="Times New Roman" w:cs="Times New Roman"/>
                <w:sz w:val="20"/>
                <w:szCs w:val="20"/>
              </w:rPr>
              <w:t>.</w:t>
            </w:r>
            <w:r w:rsidR="00287D71" w:rsidRPr="00BB4558">
              <w:rPr>
                <w:rFonts w:ascii="Times New Roman" w:hAnsi="Times New Roman" w:cs="Times New Roman"/>
                <w:sz w:val="20"/>
                <w:szCs w:val="20"/>
              </w:rPr>
              <w:t>0</w:t>
            </w:r>
            <w:r w:rsidR="00306AB9" w:rsidRPr="00BB4558">
              <w:rPr>
                <w:rFonts w:ascii="Times New Roman" w:hAnsi="Times New Roman" w:cs="Times New Roman"/>
                <w:sz w:val="20"/>
                <w:szCs w:val="20"/>
              </w:rPr>
              <w:t>4</w:t>
            </w:r>
            <w:r w:rsidR="002D2719" w:rsidRPr="00BB4558">
              <w:rPr>
                <w:rFonts w:ascii="Times New Roman" w:hAnsi="Times New Roman" w:cs="Times New Roman"/>
                <w:sz w:val="20"/>
                <w:szCs w:val="20"/>
              </w:rPr>
              <w:t>)</w:t>
            </w:r>
          </w:p>
        </w:tc>
      </w:tr>
      <w:tr w:rsidR="002D2719" w:rsidRPr="007B05CF" w:rsidTr="002D2719">
        <w:trPr>
          <w:jc w:val="center"/>
        </w:trPr>
        <w:tc>
          <w:tcPr>
            <w:tcW w:w="2113" w:type="dxa"/>
            <w:vMerge w:val="restart"/>
            <w:vAlign w:val="center"/>
          </w:tcPr>
          <w:p w:rsidR="002D2719" w:rsidRPr="00BB4558" w:rsidRDefault="002D2719" w:rsidP="00B82A87">
            <w:pPr>
              <w:spacing w:line="240" w:lineRule="atLeast"/>
              <w:rPr>
                <w:rFonts w:ascii="Times New Roman" w:hAnsi="Times New Roman" w:cs="Times New Roman"/>
                <w:sz w:val="20"/>
                <w:szCs w:val="20"/>
              </w:rPr>
            </w:pPr>
            <w:r w:rsidRPr="00BB4558">
              <w:rPr>
                <w:rFonts w:ascii="Times New Roman" w:eastAsia="Times New Roman" w:hAnsi="Times New Roman" w:cs="Times New Roman"/>
                <w:sz w:val="20"/>
                <w:szCs w:val="20"/>
              </w:rPr>
              <w:t>LLPR</w:t>
            </w:r>
          </w:p>
        </w:tc>
        <w:tc>
          <w:tcPr>
            <w:tcW w:w="1236"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-1.67*</w:t>
            </w:r>
          </w:p>
        </w:tc>
        <w:tc>
          <w:tcPr>
            <w:tcW w:w="1627" w:type="dxa"/>
            <w:vAlign w:val="center"/>
          </w:tcPr>
          <w:p w:rsidR="002D2719" w:rsidRPr="00BB4558" w:rsidRDefault="00287D71"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-2.383**</w:t>
            </w:r>
          </w:p>
        </w:tc>
        <w:tc>
          <w:tcPr>
            <w:tcW w:w="1647" w:type="dxa"/>
            <w:vAlign w:val="center"/>
          </w:tcPr>
          <w:p w:rsidR="002D2719" w:rsidRPr="00BB4558" w:rsidRDefault="00287D71"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-2.002**</w:t>
            </w:r>
          </w:p>
        </w:tc>
      </w:tr>
      <w:tr w:rsidR="002D2719" w:rsidRPr="007B05CF" w:rsidTr="002D2719">
        <w:trPr>
          <w:trHeight w:val="230"/>
          <w:jc w:val="center"/>
        </w:trPr>
        <w:tc>
          <w:tcPr>
            <w:tcW w:w="2113" w:type="dxa"/>
            <w:vMerge/>
            <w:vAlign w:val="center"/>
          </w:tcPr>
          <w:p w:rsidR="002D2719" w:rsidRPr="00BB4558" w:rsidRDefault="002D2719" w:rsidP="00B82A87">
            <w:pPr>
              <w:spacing w:line="240" w:lineRule="atLeast"/>
              <w:rPr>
                <w:rFonts w:ascii="Times New Roman" w:hAnsi="Times New Roman" w:cs="Times New Roman"/>
                <w:sz w:val="20"/>
                <w:szCs w:val="20"/>
              </w:rPr>
            </w:pPr>
          </w:p>
        </w:tc>
        <w:tc>
          <w:tcPr>
            <w:tcW w:w="1236"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(-1.4</w:t>
            </w:r>
            <w:r w:rsidR="00306AB9" w:rsidRPr="00BB4558">
              <w:rPr>
                <w:rFonts w:ascii="Times New Roman" w:hAnsi="Times New Roman" w:cs="Times New Roman"/>
                <w:sz w:val="20"/>
                <w:szCs w:val="20"/>
              </w:rPr>
              <w:t>9</w:t>
            </w:r>
            <w:r w:rsidRPr="00BB4558">
              <w:rPr>
                <w:rFonts w:ascii="Times New Roman" w:hAnsi="Times New Roman" w:cs="Times New Roman"/>
                <w:sz w:val="20"/>
                <w:szCs w:val="20"/>
              </w:rPr>
              <w:t>)</w:t>
            </w:r>
          </w:p>
        </w:tc>
        <w:tc>
          <w:tcPr>
            <w:tcW w:w="1627"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w:t>
            </w:r>
            <w:r w:rsidR="00AD4853" w:rsidRPr="00BB4558">
              <w:rPr>
                <w:rFonts w:ascii="Times New Roman" w:hAnsi="Times New Roman" w:cs="Times New Roman"/>
                <w:sz w:val="20"/>
                <w:szCs w:val="20"/>
              </w:rPr>
              <w:t>2.31</w:t>
            </w:r>
            <w:r w:rsidRPr="00BB4558">
              <w:rPr>
                <w:rFonts w:ascii="Times New Roman" w:hAnsi="Times New Roman" w:cs="Times New Roman"/>
                <w:sz w:val="20"/>
                <w:szCs w:val="20"/>
              </w:rPr>
              <w:t>)</w:t>
            </w:r>
          </w:p>
        </w:tc>
        <w:tc>
          <w:tcPr>
            <w:tcW w:w="1647"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(-2.</w:t>
            </w:r>
            <w:r w:rsidR="00306AB9" w:rsidRPr="00BB4558">
              <w:rPr>
                <w:rFonts w:ascii="Times New Roman" w:hAnsi="Times New Roman" w:cs="Times New Roman"/>
                <w:sz w:val="20"/>
                <w:szCs w:val="20"/>
              </w:rPr>
              <w:t>11</w:t>
            </w:r>
            <w:r w:rsidRPr="00BB4558">
              <w:rPr>
                <w:rFonts w:ascii="Times New Roman" w:hAnsi="Times New Roman" w:cs="Times New Roman"/>
                <w:sz w:val="20"/>
                <w:szCs w:val="20"/>
              </w:rPr>
              <w:t>)</w:t>
            </w:r>
          </w:p>
        </w:tc>
      </w:tr>
      <w:tr w:rsidR="002D2719" w:rsidRPr="007B05CF" w:rsidTr="002D2719">
        <w:trPr>
          <w:jc w:val="center"/>
        </w:trPr>
        <w:tc>
          <w:tcPr>
            <w:tcW w:w="2113" w:type="dxa"/>
            <w:vMerge w:val="restart"/>
            <w:vAlign w:val="center"/>
          </w:tcPr>
          <w:p w:rsidR="002D2719" w:rsidRPr="00BB4558" w:rsidRDefault="002D2719" w:rsidP="00B82A87">
            <w:pPr>
              <w:spacing w:line="240" w:lineRule="atLeast"/>
              <w:rPr>
                <w:rFonts w:ascii="Times New Roman" w:hAnsi="Times New Roman" w:cs="Times New Roman"/>
                <w:sz w:val="20"/>
                <w:szCs w:val="20"/>
              </w:rPr>
            </w:pPr>
            <w:r w:rsidRPr="00BB4558">
              <w:rPr>
                <w:rFonts w:ascii="Times New Roman" w:hAnsi="Times New Roman" w:cs="Times New Roman"/>
                <w:sz w:val="20"/>
                <w:szCs w:val="20"/>
              </w:rPr>
              <w:t>LTD</w:t>
            </w:r>
          </w:p>
        </w:tc>
        <w:tc>
          <w:tcPr>
            <w:tcW w:w="1236"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-0.0718</w:t>
            </w:r>
            <w:r w:rsidR="00306AB9" w:rsidRPr="00BB4558">
              <w:rPr>
                <w:rFonts w:ascii="Times New Roman" w:hAnsi="Times New Roman" w:cs="Times New Roman"/>
                <w:sz w:val="20"/>
                <w:szCs w:val="20"/>
              </w:rPr>
              <w:t>**</w:t>
            </w:r>
          </w:p>
        </w:tc>
        <w:tc>
          <w:tcPr>
            <w:tcW w:w="1627" w:type="dxa"/>
            <w:vAlign w:val="center"/>
          </w:tcPr>
          <w:p w:rsidR="002D2719" w:rsidRPr="00BB4558" w:rsidRDefault="002D2719"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0.0342</w:t>
            </w:r>
            <w:r w:rsidR="00287D71" w:rsidRPr="00BB4558">
              <w:rPr>
                <w:rFonts w:ascii="Times New Roman" w:eastAsia="Times New Roman" w:hAnsi="Times New Roman" w:cs="Times New Roman"/>
                <w:sz w:val="20"/>
                <w:szCs w:val="20"/>
              </w:rPr>
              <w:t>**</w:t>
            </w:r>
            <w:r w:rsidRPr="00BB4558">
              <w:rPr>
                <w:rFonts w:ascii="Times New Roman" w:eastAsia="Times New Roman" w:hAnsi="Times New Roman" w:cs="Times New Roman"/>
                <w:sz w:val="20"/>
                <w:szCs w:val="20"/>
              </w:rPr>
              <w:t>*</w:t>
            </w:r>
          </w:p>
        </w:tc>
        <w:tc>
          <w:tcPr>
            <w:tcW w:w="1647" w:type="dxa"/>
            <w:vAlign w:val="center"/>
          </w:tcPr>
          <w:p w:rsidR="002D2719" w:rsidRPr="00BB4558" w:rsidRDefault="002D2719"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0.0282</w:t>
            </w:r>
            <w:r w:rsidR="00287D71" w:rsidRPr="00BB4558">
              <w:rPr>
                <w:rFonts w:ascii="Times New Roman" w:eastAsia="Times New Roman" w:hAnsi="Times New Roman" w:cs="Times New Roman"/>
                <w:sz w:val="20"/>
                <w:szCs w:val="20"/>
              </w:rPr>
              <w:t>**</w:t>
            </w:r>
            <w:r w:rsidRPr="00BB4558">
              <w:rPr>
                <w:rFonts w:ascii="Times New Roman" w:eastAsia="Times New Roman" w:hAnsi="Times New Roman" w:cs="Times New Roman"/>
                <w:sz w:val="20"/>
                <w:szCs w:val="20"/>
              </w:rPr>
              <w:t>*</w:t>
            </w:r>
          </w:p>
        </w:tc>
      </w:tr>
      <w:tr w:rsidR="002D2719" w:rsidRPr="007B05CF" w:rsidTr="002D2719">
        <w:trPr>
          <w:jc w:val="center"/>
        </w:trPr>
        <w:tc>
          <w:tcPr>
            <w:tcW w:w="2113" w:type="dxa"/>
            <w:vMerge/>
            <w:vAlign w:val="center"/>
          </w:tcPr>
          <w:p w:rsidR="002D2719" w:rsidRPr="00BB4558" w:rsidRDefault="002D2719" w:rsidP="00B82A87">
            <w:pPr>
              <w:spacing w:line="240" w:lineRule="atLeast"/>
              <w:rPr>
                <w:rFonts w:ascii="Times New Roman" w:hAnsi="Times New Roman" w:cs="Times New Roman"/>
                <w:sz w:val="20"/>
                <w:szCs w:val="20"/>
              </w:rPr>
            </w:pPr>
          </w:p>
        </w:tc>
        <w:tc>
          <w:tcPr>
            <w:tcW w:w="1236"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w:t>
            </w:r>
            <w:r w:rsidR="00AD4853" w:rsidRPr="00BB4558">
              <w:rPr>
                <w:rFonts w:ascii="Times New Roman" w:hAnsi="Times New Roman" w:cs="Times New Roman"/>
                <w:sz w:val="20"/>
                <w:szCs w:val="20"/>
              </w:rPr>
              <w:t>2</w:t>
            </w:r>
            <w:r w:rsidRPr="00BB4558">
              <w:rPr>
                <w:rFonts w:ascii="Times New Roman" w:hAnsi="Times New Roman" w:cs="Times New Roman"/>
                <w:sz w:val="20"/>
                <w:szCs w:val="20"/>
              </w:rPr>
              <w:t>.14)</w:t>
            </w:r>
          </w:p>
        </w:tc>
        <w:tc>
          <w:tcPr>
            <w:tcW w:w="1627" w:type="dxa"/>
            <w:vAlign w:val="center"/>
          </w:tcPr>
          <w:p w:rsidR="002D2719" w:rsidRPr="00BB4558" w:rsidRDefault="00AD4853"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(5</w:t>
            </w:r>
            <w:r w:rsidR="002D2719" w:rsidRPr="00BB4558">
              <w:rPr>
                <w:rFonts w:ascii="Times New Roman" w:eastAsia="Times New Roman" w:hAnsi="Times New Roman" w:cs="Times New Roman"/>
                <w:sz w:val="20"/>
                <w:szCs w:val="20"/>
              </w:rPr>
              <w:t>.70)</w:t>
            </w:r>
          </w:p>
        </w:tc>
        <w:tc>
          <w:tcPr>
            <w:tcW w:w="1647" w:type="dxa"/>
            <w:vAlign w:val="center"/>
          </w:tcPr>
          <w:p w:rsidR="002D2719" w:rsidRPr="00BB4558" w:rsidRDefault="002D2719"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w:t>
            </w:r>
            <w:r w:rsidR="00AD4853" w:rsidRPr="00BB4558">
              <w:rPr>
                <w:rFonts w:ascii="Times New Roman" w:eastAsia="Times New Roman" w:hAnsi="Times New Roman" w:cs="Times New Roman"/>
                <w:sz w:val="20"/>
                <w:szCs w:val="20"/>
              </w:rPr>
              <w:t>4</w:t>
            </w:r>
            <w:r w:rsidRPr="00BB4558">
              <w:rPr>
                <w:rFonts w:ascii="Times New Roman" w:eastAsia="Times New Roman" w:hAnsi="Times New Roman" w:cs="Times New Roman"/>
                <w:sz w:val="20"/>
                <w:szCs w:val="20"/>
              </w:rPr>
              <w:t>.73)</w:t>
            </w:r>
          </w:p>
        </w:tc>
      </w:tr>
      <w:tr w:rsidR="002D2719" w:rsidRPr="007B05CF" w:rsidTr="002D2719">
        <w:trPr>
          <w:jc w:val="center"/>
        </w:trPr>
        <w:tc>
          <w:tcPr>
            <w:tcW w:w="2113" w:type="dxa"/>
            <w:vMerge w:val="restart"/>
            <w:vAlign w:val="center"/>
          </w:tcPr>
          <w:p w:rsidR="002D2719" w:rsidRPr="00BB4558" w:rsidRDefault="002D2719" w:rsidP="00B82A87">
            <w:pPr>
              <w:spacing w:line="240" w:lineRule="atLeast"/>
              <w:rPr>
                <w:rFonts w:ascii="Times New Roman" w:hAnsi="Times New Roman" w:cs="Times New Roman"/>
                <w:sz w:val="20"/>
                <w:szCs w:val="20"/>
              </w:rPr>
            </w:pPr>
            <w:r w:rsidRPr="00BB4558">
              <w:rPr>
                <w:rFonts w:ascii="Times New Roman" w:hAnsi="Times New Roman" w:cs="Times New Roman"/>
                <w:sz w:val="20"/>
                <w:szCs w:val="20"/>
              </w:rPr>
              <w:t>_cons</w:t>
            </w:r>
          </w:p>
        </w:tc>
        <w:tc>
          <w:tcPr>
            <w:tcW w:w="1236"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0.257**</w:t>
            </w:r>
            <w:r w:rsidR="00306AB9" w:rsidRPr="00BB4558">
              <w:rPr>
                <w:rFonts w:ascii="Times New Roman" w:hAnsi="Times New Roman" w:cs="Times New Roman"/>
                <w:sz w:val="20"/>
                <w:szCs w:val="20"/>
              </w:rPr>
              <w:t>*</w:t>
            </w:r>
          </w:p>
        </w:tc>
        <w:tc>
          <w:tcPr>
            <w:tcW w:w="1627" w:type="dxa"/>
            <w:vAlign w:val="center"/>
          </w:tcPr>
          <w:p w:rsidR="002D2719" w:rsidRPr="00BB4558" w:rsidRDefault="002D2719"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0.307***</w:t>
            </w:r>
          </w:p>
        </w:tc>
        <w:tc>
          <w:tcPr>
            <w:tcW w:w="1647" w:type="dxa"/>
            <w:vAlign w:val="center"/>
          </w:tcPr>
          <w:p w:rsidR="002D2719" w:rsidRPr="00BB4558" w:rsidRDefault="002D2719"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0.321***</w:t>
            </w:r>
          </w:p>
        </w:tc>
      </w:tr>
      <w:tr w:rsidR="002D2719" w:rsidRPr="007B05CF" w:rsidTr="002D2719">
        <w:trPr>
          <w:jc w:val="center"/>
        </w:trPr>
        <w:tc>
          <w:tcPr>
            <w:tcW w:w="2113" w:type="dxa"/>
            <w:vMerge/>
            <w:vAlign w:val="center"/>
          </w:tcPr>
          <w:p w:rsidR="002D2719" w:rsidRPr="00BB4558" w:rsidRDefault="002D2719" w:rsidP="00B82A87">
            <w:pPr>
              <w:spacing w:line="240" w:lineRule="atLeast"/>
              <w:rPr>
                <w:rFonts w:ascii="Times New Roman" w:hAnsi="Times New Roman" w:cs="Times New Roman"/>
                <w:sz w:val="20"/>
                <w:szCs w:val="20"/>
              </w:rPr>
            </w:pPr>
          </w:p>
        </w:tc>
        <w:tc>
          <w:tcPr>
            <w:tcW w:w="1236" w:type="dxa"/>
            <w:vAlign w:val="center"/>
          </w:tcPr>
          <w:p w:rsidR="002D2719" w:rsidRPr="00BB4558" w:rsidRDefault="00AD4853"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(3</w:t>
            </w:r>
            <w:r w:rsidR="002D2719" w:rsidRPr="00BB4558">
              <w:rPr>
                <w:rFonts w:ascii="Times New Roman" w:hAnsi="Times New Roman" w:cs="Times New Roman"/>
                <w:sz w:val="20"/>
                <w:szCs w:val="20"/>
              </w:rPr>
              <w:t>.52)</w:t>
            </w:r>
          </w:p>
        </w:tc>
        <w:tc>
          <w:tcPr>
            <w:tcW w:w="1627" w:type="dxa"/>
            <w:vAlign w:val="center"/>
          </w:tcPr>
          <w:p w:rsidR="002D2719" w:rsidRPr="00BB4558" w:rsidRDefault="002D2719"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w:t>
            </w:r>
            <w:r w:rsidR="00AD4853" w:rsidRPr="00BB4558">
              <w:rPr>
                <w:rFonts w:ascii="Times New Roman" w:eastAsia="Times New Roman" w:hAnsi="Times New Roman" w:cs="Times New Roman"/>
                <w:sz w:val="20"/>
                <w:szCs w:val="20"/>
              </w:rPr>
              <w:t>6</w:t>
            </w:r>
            <w:r w:rsidRPr="00BB4558">
              <w:rPr>
                <w:rFonts w:ascii="Times New Roman" w:eastAsia="Times New Roman" w:hAnsi="Times New Roman" w:cs="Times New Roman"/>
                <w:sz w:val="20"/>
                <w:szCs w:val="20"/>
              </w:rPr>
              <w:t>.</w:t>
            </w:r>
            <w:r w:rsidR="00AD4853" w:rsidRPr="00BB4558">
              <w:rPr>
                <w:rFonts w:ascii="Times New Roman" w:eastAsia="Times New Roman" w:hAnsi="Times New Roman" w:cs="Times New Roman"/>
                <w:sz w:val="20"/>
                <w:szCs w:val="20"/>
              </w:rPr>
              <w:t>40</w:t>
            </w:r>
            <w:r w:rsidRPr="00BB4558">
              <w:rPr>
                <w:rFonts w:ascii="Times New Roman" w:eastAsia="Times New Roman" w:hAnsi="Times New Roman" w:cs="Times New Roman"/>
                <w:sz w:val="20"/>
                <w:szCs w:val="20"/>
              </w:rPr>
              <w:t>)</w:t>
            </w:r>
          </w:p>
        </w:tc>
        <w:tc>
          <w:tcPr>
            <w:tcW w:w="1647" w:type="dxa"/>
            <w:vAlign w:val="center"/>
          </w:tcPr>
          <w:p w:rsidR="002D2719" w:rsidRPr="00BB4558" w:rsidRDefault="002D2719" w:rsidP="00B82A87">
            <w:pPr>
              <w:spacing w:line="240" w:lineRule="atLeast"/>
              <w:jc w:val="center"/>
              <w:rPr>
                <w:rFonts w:ascii="Times New Roman" w:eastAsia="Times New Roman" w:hAnsi="Times New Roman" w:cs="Times New Roman"/>
                <w:sz w:val="20"/>
                <w:szCs w:val="20"/>
              </w:rPr>
            </w:pPr>
            <w:r w:rsidRPr="00BB4558">
              <w:rPr>
                <w:rFonts w:ascii="Times New Roman" w:eastAsia="Times New Roman" w:hAnsi="Times New Roman" w:cs="Times New Roman"/>
                <w:sz w:val="20"/>
                <w:szCs w:val="20"/>
              </w:rPr>
              <w:t>(</w:t>
            </w:r>
            <w:r w:rsidR="00AD4853" w:rsidRPr="00BB4558">
              <w:rPr>
                <w:rFonts w:ascii="Times New Roman" w:eastAsia="Times New Roman" w:hAnsi="Times New Roman" w:cs="Times New Roman"/>
                <w:sz w:val="20"/>
                <w:szCs w:val="20"/>
              </w:rPr>
              <w:t>5</w:t>
            </w:r>
            <w:r w:rsidRPr="00BB4558">
              <w:rPr>
                <w:rFonts w:ascii="Times New Roman" w:eastAsia="Times New Roman" w:hAnsi="Times New Roman" w:cs="Times New Roman"/>
                <w:sz w:val="20"/>
                <w:szCs w:val="20"/>
              </w:rPr>
              <w:t>.35)</w:t>
            </w:r>
          </w:p>
        </w:tc>
      </w:tr>
      <w:tr w:rsidR="00E208E5" w:rsidRPr="007B05CF" w:rsidTr="00AA7DC7">
        <w:trPr>
          <w:jc w:val="center"/>
        </w:trPr>
        <w:tc>
          <w:tcPr>
            <w:tcW w:w="2113" w:type="dxa"/>
            <w:vAlign w:val="center"/>
          </w:tcPr>
          <w:p w:rsidR="00E208E5" w:rsidRPr="00BB4558" w:rsidRDefault="00E208E5" w:rsidP="00B82A87">
            <w:pPr>
              <w:spacing w:line="240" w:lineRule="atLeast"/>
              <w:rPr>
                <w:rFonts w:ascii="Times New Roman" w:hAnsi="Times New Roman" w:cs="Times New Roman"/>
                <w:sz w:val="20"/>
                <w:szCs w:val="20"/>
              </w:rPr>
            </w:pPr>
            <w:r w:rsidRPr="00BB4558">
              <w:rPr>
                <w:rFonts w:ascii="Times New Roman" w:hAnsi="Times New Roman" w:cs="Times New Roman"/>
                <w:sz w:val="20"/>
                <w:szCs w:val="20"/>
              </w:rPr>
              <w:t>N</w:t>
            </w:r>
          </w:p>
        </w:tc>
        <w:tc>
          <w:tcPr>
            <w:tcW w:w="4510" w:type="dxa"/>
            <w:gridSpan w:val="3"/>
            <w:vAlign w:val="center"/>
          </w:tcPr>
          <w:p w:rsidR="00E208E5" w:rsidRPr="00BB4558" w:rsidRDefault="00E208E5"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132</w:t>
            </w:r>
          </w:p>
        </w:tc>
      </w:tr>
      <w:tr w:rsidR="002D2719" w:rsidRPr="007B05CF" w:rsidTr="002D2719">
        <w:trPr>
          <w:jc w:val="center"/>
        </w:trPr>
        <w:tc>
          <w:tcPr>
            <w:tcW w:w="2113" w:type="dxa"/>
            <w:vAlign w:val="center"/>
          </w:tcPr>
          <w:p w:rsidR="002D2719" w:rsidRPr="00BB4558" w:rsidRDefault="002D2719" w:rsidP="00B82A87">
            <w:pPr>
              <w:spacing w:line="240" w:lineRule="atLeast"/>
              <w:rPr>
                <w:rFonts w:ascii="Times New Roman" w:hAnsi="Times New Roman" w:cs="Times New Roman"/>
                <w:sz w:val="20"/>
                <w:szCs w:val="20"/>
              </w:rPr>
            </w:pPr>
            <w:r w:rsidRPr="00BB4558">
              <w:rPr>
                <w:rFonts w:ascii="Times New Roman" w:hAnsi="Times New Roman" w:cs="Times New Roman"/>
                <w:sz w:val="20"/>
                <w:szCs w:val="20"/>
              </w:rPr>
              <w:t>r2</w:t>
            </w:r>
          </w:p>
        </w:tc>
        <w:tc>
          <w:tcPr>
            <w:tcW w:w="1236" w:type="dxa"/>
            <w:vAlign w:val="center"/>
          </w:tcPr>
          <w:p w:rsidR="002D2719" w:rsidRPr="00BB4558" w:rsidRDefault="002D2719"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0.</w:t>
            </w:r>
            <w:r w:rsidR="00EE2DAC" w:rsidRPr="00BB4558">
              <w:rPr>
                <w:rFonts w:ascii="Times New Roman" w:hAnsi="Times New Roman" w:cs="Times New Roman"/>
                <w:sz w:val="20"/>
                <w:szCs w:val="20"/>
              </w:rPr>
              <w:t>4</w:t>
            </w:r>
            <w:r w:rsidRPr="00BB4558">
              <w:rPr>
                <w:rFonts w:ascii="Times New Roman" w:hAnsi="Times New Roman" w:cs="Times New Roman"/>
                <w:sz w:val="20"/>
                <w:szCs w:val="20"/>
              </w:rPr>
              <w:t>07</w:t>
            </w:r>
          </w:p>
        </w:tc>
        <w:tc>
          <w:tcPr>
            <w:tcW w:w="1627" w:type="dxa"/>
            <w:vAlign w:val="center"/>
          </w:tcPr>
          <w:p w:rsidR="002D2719" w:rsidRPr="00BB4558" w:rsidRDefault="001C7074"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0.591</w:t>
            </w:r>
          </w:p>
        </w:tc>
        <w:tc>
          <w:tcPr>
            <w:tcW w:w="1647" w:type="dxa"/>
            <w:vAlign w:val="center"/>
          </w:tcPr>
          <w:p w:rsidR="002D2719" w:rsidRPr="00BB4558" w:rsidRDefault="001C7074"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0.505</w:t>
            </w:r>
            <w:r w:rsidR="002D2719" w:rsidRPr="00BB4558">
              <w:rPr>
                <w:rFonts w:ascii="Times New Roman" w:hAnsi="Times New Roman" w:cs="Times New Roman"/>
                <w:sz w:val="20"/>
                <w:szCs w:val="20"/>
              </w:rPr>
              <w:t>0</w:t>
            </w:r>
          </w:p>
        </w:tc>
      </w:tr>
      <w:tr w:rsidR="002D2719" w:rsidRPr="007B05CF" w:rsidTr="002D2719">
        <w:trPr>
          <w:jc w:val="center"/>
        </w:trPr>
        <w:tc>
          <w:tcPr>
            <w:tcW w:w="2113" w:type="dxa"/>
            <w:vAlign w:val="center"/>
          </w:tcPr>
          <w:p w:rsidR="002D2719" w:rsidRPr="00BB4558" w:rsidRDefault="002D2719" w:rsidP="00B82A87">
            <w:pPr>
              <w:spacing w:line="240" w:lineRule="atLeast"/>
              <w:rPr>
                <w:rFonts w:ascii="Times New Roman" w:hAnsi="Times New Roman" w:cs="Times New Roman"/>
                <w:sz w:val="20"/>
                <w:szCs w:val="20"/>
              </w:rPr>
            </w:pPr>
            <w:r w:rsidRPr="00BB4558">
              <w:rPr>
                <w:rFonts w:ascii="Times New Roman" w:hAnsi="Times New Roman" w:cs="Times New Roman"/>
                <w:sz w:val="20"/>
                <w:szCs w:val="20"/>
              </w:rPr>
              <w:t>F(11,1</w:t>
            </w:r>
            <w:r w:rsidR="00E208E5" w:rsidRPr="00BB4558">
              <w:rPr>
                <w:rFonts w:ascii="Times New Roman" w:hAnsi="Times New Roman" w:cs="Times New Roman"/>
                <w:sz w:val="20"/>
                <w:szCs w:val="20"/>
              </w:rPr>
              <w:t>15</w:t>
            </w:r>
            <w:r w:rsidRPr="00BB4558">
              <w:rPr>
                <w:rFonts w:ascii="Times New Roman" w:hAnsi="Times New Roman" w:cs="Times New Roman"/>
                <w:sz w:val="20"/>
                <w:szCs w:val="20"/>
              </w:rPr>
              <w:t>)</w:t>
            </w:r>
          </w:p>
        </w:tc>
        <w:tc>
          <w:tcPr>
            <w:tcW w:w="1236" w:type="dxa"/>
            <w:vAlign w:val="center"/>
          </w:tcPr>
          <w:p w:rsidR="002D2719" w:rsidRPr="00BB4558" w:rsidRDefault="002D2719" w:rsidP="00B82A87">
            <w:pPr>
              <w:spacing w:line="240" w:lineRule="atLeast"/>
              <w:jc w:val="center"/>
              <w:rPr>
                <w:rFonts w:ascii="Times New Roman" w:hAnsi="Times New Roman" w:cs="Times New Roman"/>
                <w:sz w:val="20"/>
                <w:szCs w:val="20"/>
              </w:rPr>
            </w:pPr>
          </w:p>
        </w:tc>
        <w:tc>
          <w:tcPr>
            <w:tcW w:w="1627" w:type="dxa"/>
            <w:vAlign w:val="center"/>
          </w:tcPr>
          <w:p w:rsidR="002D2719" w:rsidRPr="00BB4558" w:rsidRDefault="00F26D72" w:rsidP="00B82A87">
            <w:pPr>
              <w:spacing w:line="240" w:lineRule="atLeast"/>
              <w:jc w:val="center"/>
              <w:rPr>
                <w:rFonts w:ascii="Times New Roman" w:hAnsi="Times New Roman" w:cs="Times New Roman"/>
                <w:sz w:val="20"/>
                <w:szCs w:val="20"/>
              </w:rPr>
            </w:pPr>
            <w:r w:rsidRPr="00BB4558">
              <w:rPr>
                <w:rFonts w:ascii="Times New Roman" w:hAnsi="Times New Roman" w:cs="Times New Roman"/>
                <w:sz w:val="20"/>
                <w:szCs w:val="20"/>
              </w:rPr>
              <w:t>45,</w:t>
            </w:r>
            <w:r w:rsidR="002D2719" w:rsidRPr="00BB4558">
              <w:rPr>
                <w:rFonts w:ascii="Times New Roman" w:hAnsi="Times New Roman" w:cs="Times New Roman"/>
                <w:sz w:val="20"/>
                <w:szCs w:val="20"/>
              </w:rPr>
              <w:t>03***</w:t>
            </w:r>
          </w:p>
        </w:tc>
        <w:tc>
          <w:tcPr>
            <w:tcW w:w="1647" w:type="dxa"/>
            <w:vAlign w:val="center"/>
          </w:tcPr>
          <w:p w:rsidR="002D2719" w:rsidRPr="00BB4558" w:rsidRDefault="002D2719" w:rsidP="00B82A87">
            <w:pPr>
              <w:spacing w:line="240" w:lineRule="atLeast"/>
              <w:jc w:val="center"/>
              <w:rPr>
                <w:rFonts w:ascii="Times New Roman" w:hAnsi="Times New Roman" w:cs="Times New Roman"/>
                <w:sz w:val="20"/>
                <w:szCs w:val="20"/>
              </w:rPr>
            </w:pPr>
          </w:p>
        </w:tc>
      </w:tr>
    </w:tbl>
    <w:p w:rsidR="00D91E28" w:rsidRPr="00A31FEA" w:rsidRDefault="00D91E28" w:rsidP="005E6A85">
      <w:pPr>
        <w:autoSpaceDE w:val="0"/>
        <w:autoSpaceDN w:val="0"/>
        <w:adjustRightInd w:val="0"/>
        <w:spacing w:after="0" w:line="288" w:lineRule="auto"/>
        <w:jc w:val="center"/>
        <w:rPr>
          <w:rFonts w:ascii="Times New Roman" w:hAnsi="Times New Roman" w:cs="Times New Roman"/>
          <w:b/>
          <w:i/>
          <w:sz w:val="24"/>
          <w:szCs w:val="24"/>
        </w:rPr>
      </w:pPr>
      <w:r w:rsidRPr="00A31FEA">
        <w:rPr>
          <w:rFonts w:ascii="Times New Roman" w:hAnsi="Times New Roman" w:cs="Times New Roman"/>
          <w:i/>
          <w:iCs/>
          <w:sz w:val="24"/>
          <w:szCs w:val="24"/>
        </w:rPr>
        <w:t>Ghi chú: các ký hiệu *, **, *** có ý nghĩa thống kê lần lượt tại 10%, 5%, 1%.</w:t>
      </w:r>
    </w:p>
    <w:p w:rsidR="00CA5FD0" w:rsidRPr="00BB4558" w:rsidRDefault="00CA5FD0" w:rsidP="00BB4558">
      <w:pPr>
        <w:spacing w:after="120" w:line="288" w:lineRule="auto"/>
        <w:ind w:firstLine="567"/>
        <w:jc w:val="right"/>
        <w:rPr>
          <w:rFonts w:ascii="Times New Roman" w:hAnsi="Times New Roman" w:cs="Times New Roman"/>
          <w:szCs w:val="24"/>
        </w:rPr>
      </w:pPr>
      <w:r w:rsidRPr="00BB4558">
        <w:rPr>
          <w:rFonts w:ascii="Times New Roman" w:hAnsi="Times New Roman" w:cs="Times New Roman"/>
          <w:i/>
          <w:szCs w:val="24"/>
        </w:rPr>
        <w:t>Nguồn: kết quả tính toán qua phần mềm Stata 12 của tác giả</w:t>
      </w:r>
    </w:p>
    <w:p w:rsidR="00A165ED" w:rsidRDefault="00A165ED" w:rsidP="005E6A85">
      <w:pPr>
        <w:spacing w:after="0" w:line="288" w:lineRule="auto"/>
        <w:ind w:firstLine="567"/>
        <w:jc w:val="both"/>
        <w:rPr>
          <w:rFonts w:ascii="Times New Roman" w:hAnsi="Times New Roman" w:cs="Times New Roman"/>
          <w:sz w:val="24"/>
          <w:szCs w:val="24"/>
        </w:rPr>
        <w:sectPr w:rsidR="00A165ED" w:rsidSect="00412254">
          <w:footnotePr>
            <w:numFmt w:val="upperRoman"/>
          </w:footnotePr>
          <w:type w:val="continuous"/>
          <w:pgSz w:w="10773" w:h="15309" w:code="9"/>
          <w:pgMar w:top="1134" w:right="1134" w:bottom="1134" w:left="1134" w:header="0" w:footer="0" w:gutter="0"/>
          <w:cols w:space="720"/>
          <w:docGrid w:linePitch="360"/>
        </w:sectPr>
      </w:pPr>
    </w:p>
    <w:p w:rsidR="00871963" w:rsidRDefault="00EB21C5" w:rsidP="002E7582">
      <w:pPr>
        <w:spacing w:after="0" w:line="288" w:lineRule="auto"/>
        <w:ind w:firstLine="567"/>
        <w:jc w:val="both"/>
        <w:rPr>
          <w:rFonts w:ascii="Times New Roman" w:hAnsi="Times New Roman" w:cs="Times New Roman"/>
          <w:sz w:val="24"/>
          <w:szCs w:val="24"/>
        </w:rPr>
      </w:pPr>
      <w:r w:rsidRPr="00A31FEA">
        <w:rPr>
          <w:rFonts w:ascii="Times New Roman" w:hAnsi="Times New Roman" w:cs="Times New Roman"/>
          <w:sz w:val="24"/>
          <w:szCs w:val="24"/>
        </w:rPr>
        <w:lastRenderedPageBreak/>
        <w:t>Kết quả hồi quy theo phương pháp OLS cho thấ</w:t>
      </w:r>
      <w:r w:rsidR="00BA5264" w:rsidRPr="00A31FEA">
        <w:rPr>
          <w:rFonts w:ascii="Times New Roman" w:hAnsi="Times New Roman" w:cs="Times New Roman"/>
          <w:sz w:val="24"/>
          <w:szCs w:val="24"/>
        </w:rPr>
        <w:t xml:space="preserve">y </w:t>
      </w:r>
      <w:r w:rsidR="002D2719">
        <w:rPr>
          <w:rFonts w:ascii="Times New Roman" w:hAnsi="Times New Roman" w:cs="Times New Roman"/>
          <w:sz w:val="24"/>
          <w:szCs w:val="24"/>
        </w:rPr>
        <w:t>các tiêu chí về rủi ro tín dụng</w:t>
      </w:r>
      <w:r w:rsidR="00BA5264" w:rsidRPr="00A31FEA">
        <w:rPr>
          <w:rFonts w:ascii="Times New Roman" w:hAnsi="Times New Roman" w:cs="Times New Roman"/>
          <w:sz w:val="24"/>
          <w:szCs w:val="24"/>
        </w:rPr>
        <w:t xml:space="preserve"> giải thích được </w:t>
      </w:r>
      <w:r w:rsidR="00EE2DAC">
        <w:rPr>
          <w:rFonts w:ascii="Times New Roman" w:hAnsi="Times New Roman" w:cs="Times New Roman"/>
          <w:sz w:val="24"/>
          <w:szCs w:val="24"/>
        </w:rPr>
        <w:t>40</w:t>
      </w:r>
      <w:r w:rsidR="00C60058">
        <w:rPr>
          <w:rFonts w:ascii="Times New Roman" w:hAnsi="Times New Roman" w:cs="Times New Roman"/>
          <w:sz w:val="24"/>
          <w:szCs w:val="24"/>
        </w:rPr>
        <w:t>,</w:t>
      </w:r>
      <w:r w:rsidR="002D2719">
        <w:rPr>
          <w:rFonts w:ascii="Times New Roman" w:hAnsi="Times New Roman" w:cs="Times New Roman"/>
          <w:sz w:val="24"/>
          <w:szCs w:val="24"/>
        </w:rPr>
        <w:t>7</w:t>
      </w:r>
      <w:r w:rsidR="00BA5264" w:rsidRPr="00A31FEA">
        <w:rPr>
          <w:rFonts w:ascii="Times New Roman" w:hAnsi="Times New Roman" w:cs="Times New Roman"/>
          <w:sz w:val="24"/>
          <w:szCs w:val="24"/>
        </w:rPr>
        <w:t xml:space="preserve">% sự thay đổi </w:t>
      </w:r>
      <w:r w:rsidR="002D2719">
        <w:rPr>
          <w:rFonts w:ascii="Times New Roman" w:hAnsi="Times New Roman" w:cs="Times New Roman"/>
          <w:sz w:val="24"/>
          <w:szCs w:val="24"/>
        </w:rPr>
        <w:t xml:space="preserve">khả năng sinh lời của </w:t>
      </w:r>
      <w:r w:rsidR="00D871A4">
        <w:rPr>
          <w:rFonts w:ascii="Times New Roman" w:hAnsi="Times New Roman" w:cs="Times New Roman"/>
          <w:sz w:val="24"/>
          <w:szCs w:val="24"/>
        </w:rPr>
        <w:t>NHTM</w:t>
      </w:r>
      <w:r w:rsidR="00BA5264" w:rsidRPr="00A31FEA">
        <w:rPr>
          <w:rFonts w:ascii="Times New Roman" w:hAnsi="Times New Roman" w:cs="Times New Roman"/>
          <w:sz w:val="24"/>
          <w:szCs w:val="24"/>
        </w:rPr>
        <w:t xml:space="preserve">. Tuy nhiên hạn chế của phương pháp OLS là không phản ánh được sự tác động khác biệt của từng ngân hàng khác nhau đến </w:t>
      </w:r>
      <w:r w:rsidR="00CA5FD0">
        <w:rPr>
          <w:rFonts w:ascii="Times New Roman" w:hAnsi="Times New Roman" w:cs="Times New Roman"/>
          <w:sz w:val="24"/>
          <w:szCs w:val="24"/>
        </w:rPr>
        <w:t>khả năng sinh lời chung của cả hệ thống</w:t>
      </w:r>
      <w:r w:rsidR="00BA5264" w:rsidRPr="00A31FEA">
        <w:rPr>
          <w:rFonts w:ascii="Times New Roman" w:hAnsi="Times New Roman" w:cs="Times New Roman"/>
          <w:sz w:val="24"/>
          <w:szCs w:val="24"/>
        </w:rPr>
        <w:t xml:space="preserve">. </w:t>
      </w:r>
      <w:r w:rsidR="00773007" w:rsidRPr="00A31FEA">
        <w:rPr>
          <w:rFonts w:ascii="Times New Roman" w:hAnsi="Times New Roman" w:cs="Times New Roman"/>
          <w:sz w:val="24"/>
          <w:szCs w:val="24"/>
        </w:rPr>
        <w:t xml:space="preserve">Mỗi ngân hàng có những đặc điểm và </w:t>
      </w:r>
      <w:r w:rsidR="00FC15C9" w:rsidRPr="00A31FEA">
        <w:rPr>
          <w:rFonts w:ascii="Times New Roman" w:hAnsi="Times New Roman" w:cs="Times New Roman"/>
          <w:sz w:val="24"/>
          <w:szCs w:val="24"/>
        </w:rPr>
        <w:t>hiệu quả khác nhau</w:t>
      </w:r>
      <w:r w:rsidR="00773007" w:rsidRPr="00A31FEA">
        <w:rPr>
          <w:rFonts w:ascii="Times New Roman" w:hAnsi="Times New Roman" w:cs="Times New Roman"/>
          <w:sz w:val="24"/>
          <w:szCs w:val="24"/>
        </w:rPr>
        <w:t xml:space="preserve"> do </w:t>
      </w:r>
      <w:r w:rsidR="007A21E4" w:rsidRPr="00A31FEA">
        <w:rPr>
          <w:rFonts w:ascii="Times New Roman" w:hAnsi="Times New Roman" w:cs="Times New Roman"/>
          <w:sz w:val="24"/>
          <w:szCs w:val="24"/>
        </w:rPr>
        <w:t xml:space="preserve">sự khác nhau về </w:t>
      </w:r>
      <w:r w:rsidR="00773007" w:rsidRPr="00A31FEA">
        <w:rPr>
          <w:rFonts w:ascii="Times New Roman" w:hAnsi="Times New Roman" w:cs="Times New Roman"/>
          <w:sz w:val="24"/>
          <w:szCs w:val="24"/>
        </w:rPr>
        <w:t xml:space="preserve">quy mô của ngân hàng, năng lực quản trị, thị phần…Do vậy tác giả sử dụng F test để kiểm định xem có sự tác động cố định của mỗi ngân hàng trong mô hình hay không. </w:t>
      </w:r>
      <w:r w:rsidR="00871963" w:rsidRPr="00A31FEA">
        <w:rPr>
          <w:rFonts w:ascii="Times New Roman" w:hAnsi="Times New Roman" w:cs="Times New Roman"/>
          <w:sz w:val="24"/>
          <w:szCs w:val="24"/>
        </w:rPr>
        <w:t xml:space="preserve">Theo kết quả </w:t>
      </w:r>
      <w:r w:rsidR="00351867" w:rsidRPr="00A31FEA">
        <w:rPr>
          <w:rFonts w:ascii="Times New Roman" w:hAnsi="Times New Roman" w:cs="Times New Roman"/>
          <w:sz w:val="24"/>
          <w:szCs w:val="24"/>
        </w:rPr>
        <w:t xml:space="preserve">kiểm định F trong </w:t>
      </w:r>
      <w:r w:rsidR="00871963" w:rsidRPr="00A31FEA">
        <w:rPr>
          <w:rFonts w:ascii="Times New Roman" w:hAnsi="Times New Roman" w:cs="Times New Roman"/>
          <w:sz w:val="24"/>
          <w:szCs w:val="24"/>
        </w:rPr>
        <w:t>bảng</w:t>
      </w:r>
      <w:r w:rsidR="002D2719">
        <w:rPr>
          <w:rFonts w:ascii="Times New Roman" w:hAnsi="Times New Roman" w:cs="Times New Roman"/>
          <w:sz w:val="24"/>
          <w:szCs w:val="24"/>
        </w:rPr>
        <w:t>4</w:t>
      </w:r>
      <w:r w:rsidR="00871963" w:rsidRPr="00A31FEA">
        <w:rPr>
          <w:rFonts w:ascii="Times New Roman" w:hAnsi="Times New Roman" w:cs="Times New Roman"/>
          <w:sz w:val="24"/>
          <w:szCs w:val="24"/>
        </w:rPr>
        <w:t xml:space="preserve"> ta có F(1</w:t>
      </w:r>
      <w:r w:rsidR="002D2719">
        <w:rPr>
          <w:rFonts w:ascii="Times New Roman" w:hAnsi="Times New Roman" w:cs="Times New Roman"/>
          <w:sz w:val="24"/>
          <w:szCs w:val="24"/>
        </w:rPr>
        <w:t>1</w:t>
      </w:r>
      <w:r w:rsidR="00871963" w:rsidRPr="00A31FEA">
        <w:rPr>
          <w:rFonts w:ascii="Times New Roman" w:hAnsi="Times New Roman" w:cs="Times New Roman"/>
          <w:sz w:val="24"/>
          <w:szCs w:val="24"/>
        </w:rPr>
        <w:t>,</w:t>
      </w:r>
      <w:r w:rsidR="002D2719">
        <w:rPr>
          <w:rFonts w:ascii="Times New Roman" w:hAnsi="Times New Roman" w:cs="Times New Roman"/>
          <w:sz w:val="24"/>
          <w:szCs w:val="24"/>
        </w:rPr>
        <w:t>1</w:t>
      </w:r>
      <w:r w:rsidR="00E208E5">
        <w:rPr>
          <w:rFonts w:ascii="Times New Roman" w:hAnsi="Times New Roman" w:cs="Times New Roman"/>
          <w:sz w:val="24"/>
          <w:szCs w:val="24"/>
        </w:rPr>
        <w:t>15</w:t>
      </w:r>
      <w:r w:rsidR="00871963" w:rsidRPr="00A31FEA">
        <w:rPr>
          <w:rFonts w:ascii="Times New Roman" w:hAnsi="Times New Roman" w:cs="Times New Roman"/>
          <w:sz w:val="24"/>
          <w:szCs w:val="24"/>
        </w:rPr>
        <w:t>) =</w:t>
      </w:r>
      <w:r w:rsidR="00F26D72">
        <w:rPr>
          <w:rFonts w:ascii="Times New Roman" w:hAnsi="Times New Roman" w:cs="Times New Roman"/>
          <w:sz w:val="24"/>
          <w:szCs w:val="24"/>
        </w:rPr>
        <w:t>45,03</w:t>
      </w:r>
      <w:r w:rsidR="00351867" w:rsidRPr="00A31FEA">
        <w:rPr>
          <w:rFonts w:ascii="Times New Roman" w:hAnsi="Times New Roman" w:cs="Times New Roman"/>
          <w:sz w:val="24"/>
          <w:szCs w:val="24"/>
        </w:rPr>
        <w:t xml:space="preserve">, với bậc tự do tử số bằng </w:t>
      </w:r>
      <w:r w:rsidR="002D2719">
        <w:rPr>
          <w:rFonts w:ascii="Times New Roman" w:hAnsi="Times New Roman" w:cs="Times New Roman"/>
          <w:sz w:val="24"/>
          <w:szCs w:val="24"/>
        </w:rPr>
        <w:t>11</w:t>
      </w:r>
      <w:r w:rsidR="00351867" w:rsidRPr="00A31FEA">
        <w:rPr>
          <w:rFonts w:ascii="Times New Roman" w:hAnsi="Times New Roman" w:cs="Times New Roman"/>
          <w:sz w:val="24"/>
          <w:szCs w:val="24"/>
        </w:rPr>
        <w:t xml:space="preserve"> và mẫu số bằng </w:t>
      </w:r>
      <w:r w:rsidR="00CA5FD0">
        <w:rPr>
          <w:rFonts w:ascii="Times New Roman" w:hAnsi="Times New Roman" w:cs="Times New Roman"/>
          <w:sz w:val="24"/>
          <w:szCs w:val="24"/>
        </w:rPr>
        <w:t>115</w:t>
      </w:r>
      <w:r w:rsidR="00351867" w:rsidRPr="00A31FEA">
        <w:rPr>
          <w:rFonts w:ascii="Times New Roman" w:hAnsi="Times New Roman" w:cs="Times New Roman"/>
          <w:sz w:val="24"/>
          <w:szCs w:val="24"/>
        </w:rPr>
        <w:t xml:space="preserve">, giá trị F = </w:t>
      </w:r>
      <w:r w:rsidR="00CA5FD0">
        <w:rPr>
          <w:rFonts w:ascii="Times New Roman" w:hAnsi="Times New Roman" w:cs="Times New Roman"/>
          <w:sz w:val="24"/>
          <w:szCs w:val="24"/>
        </w:rPr>
        <w:t>45</w:t>
      </w:r>
      <w:r w:rsidR="00C60058">
        <w:rPr>
          <w:rFonts w:ascii="Times New Roman" w:hAnsi="Times New Roman" w:cs="Times New Roman"/>
          <w:sz w:val="24"/>
          <w:szCs w:val="24"/>
        </w:rPr>
        <w:t>,</w:t>
      </w:r>
      <w:r w:rsidR="002D2719">
        <w:rPr>
          <w:rFonts w:ascii="Times New Roman" w:hAnsi="Times New Roman" w:cs="Times New Roman"/>
          <w:sz w:val="24"/>
          <w:szCs w:val="24"/>
        </w:rPr>
        <w:t>03</w:t>
      </w:r>
      <w:r w:rsidR="00351867" w:rsidRPr="00A31FEA">
        <w:rPr>
          <w:rFonts w:ascii="Times New Roman" w:hAnsi="Times New Roman" w:cs="Times New Roman"/>
          <w:sz w:val="24"/>
          <w:szCs w:val="24"/>
        </w:rPr>
        <w:t xml:space="preserve"> rất có ý nghĩa do vậy hồi quy theo </w:t>
      </w:r>
      <w:r w:rsidR="00871963" w:rsidRPr="00A31FEA">
        <w:rPr>
          <w:rFonts w:ascii="Times New Roman" w:hAnsi="Times New Roman" w:cs="Times New Roman"/>
          <w:sz w:val="24"/>
          <w:szCs w:val="24"/>
        </w:rPr>
        <w:t xml:space="preserve">OLS không phù hợp vì tồn tại sự tác động cố định </w:t>
      </w:r>
      <w:r w:rsidR="007A21E4" w:rsidRPr="00A31FEA">
        <w:rPr>
          <w:rFonts w:ascii="Times New Roman" w:hAnsi="Times New Roman" w:cs="Times New Roman"/>
          <w:sz w:val="24"/>
          <w:szCs w:val="24"/>
        </w:rPr>
        <w:t xml:space="preserve">đáng kể </w:t>
      </w:r>
      <w:r w:rsidR="00CA5FD0">
        <w:rPr>
          <w:rFonts w:ascii="Times New Roman" w:hAnsi="Times New Roman" w:cs="Times New Roman"/>
          <w:sz w:val="24"/>
          <w:szCs w:val="24"/>
        </w:rPr>
        <w:t xml:space="preserve">rủi ro tín dụng của </w:t>
      </w:r>
      <w:r w:rsidR="00871963" w:rsidRPr="00A31FEA">
        <w:rPr>
          <w:rFonts w:ascii="Times New Roman" w:hAnsi="Times New Roman" w:cs="Times New Roman"/>
          <w:sz w:val="24"/>
          <w:szCs w:val="24"/>
        </w:rPr>
        <w:t xml:space="preserve">mỗi ngân hàng lên </w:t>
      </w:r>
      <w:r w:rsidR="00CA5FD0">
        <w:rPr>
          <w:rFonts w:ascii="Times New Roman" w:hAnsi="Times New Roman" w:cs="Times New Roman"/>
          <w:sz w:val="24"/>
          <w:szCs w:val="24"/>
        </w:rPr>
        <w:t>khả năng sinh lời của</w:t>
      </w:r>
      <w:r w:rsidR="007A21E4" w:rsidRPr="00A31FEA">
        <w:rPr>
          <w:rFonts w:ascii="Times New Roman" w:hAnsi="Times New Roman" w:cs="Times New Roman"/>
          <w:sz w:val="24"/>
          <w:szCs w:val="24"/>
        </w:rPr>
        <w:t xml:space="preserve"> tổng thể</w:t>
      </w:r>
      <w:r w:rsidR="00FC15C9" w:rsidRPr="00A31FEA">
        <w:rPr>
          <w:rFonts w:ascii="Times New Roman" w:hAnsi="Times New Roman" w:cs="Times New Roman"/>
          <w:sz w:val="24"/>
          <w:szCs w:val="24"/>
        </w:rPr>
        <w:t xml:space="preserve"> chung</w:t>
      </w:r>
      <w:r w:rsidR="007A21E4" w:rsidRPr="00A31FEA">
        <w:rPr>
          <w:rFonts w:ascii="Times New Roman" w:hAnsi="Times New Roman" w:cs="Times New Roman"/>
          <w:sz w:val="24"/>
          <w:szCs w:val="24"/>
        </w:rPr>
        <w:t xml:space="preserve">. </w:t>
      </w:r>
    </w:p>
    <w:p w:rsidR="00C745F9" w:rsidRPr="0004222D" w:rsidRDefault="00C745F9" w:rsidP="005E6A85">
      <w:pPr>
        <w:spacing w:after="0" w:line="288" w:lineRule="auto"/>
        <w:ind w:firstLine="567"/>
        <w:jc w:val="both"/>
        <w:rPr>
          <w:rFonts w:ascii="Times New Roman" w:hAnsi="Times New Roman" w:cs="Times New Roman"/>
          <w:sz w:val="24"/>
          <w:szCs w:val="24"/>
        </w:rPr>
      </w:pPr>
      <w:r w:rsidRPr="00A31FEA">
        <w:rPr>
          <w:rFonts w:ascii="Times New Roman" w:hAnsi="Times New Roman" w:cs="Times New Roman"/>
          <w:sz w:val="24"/>
          <w:szCs w:val="24"/>
        </w:rPr>
        <w:t xml:space="preserve">Nhằm xác </w:t>
      </w:r>
      <w:r w:rsidR="0041692D">
        <w:rPr>
          <w:rFonts w:ascii="Times New Roman" w:hAnsi="Times New Roman" w:cs="Times New Roman"/>
          <w:sz w:val="24"/>
          <w:szCs w:val="24"/>
        </w:rPr>
        <w:t>định</w:t>
      </w:r>
      <w:r w:rsidRPr="00A31FEA">
        <w:rPr>
          <w:rFonts w:ascii="Times New Roman" w:hAnsi="Times New Roman" w:cs="Times New Roman"/>
          <w:sz w:val="24"/>
          <w:szCs w:val="24"/>
        </w:rPr>
        <w:t xml:space="preserve"> mô hình phù hợp với dữ liệu </w:t>
      </w:r>
      <w:r w:rsidRPr="0004222D">
        <w:rPr>
          <w:rFonts w:ascii="Times New Roman" w:hAnsi="Times New Roman" w:cs="Times New Roman"/>
          <w:sz w:val="24"/>
          <w:szCs w:val="24"/>
        </w:rPr>
        <w:t xml:space="preserve">nghiên cứu, tác giả tiến hành </w:t>
      </w:r>
      <w:r w:rsidRPr="0004222D">
        <w:rPr>
          <w:rFonts w:ascii="Times New Roman" w:hAnsi="Times New Roman" w:cs="Times New Roman"/>
          <w:sz w:val="24"/>
          <w:szCs w:val="24"/>
        </w:rPr>
        <w:lastRenderedPageBreak/>
        <w:t>kiểm định Hausman để lựa chọ</w:t>
      </w:r>
      <w:r w:rsidR="003536C3">
        <w:rPr>
          <w:rFonts w:ascii="Times New Roman" w:hAnsi="Times New Roman" w:cs="Times New Roman"/>
          <w:sz w:val="24"/>
          <w:szCs w:val="24"/>
        </w:rPr>
        <w:t xml:space="preserve">n mô hình </w:t>
      </w:r>
      <w:r w:rsidRPr="0004222D">
        <w:rPr>
          <w:rFonts w:ascii="Times New Roman" w:hAnsi="Times New Roman" w:cs="Times New Roman"/>
          <w:sz w:val="24"/>
          <w:szCs w:val="24"/>
        </w:rPr>
        <w:t>FEM hay REM.</w:t>
      </w:r>
    </w:p>
    <w:p w:rsidR="004B0C3C" w:rsidRDefault="004B0C3C" w:rsidP="005E6A85">
      <w:pPr>
        <w:spacing w:after="0" w:line="288" w:lineRule="auto"/>
        <w:ind w:firstLine="567"/>
        <w:jc w:val="both"/>
        <w:rPr>
          <w:rFonts w:ascii="Times New Roman" w:hAnsi="Times New Roman" w:cs="Times New Roman"/>
          <w:sz w:val="24"/>
          <w:szCs w:val="24"/>
        </w:rPr>
      </w:pPr>
      <w:r>
        <w:rPr>
          <w:rFonts w:ascii="Times New Roman" w:hAnsi="Times New Roman" w:cs="Times New Roman"/>
          <w:sz w:val="24"/>
          <w:szCs w:val="24"/>
        </w:rPr>
        <w:t>Test: Ho: Sự khác biệt giữa các hệ số không có hệ thống</w:t>
      </w:r>
    </w:p>
    <w:p w:rsidR="005F4B7F" w:rsidRPr="0004222D" w:rsidRDefault="005F4B7F" w:rsidP="005E6A85">
      <w:pPr>
        <w:spacing w:after="0" w:line="288" w:lineRule="auto"/>
        <w:ind w:firstLine="567"/>
        <w:jc w:val="both"/>
        <w:rPr>
          <w:rFonts w:ascii="Times New Roman" w:hAnsi="Times New Roman" w:cs="Times New Roman"/>
          <w:sz w:val="24"/>
          <w:szCs w:val="24"/>
        </w:rPr>
      </w:pPr>
      <w:r w:rsidRPr="0004222D">
        <w:rPr>
          <w:rFonts w:ascii="Times New Roman" w:hAnsi="Times New Roman" w:cs="Times New Roman"/>
          <w:sz w:val="24"/>
          <w:szCs w:val="24"/>
        </w:rPr>
        <w:t>chi2</w:t>
      </w:r>
      <w:r w:rsidR="00BB4558">
        <w:rPr>
          <w:rFonts w:ascii="Times New Roman" w:hAnsi="Times New Roman" w:cs="Times New Roman"/>
          <w:sz w:val="24"/>
          <w:szCs w:val="24"/>
        </w:rPr>
        <w:t xml:space="preserve"> </w:t>
      </w:r>
      <w:r w:rsidRPr="0004222D">
        <w:rPr>
          <w:rFonts w:ascii="Times New Roman" w:hAnsi="Times New Roman" w:cs="Times New Roman"/>
          <w:sz w:val="24"/>
          <w:szCs w:val="24"/>
        </w:rPr>
        <w:t xml:space="preserve">(5) = (b-B)'[(V_b-V_B)^(-1)](b-B)=        </w:t>
      </w:r>
      <w:r w:rsidR="00CB1908" w:rsidRPr="0004222D">
        <w:rPr>
          <w:rFonts w:ascii="Times New Roman" w:hAnsi="Times New Roman" w:cs="Times New Roman"/>
          <w:sz w:val="24"/>
          <w:szCs w:val="24"/>
        </w:rPr>
        <w:t>6.</w:t>
      </w:r>
      <w:r w:rsidRPr="0004222D">
        <w:rPr>
          <w:rFonts w:ascii="Times New Roman" w:hAnsi="Times New Roman" w:cs="Times New Roman"/>
          <w:sz w:val="24"/>
          <w:szCs w:val="24"/>
        </w:rPr>
        <w:t>77</w:t>
      </w:r>
    </w:p>
    <w:p w:rsidR="005F4B7F" w:rsidRPr="0004222D" w:rsidRDefault="005F4B7F" w:rsidP="005E6A85">
      <w:pPr>
        <w:spacing w:after="0" w:line="288" w:lineRule="auto"/>
        <w:ind w:firstLine="567"/>
        <w:jc w:val="both"/>
        <w:rPr>
          <w:rFonts w:ascii="Times New Roman" w:hAnsi="Times New Roman" w:cs="Times New Roman"/>
          <w:sz w:val="24"/>
          <w:szCs w:val="24"/>
        </w:rPr>
      </w:pPr>
      <w:r w:rsidRPr="0004222D">
        <w:rPr>
          <w:rFonts w:ascii="Times New Roman" w:hAnsi="Times New Roman" w:cs="Times New Roman"/>
          <w:sz w:val="24"/>
          <w:szCs w:val="24"/>
        </w:rPr>
        <w:t>Prob&gt;chi2 =      0</w:t>
      </w:r>
      <w:r w:rsidR="00CB1908" w:rsidRPr="0004222D">
        <w:rPr>
          <w:rFonts w:ascii="Times New Roman" w:hAnsi="Times New Roman" w:cs="Times New Roman"/>
          <w:sz w:val="24"/>
          <w:szCs w:val="24"/>
        </w:rPr>
        <w:t>.</w:t>
      </w:r>
      <w:r w:rsidR="00CF7945" w:rsidRPr="0004222D">
        <w:rPr>
          <w:rFonts w:ascii="Times New Roman" w:hAnsi="Times New Roman" w:cs="Times New Roman"/>
          <w:sz w:val="24"/>
          <w:szCs w:val="24"/>
        </w:rPr>
        <w:t>000</w:t>
      </w:r>
      <w:r w:rsidRPr="0004222D">
        <w:rPr>
          <w:rFonts w:ascii="Times New Roman" w:hAnsi="Times New Roman" w:cs="Times New Roman"/>
          <w:sz w:val="24"/>
          <w:szCs w:val="24"/>
        </w:rPr>
        <w:t>6</w:t>
      </w:r>
    </w:p>
    <w:p w:rsidR="00F26D72" w:rsidRPr="0004222D" w:rsidRDefault="002B70CC" w:rsidP="00906771">
      <w:pPr>
        <w:spacing w:after="0" w:line="288" w:lineRule="auto"/>
        <w:ind w:right="71" w:firstLine="567"/>
        <w:jc w:val="both"/>
        <w:rPr>
          <w:rFonts w:ascii="Times New Roman" w:hAnsi="Times New Roman" w:cs="Times New Roman"/>
          <w:sz w:val="24"/>
          <w:szCs w:val="24"/>
        </w:rPr>
      </w:pPr>
      <w:r w:rsidRPr="0004222D">
        <w:rPr>
          <w:rFonts w:ascii="Times New Roman" w:hAnsi="Times New Roman" w:cs="Times New Roman"/>
          <w:sz w:val="24"/>
          <w:szCs w:val="24"/>
        </w:rPr>
        <w:t>Kết quả kiểm định ta có chi2(</w:t>
      </w:r>
      <w:r w:rsidR="00EE2DAC" w:rsidRPr="0004222D">
        <w:rPr>
          <w:rFonts w:ascii="Times New Roman" w:hAnsi="Times New Roman" w:cs="Times New Roman"/>
          <w:sz w:val="24"/>
          <w:szCs w:val="24"/>
        </w:rPr>
        <w:t>5</w:t>
      </w:r>
      <w:r w:rsidRPr="0004222D">
        <w:rPr>
          <w:rFonts w:ascii="Times New Roman" w:hAnsi="Times New Roman" w:cs="Times New Roman"/>
          <w:sz w:val="24"/>
          <w:szCs w:val="24"/>
        </w:rPr>
        <w:t xml:space="preserve">) = </w:t>
      </w:r>
      <w:r w:rsidR="00EE2DAC" w:rsidRPr="0004222D">
        <w:rPr>
          <w:rFonts w:ascii="Times New Roman" w:hAnsi="Times New Roman" w:cs="Times New Roman"/>
          <w:sz w:val="24"/>
          <w:szCs w:val="24"/>
        </w:rPr>
        <w:t>6,77</w:t>
      </w:r>
      <w:r w:rsidRPr="0004222D">
        <w:rPr>
          <w:rFonts w:ascii="Times New Roman" w:hAnsi="Times New Roman" w:cs="Times New Roman"/>
          <w:sz w:val="24"/>
          <w:szCs w:val="24"/>
        </w:rPr>
        <w:t>, Prob&gt;chi2 =0</w:t>
      </w:r>
      <w:r w:rsidR="00C60058" w:rsidRPr="0004222D">
        <w:rPr>
          <w:rFonts w:ascii="Times New Roman" w:hAnsi="Times New Roman" w:cs="Times New Roman"/>
          <w:sz w:val="24"/>
          <w:szCs w:val="24"/>
        </w:rPr>
        <w:t>,</w:t>
      </w:r>
      <w:r w:rsidR="00CF7945" w:rsidRPr="0004222D">
        <w:rPr>
          <w:rFonts w:ascii="Times New Roman" w:hAnsi="Times New Roman" w:cs="Times New Roman"/>
          <w:sz w:val="24"/>
          <w:szCs w:val="24"/>
        </w:rPr>
        <w:t>000</w:t>
      </w:r>
      <w:r w:rsidR="00EE2DAC" w:rsidRPr="0004222D">
        <w:rPr>
          <w:rFonts w:ascii="Times New Roman" w:hAnsi="Times New Roman" w:cs="Times New Roman"/>
          <w:sz w:val="24"/>
          <w:szCs w:val="24"/>
        </w:rPr>
        <w:t>6</w:t>
      </w:r>
      <w:r w:rsidRPr="0004222D">
        <w:rPr>
          <w:rFonts w:ascii="Times New Roman" w:hAnsi="Times New Roman" w:cs="Times New Roman"/>
          <w:sz w:val="24"/>
          <w:szCs w:val="24"/>
        </w:rPr>
        <w:t xml:space="preserve"> Như vậy giá trị p-value = 0</w:t>
      </w:r>
      <w:r w:rsidR="00CF7945" w:rsidRPr="0004222D">
        <w:rPr>
          <w:rFonts w:ascii="Times New Roman" w:hAnsi="Times New Roman" w:cs="Times New Roman"/>
          <w:sz w:val="24"/>
          <w:szCs w:val="24"/>
        </w:rPr>
        <w:t>,000</w:t>
      </w:r>
      <w:r w:rsidR="00EE2DAC" w:rsidRPr="0004222D">
        <w:rPr>
          <w:rFonts w:ascii="Times New Roman" w:hAnsi="Times New Roman" w:cs="Times New Roman"/>
          <w:sz w:val="24"/>
          <w:szCs w:val="24"/>
        </w:rPr>
        <w:t>6</w:t>
      </w:r>
      <w:r w:rsidR="00CF7945" w:rsidRPr="0004222D">
        <w:rPr>
          <w:rFonts w:ascii="Times New Roman" w:hAnsi="Times New Roman" w:cs="Times New Roman"/>
          <w:sz w:val="24"/>
          <w:szCs w:val="24"/>
        </w:rPr>
        <w:t>&lt;</w:t>
      </w:r>
      <w:r w:rsidRPr="0004222D">
        <w:rPr>
          <w:rFonts w:ascii="Times New Roman" w:hAnsi="Times New Roman" w:cs="Times New Roman"/>
          <w:sz w:val="24"/>
          <w:szCs w:val="24"/>
        </w:rPr>
        <w:t xml:space="preserve"> 0</w:t>
      </w:r>
      <w:r w:rsidR="00C60058" w:rsidRPr="0004222D">
        <w:rPr>
          <w:rFonts w:ascii="Times New Roman" w:hAnsi="Times New Roman" w:cs="Times New Roman"/>
          <w:sz w:val="24"/>
          <w:szCs w:val="24"/>
        </w:rPr>
        <w:t>,</w:t>
      </w:r>
      <w:r w:rsidRPr="0004222D">
        <w:rPr>
          <w:rFonts w:ascii="Times New Roman" w:hAnsi="Times New Roman" w:cs="Times New Roman"/>
          <w:sz w:val="24"/>
          <w:szCs w:val="24"/>
        </w:rPr>
        <w:t xml:space="preserve">05 nên </w:t>
      </w:r>
      <w:r w:rsidR="00EE2DAC" w:rsidRPr="0004222D">
        <w:rPr>
          <w:rFonts w:ascii="Times New Roman" w:hAnsi="Times New Roman" w:cs="Times New Roman"/>
          <w:sz w:val="24"/>
          <w:szCs w:val="24"/>
        </w:rPr>
        <w:t xml:space="preserve">không </w:t>
      </w:r>
      <w:r w:rsidR="00CF7945" w:rsidRPr="0004222D">
        <w:rPr>
          <w:rFonts w:ascii="Times New Roman" w:hAnsi="Times New Roman" w:cs="Times New Roman"/>
          <w:sz w:val="24"/>
          <w:szCs w:val="24"/>
        </w:rPr>
        <w:t xml:space="preserve">bác bỏ Ho, sử dụng mô hình FEM phù hợp hơn trong đánh giá ảnh hưởng của rủi ro tín dụng đến khả năng sinh lời của NHTM. </w:t>
      </w:r>
    </w:p>
    <w:p w:rsidR="001C7074" w:rsidRPr="00DE55A5" w:rsidRDefault="001C7074" w:rsidP="005E6A85">
      <w:pPr>
        <w:spacing w:after="0" w:line="288" w:lineRule="auto"/>
        <w:ind w:firstLine="567"/>
        <w:jc w:val="both"/>
        <w:rPr>
          <w:rFonts w:ascii="Times New Roman" w:hAnsi="Times New Roman" w:cs="Times New Roman"/>
          <w:sz w:val="24"/>
          <w:szCs w:val="24"/>
        </w:rPr>
      </w:pPr>
      <w:r w:rsidRPr="00DE55A5">
        <w:rPr>
          <w:rFonts w:ascii="Times New Roman" w:hAnsi="Times New Roman" w:cs="Times New Roman"/>
          <w:sz w:val="24"/>
          <w:szCs w:val="24"/>
        </w:rPr>
        <w:t>Sau khi xác định mô hình FEM là phù hợp, tác giả tiến hành các bước kiểm định phương sai sai số thay đổi và kiểm định hiện tượng tương quan chuỗi. Sử dụng kiểm định Wald nhằm xác định phương sai sai số thay đổ</w:t>
      </w:r>
      <w:r w:rsidR="00AB0A8C">
        <w:rPr>
          <w:rFonts w:ascii="Times New Roman" w:hAnsi="Times New Roman" w:cs="Times New Roman"/>
          <w:sz w:val="24"/>
          <w:szCs w:val="24"/>
        </w:rPr>
        <w:t>i trong mô hình FEM.</w:t>
      </w:r>
    </w:p>
    <w:p w:rsidR="001C7074" w:rsidRPr="0004222D" w:rsidRDefault="001C7074" w:rsidP="005E6A85">
      <w:pPr>
        <w:spacing w:after="0" w:line="288" w:lineRule="auto"/>
        <w:ind w:firstLine="567"/>
        <w:jc w:val="both"/>
        <w:rPr>
          <w:rFonts w:ascii="Times New Roman" w:hAnsi="Times New Roman" w:cs="Times New Roman"/>
          <w:sz w:val="24"/>
          <w:szCs w:val="24"/>
        </w:rPr>
      </w:pPr>
      <w:r w:rsidRPr="0004222D">
        <w:rPr>
          <w:rFonts w:ascii="Times New Roman" w:hAnsi="Times New Roman" w:cs="Times New Roman"/>
          <w:sz w:val="24"/>
          <w:szCs w:val="24"/>
        </w:rPr>
        <w:t>H</w:t>
      </w:r>
      <w:r w:rsidRPr="00BB4558">
        <w:rPr>
          <w:rFonts w:ascii="Times New Roman" w:hAnsi="Times New Roman" w:cs="Times New Roman"/>
          <w:sz w:val="24"/>
          <w:szCs w:val="24"/>
          <w:vertAlign w:val="subscript"/>
        </w:rPr>
        <w:t>0</w:t>
      </w:r>
      <w:r w:rsidRPr="0004222D">
        <w:rPr>
          <w:rFonts w:ascii="Times New Roman" w:hAnsi="Times New Roman" w:cs="Times New Roman"/>
          <w:sz w:val="24"/>
          <w:szCs w:val="24"/>
        </w:rPr>
        <w:t xml:space="preserve">: </w:t>
      </w:r>
      <w:r w:rsidR="004F5123">
        <w:rPr>
          <w:rFonts w:ascii="Times New Roman" w:hAnsi="Times New Roman" w:cs="Times New Roman"/>
          <w:sz w:val="24"/>
          <w:szCs w:val="24"/>
        </w:rPr>
        <w:t>Phương sai của sai số qua các thực thể là không đổi</w:t>
      </w:r>
    </w:p>
    <w:p w:rsidR="001C7074" w:rsidRPr="00DE55A5" w:rsidRDefault="001C7074" w:rsidP="005E6A85">
      <w:pPr>
        <w:spacing w:after="0" w:line="288" w:lineRule="auto"/>
        <w:ind w:firstLine="567"/>
        <w:jc w:val="both"/>
        <w:rPr>
          <w:rFonts w:ascii="Times New Roman" w:hAnsi="Times New Roman" w:cs="Times New Roman"/>
          <w:sz w:val="24"/>
          <w:szCs w:val="24"/>
        </w:rPr>
      </w:pPr>
      <w:r w:rsidRPr="00DE55A5">
        <w:rPr>
          <w:rFonts w:ascii="Times New Roman" w:hAnsi="Times New Roman" w:cs="Times New Roman"/>
          <w:sz w:val="24"/>
          <w:szCs w:val="24"/>
        </w:rPr>
        <w:t>chi2 (12)  =      24.91</w:t>
      </w:r>
    </w:p>
    <w:p w:rsidR="001C7074" w:rsidRPr="00DE55A5" w:rsidRDefault="001C7074" w:rsidP="005E6A85">
      <w:pPr>
        <w:spacing w:after="0" w:line="288" w:lineRule="auto"/>
        <w:ind w:firstLine="567"/>
        <w:jc w:val="both"/>
        <w:rPr>
          <w:rFonts w:ascii="Times New Roman" w:hAnsi="Times New Roman" w:cs="Times New Roman"/>
          <w:sz w:val="24"/>
          <w:szCs w:val="24"/>
        </w:rPr>
      </w:pPr>
      <w:r w:rsidRPr="00DE55A5">
        <w:rPr>
          <w:rFonts w:ascii="Times New Roman" w:hAnsi="Times New Roman" w:cs="Times New Roman"/>
          <w:sz w:val="24"/>
          <w:szCs w:val="24"/>
        </w:rPr>
        <w:t>Prob&gt;chi2 =      0.0653</w:t>
      </w:r>
    </w:p>
    <w:p w:rsidR="001C7074" w:rsidRPr="00DE55A5" w:rsidRDefault="001C7074" w:rsidP="005E6A85">
      <w:pPr>
        <w:spacing w:after="0" w:line="288" w:lineRule="auto"/>
        <w:ind w:firstLine="567"/>
        <w:jc w:val="both"/>
        <w:rPr>
          <w:rFonts w:ascii="Times New Roman" w:hAnsi="Times New Roman" w:cs="Times New Roman"/>
          <w:sz w:val="24"/>
          <w:szCs w:val="24"/>
        </w:rPr>
      </w:pPr>
      <w:r w:rsidRPr="00DE55A5">
        <w:rPr>
          <w:rFonts w:ascii="Times New Roman" w:hAnsi="Times New Roman" w:cs="Times New Roman"/>
          <w:sz w:val="24"/>
          <w:szCs w:val="24"/>
        </w:rPr>
        <w:lastRenderedPageBreak/>
        <w:t xml:space="preserve">Kết quả kiểm định ta có chi2 (12) = 24,91, Prob&gt;chi2 = 0,0653, như vậy  p-value = 0,0653&gt;0,05, do đó chấp nhận Ho nghĩa là không có hiện tượng phương sai sai số thay đổi trong mô hình FEM. </w:t>
      </w:r>
    </w:p>
    <w:p w:rsidR="001C7074" w:rsidRPr="00DE55A5" w:rsidRDefault="001C7074" w:rsidP="005E6A85">
      <w:pPr>
        <w:spacing w:after="0" w:line="288" w:lineRule="auto"/>
        <w:ind w:firstLine="567"/>
        <w:jc w:val="both"/>
        <w:rPr>
          <w:rFonts w:ascii="Times New Roman" w:hAnsi="Times New Roman" w:cs="Times New Roman"/>
          <w:sz w:val="24"/>
          <w:szCs w:val="24"/>
        </w:rPr>
      </w:pPr>
      <w:r w:rsidRPr="00DE55A5">
        <w:rPr>
          <w:rFonts w:ascii="Times New Roman" w:hAnsi="Times New Roman" w:cs="Times New Roman"/>
          <w:sz w:val="24"/>
          <w:szCs w:val="24"/>
        </w:rPr>
        <w:t xml:space="preserve">Kiểm định </w:t>
      </w:r>
      <w:r w:rsidR="00CB652C">
        <w:rPr>
          <w:rFonts w:ascii="Times New Roman" w:hAnsi="Times New Roman" w:cs="Times New Roman"/>
          <w:sz w:val="24"/>
          <w:szCs w:val="24"/>
        </w:rPr>
        <w:t>hiện tượng tương quan chuỗi của dữ liệu nghiên cứu trong mô hình FEM</w:t>
      </w:r>
    </w:p>
    <w:p w:rsidR="001C7074" w:rsidRPr="00DE55A5" w:rsidRDefault="001C7074" w:rsidP="005E6A85">
      <w:pPr>
        <w:spacing w:after="0" w:line="288" w:lineRule="auto"/>
        <w:ind w:firstLine="567"/>
        <w:jc w:val="both"/>
        <w:rPr>
          <w:rFonts w:ascii="Times New Roman" w:hAnsi="Times New Roman" w:cs="Times New Roman"/>
          <w:sz w:val="24"/>
          <w:szCs w:val="24"/>
        </w:rPr>
      </w:pPr>
      <w:r w:rsidRPr="00DE55A5">
        <w:rPr>
          <w:rFonts w:ascii="Times New Roman" w:hAnsi="Times New Roman" w:cs="Times New Roman"/>
          <w:sz w:val="24"/>
          <w:szCs w:val="24"/>
        </w:rPr>
        <w:lastRenderedPageBreak/>
        <w:t>H</w:t>
      </w:r>
      <w:r w:rsidRPr="00A35542">
        <w:rPr>
          <w:rFonts w:ascii="Times New Roman" w:hAnsi="Times New Roman" w:cs="Times New Roman"/>
          <w:sz w:val="24"/>
          <w:szCs w:val="24"/>
          <w:vertAlign w:val="subscript"/>
        </w:rPr>
        <w:t>0</w:t>
      </w:r>
      <w:r w:rsidRPr="00DE55A5">
        <w:rPr>
          <w:rFonts w:ascii="Times New Roman" w:hAnsi="Times New Roman" w:cs="Times New Roman"/>
          <w:sz w:val="24"/>
          <w:szCs w:val="24"/>
        </w:rPr>
        <w:t xml:space="preserve">: </w:t>
      </w:r>
      <w:r w:rsidR="00CB652C">
        <w:rPr>
          <w:rFonts w:ascii="Times New Roman" w:hAnsi="Times New Roman" w:cs="Times New Roman"/>
          <w:sz w:val="24"/>
          <w:szCs w:val="24"/>
        </w:rPr>
        <w:t>không có hiệ</w:t>
      </w:r>
      <w:r w:rsidR="00CC5119">
        <w:rPr>
          <w:rFonts w:ascii="Times New Roman" w:hAnsi="Times New Roman" w:cs="Times New Roman"/>
          <w:sz w:val="24"/>
          <w:szCs w:val="24"/>
        </w:rPr>
        <w:t>n</w:t>
      </w:r>
      <w:r w:rsidR="00CB652C">
        <w:rPr>
          <w:rFonts w:ascii="Times New Roman" w:hAnsi="Times New Roman" w:cs="Times New Roman"/>
          <w:sz w:val="24"/>
          <w:szCs w:val="24"/>
        </w:rPr>
        <w:t xml:space="preserve"> tượng tương quan chuỗi</w:t>
      </w:r>
    </w:p>
    <w:p w:rsidR="001C7074" w:rsidRPr="00DE55A5" w:rsidRDefault="001C7074" w:rsidP="005E6A85">
      <w:pPr>
        <w:spacing w:after="0" w:line="288" w:lineRule="auto"/>
        <w:ind w:firstLine="567"/>
        <w:jc w:val="both"/>
        <w:rPr>
          <w:rFonts w:ascii="Times New Roman" w:hAnsi="Times New Roman" w:cs="Times New Roman"/>
          <w:sz w:val="24"/>
          <w:szCs w:val="24"/>
        </w:rPr>
      </w:pPr>
      <w:r w:rsidRPr="00DE55A5">
        <w:rPr>
          <w:rFonts w:ascii="Times New Roman" w:hAnsi="Times New Roman" w:cs="Times New Roman"/>
          <w:sz w:val="24"/>
          <w:szCs w:val="24"/>
        </w:rPr>
        <w:t>F</w:t>
      </w:r>
      <w:r w:rsidR="005A2E7D">
        <w:rPr>
          <w:rFonts w:ascii="Times New Roman" w:hAnsi="Times New Roman" w:cs="Times New Roman"/>
          <w:sz w:val="24"/>
          <w:szCs w:val="24"/>
        </w:rPr>
        <w:t xml:space="preserve"> </w:t>
      </w:r>
      <w:r w:rsidRPr="00DE55A5">
        <w:rPr>
          <w:rFonts w:ascii="Times New Roman" w:hAnsi="Times New Roman" w:cs="Times New Roman"/>
          <w:sz w:val="24"/>
          <w:szCs w:val="24"/>
        </w:rPr>
        <w:t>(1,11) =   40.985</w:t>
      </w:r>
    </w:p>
    <w:p w:rsidR="001C7074" w:rsidRPr="008F1721" w:rsidRDefault="001C7074" w:rsidP="005E6A85">
      <w:pPr>
        <w:spacing w:after="0" w:line="288" w:lineRule="auto"/>
        <w:ind w:firstLine="567"/>
        <w:jc w:val="both"/>
        <w:rPr>
          <w:rFonts w:ascii="Times New Roman" w:hAnsi="Times New Roman" w:cs="Times New Roman"/>
          <w:sz w:val="24"/>
          <w:szCs w:val="24"/>
        </w:rPr>
      </w:pPr>
      <w:r w:rsidRPr="008F1721">
        <w:rPr>
          <w:rFonts w:ascii="Times New Roman" w:hAnsi="Times New Roman" w:cs="Times New Roman"/>
          <w:sz w:val="24"/>
          <w:szCs w:val="24"/>
        </w:rPr>
        <w:t>Prob &gt; F =  0.2640</w:t>
      </w:r>
      <w:r w:rsidRPr="008F1721">
        <w:rPr>
          <w:rFonts w:ascii="Times New Roman" w:hAnsi="Times New Roman" w:cs="Times New Roman"/>
          <w:sz w:val="24"/>
          <w:szCs w:val="24"/>
        </w:rPr>
        <w:tab/>
      </w:r>
    </w:p>
    <w:p w:rsidR="001C7074" w:rsidRPr="00906771" w:rsidRDefault="001C7074" w:rsidP="005E6A85">
      <w:pPr>
        <w:spacing w:after="0" w:line="288" w:lineRule="auto"/>
        <w:ind w:firstLine="567"/>
        <w:jc w:val="both"/>
        <w:rPr>
          <w:rFonts w:ascii="Times New Roman" w:hAnsi="Times New Roman" w:cs="Times New Roman"/>
          <w:sz w:val="24"/>
          <w:szCs w:val="24"/>
        </w:rPr>
      </w:pPr>
      <w:r w:rsidRPr="00906771">
        <w:rPr>
          <w:rFonts w:ascii="Times New Roman" w:hAnsi="Times New Roman" w:cs="Times New Roman"/>
          <w:sz w:val="24"/>
          <w:szCs w:val="24"/>
        </w:rPr>
        <w:t>Kết quả kiểm đị</w:t>
      </w:r>
      <w:r w:rsidR="00AB0A8C">
        <w:rPr>
          <w:rFonts w:ascii="Times New Roman" w:hAnsi="Times New Roman" w:cs="Times New Roman"/>
          <w:sz w:val="24"/>
          <w:szCs w:val="24"/>
        </w:rPr>
        <w:t>nh ta có F(1,</w:t>
      </w:r>
      <w:r w:rsidR="006039CE" w:rsidRPr="00906771">
        <w:rPr>
          <w:rFonts w:ascii="Times New Roman" w:hAnsi="Times New Roman" w:cs="Times New Roman"/>
          <w:sz w:val="24"/>
          <w:szCs w:val="24"/>
        </w:rPr>
        <w:t>11) = 40,</w:t>
      </w:r>
      <w:r w:rsidRPr="00906771">
        <w:rPr>
          <w:rFonts w:ascii="Times New Roman" w:hAnsi="Times New Roman" w:cs="Times New Roman"/>
          <w:sz w:val="24"/>
          <w:szCs w:val="24"/>
        </w:rPr>
        <w:t>985</w:t>
      </w:r>
      <w:r w:rsidR="00AB0A8C">
        <w:rPr>
          <w:rFonts w:ascii="Times New Roman" w:hAnsi="Times New Roman" w:cs="Times New Roman"/>
          <w:sz w:val="24"/>
          <w:szCs w:val="24"/>
        </w:rPr>
        <w:t>, Prob</w:t>
      </w:r>
      <w:r w:rsidRPr="00906771">
        <w:rPr>
          <w:rFonts w:ascii="Times New Roman" w:hAnsi="Times New Roman" w:cs="Times New Roman"/>
          <w:sz w:val="24"/>
          <w:szCs w:val="24"/>
        </w:rPr>
        <w:t xml:space="preserve">&gt;F = 0,2640, </w:t>
      </w:r>
      <w:r w:rsidR="00AB0A8C">
        <w:rPr>
          <w:rFonts w:ascii="Times New Roman" w:hAnsi="Times New Roman" w:cs="Times New Roman"/>
          <w:sz w:val="24"/>
          <w:szCs w:val="24"/>
        </w:rPr>
        <w:t>như vậy giá trị</w:t>
      </w:r>
      <w:r w:rsidRPr="00906771">
        <w:rPr>
          <w:rFonts w:ascii="Times New Roman" w:hAnsi="Times New Roman" w:cs="Times New Roman"/>
          <w:sz w:val="24"/>
          <w:szCs w:val="24"/>
        </w:rPr>
        <w:t xml:space="preserve">  p-value&gt;0,05 chấp nhận Ho nghĩa là không có </w:t>
      </w:r>
      <w:r w:rsidR="00AB0A8C">
        <w:rPr>
          <w:rFonts w:ascii="Times New Roman" w:hAnsi="Times New Roman" w:cs="Times New Roman"/>
          <w:sz w:val="24"/>
          <w:szCs w:val="24"/>
        </w:rPr>
        <w:t xml:space="preserve">hiện tượng </w:t>
      </w:r>
      <w:r w:rsidRPr="00906771">
        <w:rPr>
          <w:rFonts w:ascii="Times New Roman" w:hAnsi="Times New Roman" w:cs="Times New Roman"/>
          <w:sz w:val="24"/>
          <w:szCs w:val="24"/>
        </w:rPr>
        <w:t>tương quan chuỗi của dữ liệu nghiên cứu</w:t>
      </w:r>
      <w:r w:rsidR="0041692D" w:rsidRPr="00906771">
        <w:rPr>
          <w:rFonts w:ascii="Times New Roman" w:hAnsi="Times New Roman" w:cs="Times New Roman"/>
          <w:sz w:val="24"/>
          <w:szCs w:val="24"/>
        </w:rPr>
        <w:t>.</w:t>
      </w:r>
    </w:p>
    <w:p w:rsidR="00A165ED" w:rsidRPr="00906771" w:rsidRDefault="00A165ED" w:rsidP="005E6A85">
      <w:pPr>
        <w:spacing w:after="0" w:line="288" w:lineRule="auto"/>
        <w:ind w:firstLine="567"/>
        <w:jc w:val="center"/>
        <w:rPr>
          <w:rFonts w:ascii="Times New Roman" w:hAnsi="Times New Roman" w:cs="Times New Roman"/>
          <w:b/>
          <w:sz w:val="24"/>
          <w:szCs w:val="24"/>
        </w:rPr>
        <w:sectPr w:rsidR="00A165ED" w:rsidRPr="00906771" w:rsidSect="002E7582">
          <w:footnotePr>
            <w:numFmt w:val="upperRoman"/>
          </w:footnotePr>
          <w:type w:val="continuous"/>
          <w:pgSz w:w="10773" w:h="15309" w:code="9"/>
          <w:pgMar w:top="1134" w:right="1134" w:bottom="1134" w:left="1134" w:header="0" w:footer="0" w:gutter="0"/>
          <w:cols w:num="2" w:space="425"/>
          <w:docGrid w:linePitch="360"/>
        </w:sectPr>
      </w:pPr>
    </w:p>
    <w:p w:rsidR="0041692D" w:rsidRPr="005A2E7D" w:rsidRDefault="0041692D" w:rsidP="000D03BB">
      <w:pPr>
        <w:spacing w:before="120" w:after="120" w:line="240" w:lineRule="auto"/>
        <w:ind w:firstLine="567"/>
        <w:jc w:val="center"/>
        <w:rPr>
          <w:rFonts w:ascii="Times New Roman" w:hAnsi="Times New Roman" w:cs="Times New Roman"/>
          <w:b/>
          <w:szCs w:val="24"/>
        </w:rPr>
      </w:pPr>
      <w:r w:rsidRPr="005A2E7D">
        <w:rPr>
          <w:rFonts w:ascii="Times New Roman" w:hAnsi="Times New Roman" w:cs="Times New Roman"/>
          <w:b/>
          <w:szCs w:val="24"/>
        </w:rPr>
        <w:lastRenderedPageBreak/>
        <w:t>Bả</w:t>
      </w:r>
      <w:r w:rsidR="00E66098" w:rsidRPr="005A2E7D">
        <w:rPr>
          <w:rFonts w:ascii="Times New Roman" w:hAnsi="Times New Roman" w:cs="Times New Roman"/>
          <w:b/>
          <w:szCs w:val="24"/>
        </w:rPr>
        <w:t>ng 5</w:t>
      </w:r>
      <w:r w:rsidR="007977F4" w:rsidRPr="005A2E7D">
        <w:rPr>
          <w:rFonts w:ascii="Times New Roman" w:hAnsi="Times New Roman" w:cs="Times New Roman"/>
          <w:b/>
          <w:szCs w:val="24"/>
          <w:lang w:val="vi-VN"/>
        </w:rPr>
        <w:t>.</w:t>
      </w:r>
      <w:r w:rsidR="00A35542">
        <w:rPr>
          <w:rFonts w:ascii="Times New Roman" w:hAnsi="Times New Roman" w:cs="Times New Roman"/>
          <w:b/>
          <w:szCs w:val="24"/>
        </w:rPr>
        <w:t xml:space="preserve"> </w:t>
      </w:r>
      <w:r w:rsidRPr="005A2E7D">
        <w:rPr>
          <w:rFonts w:ascii="Times New Roman" w:hAnsi="Times New Roman" w:cs="Times New Roman"/>
          <w:szCs w:val="24"/>
        </w:rPr>
        <w:t>Kết quả hồi quy theo mô hình FEM</w:t>
      </w:r>
    </w:p>
    <w:tbl>
      <w:tblPr>
        <w:tblW w:w="8389" w:type="dxa"/>
        <w:jc w:val="center"/>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1222"/>
        <w:gridCol w:w="1170"/>
        <w:gridCol w:w="1441"/>
        <w:gridCol w:w="1001"/>
        <w:gridCol w:w="1276"/>
        <w:gridCol w:w="1001"/>
        <w:gridCol w:w="1278"/>
      </w:tblGrid>
      <w:tr w:rsidR="0041692D" w:rsidRPr="005A2E7D" w:rsidTr="00D54E05">
        <w:trPr>
          <w:cantSplit/>
          <w:jc w:val="center"/>
        </w:trPr>
        <w:tc>
          <w:tcPr>
            <w:tcW w:w="1222" w:type="dxa"/>
            <w:tcBorders>
              <w:top w:val="single" w:sz="4" w:space="0" w:color="000000"/>
              <w:bottom w:val="single" w:sz="4" w:space="0" w:color="000000"/>
            </w:tcBorders>
            <w:shd w:val="clear" w:color="auto" w:fill="FFFFFF"/>
          </w:tcPr>
          <w:p w:rsidR="0041692D" w:rsidRPr="005A2E7D" w:rsidRDefault="0041692D" w:rsidP="00B82A87">
            <w:pPr>
              <w:autoSpaceDE w:val="0"/>
              <w:autoSpaceDN w:val="0"/>
              <w:adjustRightInd w:val="0"/>
              <w:spacing w:after="0" w:line="240" w:lineRule="atLeast"/>
              <w:ind w:left="60" w:right="60"/>
              <w:rPr>
                <w:rFonts w:ascii="Times New Roman" w:hAnsi="Times New Roman" w:cs="Times New Roman"/>
                <w:b/>
                <w:color w:val="000000"/>
                <w:sz w:val="20"/>
                <w:szCs w:val="20"/>
              </w:rPr>
            </w:pPr>
            <w:r w:rsidRPr="005A2E7D">
              <w:rPr>
                <w:rFonts w:ascii="Times New Roman" w:hAnsi="Times New Roman" w:cs="Times New Roman"/>
                <w:b/>
                <w:color w:val="000000"/>
                <w:sz w:val="20"/>
                <w:szCs w:val="20"/>
              </w:rPr>
              <w:t>ROE</w:t>
            </w:r>
          </w:p>
        </w:tc>
        <w:tc>
          <w:tcPr>
            <w:tcW w:w="1170" w:type="dxa"/>
            <w:tcBorders>
              <w:top w:val="single" w:sz="4" w:space="0" w:color="000000"/>
              <w:bottom w:val="single" w:sz="4" w:space="0" w:color="000000"/>
            </w:tcBorders>
            <w:shd w:val="clear" w:color="auto" w:fill="FFFFFF"/>
          </w:tcPr>
          <w:p w:rsidR="0041692D" w:rsidRPr="005A2E7D" w:rsidRDefault="008124C4" w:rsidP="00B82A87">
            <w:pPr>
              <w:autoSpaceDE w:val="0"/>
              <w:autoSpaceDN w:val="0"/>
              <w:adjustRightInd w:val="0"/>
              <w:spacing w:after="0" w:line="240" w:lineRule="atLeast"/>
              <w:ind w:left="60" w:right="60"/>
              <w:rPr>
                <w:rFonts w:ascii="Times New Roman" w:hAnsi="Times New Roman" w:cs="Times New Roman"/>
                <w:b/>
                <w:sz w:val="20"/>
                <w:szCs w:val="20"/>
              </w:rPr>
            </w:pPr>
            <w:r w:rsidRPr="005A2E7D">
              <w:rPr>
                <w:rFonts w:ascii="Times New Roman" w:hAnsi="Times New Roman" w:cs="Times New Roman"/>
                <w:b/>
                <w:sz w:val="20"/>
                <w:szCs w:val="20"/>
              </w:rPr>
              <w:t xml:space="preserve"> Coef.</w:t>
            </w:r>
          </w:p>
        </w:tc>
        <w:tc>
          <w:tcPr>
            <w:tcW w:w="1441" w:type="dxa"/>
            <w:tcBorders>
              <w:top w:val="single" w:sz="4" w:space="0" w:color="000000"/>
              <w:bottom w:val="single" w:sz="4" w:space="0" w:color="000000"/>
            </w:tcBorders>
            <w:shd w:val="clear" w:color="auto" w:fill="FFFFFF"/>
          </w:tcPr>
          <w:p w:rsidR="0041692D" w:rsidRPr="005A2E7D" w:rsidRDefault="008124C4" w:rsidP="00B82A87">
            <w:pPr>
              <w:autoSpaceDE w:val="0"/>
              <w:autoSpaceDN w:val="0"/>
              <w:adjustRightInd w:val="0"/>
              <w:spacing w:after="0" w:line="240" w:lineRule="atLeast"/>
              <w:ind w:left="60" w:right="60"/>
              <w:jc w:val="center"/>
              <w:rPr>
                <w:rFonts w:ascii="Times New Roman" w:hAnsi="Times New Roman" w:cs="Times New Roman"/>
                <w:b/>
                <w:color w:val="000000"/>
                <w:sz w:val="20"/>
                <w:szCs w:val="20"/>
              </w:rPr>
            </w:pPr>
            <w:r w:rsidRPr="005A2E7D">
              <w:rPr>
                <w:rFonts w:ascii="Times New Roman" w:hAnsi="Times New Roman" w:cs="Times New Roman"/>
                <w:b/>
                <w:sz w:val="20"/>
                <w:szCs w:val="20"/>
              </w:rPr>
              <w:t>Std. Err.</w:t>
            </w:r>
          </w:p>
        </w:tc>
        <w:tc>
          <w:tcPr>
            <w:tcW w:w="1001" w:type="dxa"/>
            <w:tcBorders>
              <w:top w:val="single" w:sz="4" w:space="0" w:color="000000"/>
              <w:bottom w:val="single" w:sz="4" w:space="0" w:color="000000"/>
            </w:tcBorders>
            <w:shd w:val="clear" w:color="auto" w:fill="FFFFFF"/>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b/>
                <w:color w:val="000000"/>
                <w:sz w:val="20"/>
                <w:szCs w:val="20"/>
              </w:rPr>
            </w:pPr>
            <w:r w:rsidRPr="005A2E7D">
              <w:rPr>
                <w:rFonts w:ascii="Times New Roman" w:hAnsi="Times New Roman" w:cs="Times New Roman"/>
                <w:b/>
                <w:color w:val="000000"/>
                <w:sz w:val="20"/>
                <w:szCs w:val="20"/>
              </w:rPr>
              <w:t>T</w:t>
            </w:r>
          </w:p>
        </w:tc>
        <w:tc>
          <w:tcPr>
            <w:tcW w:w="1276" w:type="dxa"/>
            <w:tcBorders>
              <w:top w:val="single" w:sz="4" w:space="0" w:color="000000"/>
              <w:bottom w:val="single" w:sz="4" w:space="0" w:color="000000"/>
            </w:tcBorders>
            <w:shd w:val="clear" w:color="auto" w:fill="FFFFFF"/>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b/>
                <w:color w:val="000000"/>
                <w:sz w:val="20"/>
                <w:szCs w:val="20"/>
              </w:rPr>
            </w:pPr>
            <w:r w:rsidRPr="005A2E7D">
              <w:rPr>
                <w:rFonts w:ascii="Times New Roman" w:hAnsi="Times New Roman" w:cs="Times New Roman"/>
                <w:b/>
                <w:sz w:val="20"/>
                <w:szCs w:val="20"/>
              </w:rPr>
              <w:t xml:space="preserve">P&gt;|t|     </w:t>
            </w:r>
          </w:p>
        </w:tc>
        <w:tc>
          <w:tcPr>
            <w:tcW w:w="2279" w:type="dxa"/>
            <w:gridSpan w:val="2"/>
            <w:tcBorders>
              <w:top w:val="single" w:sz="4" w:space="0" w:color="000000"/>
              <w:bottom w:val="single" w:sz="4" w:space="0" w:color="000000"/>
            </w:tcBorders>
            <w:shd w:val="clear" w:color="auto" w:fill="FFFFFF"/>
          </w:tcPr>
          <w:p w:rsidR="0041692D" w:rsidRPr="005A2E7D" w:rsidRDefault="0041692D" w:rsidP="00B82A87">
            <w:pPr>
              <w:spacing w:after="0" w:line="240" w:lineRule="atLeast"/>
              <w:jc w:val="center"/>
              <w:rPr>
                <w:rFonts w:ascii="Times New Roman" w:hAnsi="Times New Roman" w:cs="Times New Roman"/>
                <w:b/>
                <w:sz w:val="20"/>
                <w:szCs w:val="20"/>
              </w:rPr>
            </w:pPr>
            <w:r w:rsidRPr="005A2E7D">
              <w:rPr>
                <w:rFonts w:ascii="Times New Roman" w:hAnsi="Times New Roman" w:cs="Times New Roman"/>
                <w:b/>
                <w:sz w:val="20"/>
                <w:szCs w:val="20"/>
              </w:rPr>
              <w:t>[95% Conf. Interval]</w:t>
            </w:r>
          </w:p>
        </w:tc>
      </w:tr>
      <w:tr w:rsidR="0041692D" w:rsidRPr="005A2E7D" w:rsidTr="00D54E05">
        <w:trPr>
          <w:cantSplit/>
          <w:jc w:val="center"/>
        </w:trPr>
        <w:tc>
          <w:tcPr>
            <w:tcW w:w="1222" w:type="dxa"/>
            <w:tcBorders>
              <w:top w:val="single" w:sz="4" w:space="0" w:color="000000"/>
            </w:tcBorders>
            <w:shd w:val="clear" w:color="auto" w:fill="FFFFFF"/>
            <w:vAlign w:val="center"/>
          </w:tcPr>
          <w:p w:rsidR="0041692D" w:rsidRPr="005A2E7D" w:rsidRDefault="0041692D" w:rsidP="00B82A87">
            <w:pPr>
              <w:autoSpaceDE w:val="0"/>
              <w:autoSpaceDN w:val="0"/>
              <w:adjustRightInd w:val="0"/>
              <w:spacing w:after="0" w:line="240" w:lineRule="atLeast"/>
              <w:ind w:left="60" w:right="60"/>
              <w:rPr>
                <w:rFonts w:ascii="Times New Roman" w:hAnsi="Times New Roman" w:cs="Times New Roman"/>
                <w:color w:val="000000"/>
                <w:sz w:val="20"/>
                <w:szCs w:val="20"/>
              </w:rPr>
            </w:pPr>
            <w:r w:rsidRPr="005A2E7D">
              <w:rPr>
                <w:rFonts w:ascii="Times New Roman" w:hAnsi="Times New Roman" w:cs="Times New Roman"/>
                <w:color w:val="000000"/>
                <w:sz w:val="20"/>
                <w:szCs w:val="20"/>
              </w:rPr>
              <w:t>CAR</w:t>
            </w:r>
          </w:p>
        </w:tc>
        <w:tc>
          <w:tcPr>
            <w:tcW w:w="1170" w:type="dxa"/>
            <w:tcBorders>
              <w:top w:val="single" w:sz="4" w:space="0" w:color="000000"/>
            </w:tcBorders>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eastAsia="Times New Roman" w:hAnsi="Times New Roman" w:cs="Times New Roman"/>
                <w:sz w:val="20"/>
                <w:szCs w:val="20"/>
              </w:rPr>
              <w:t>0.822</w:t>
            </w:r>
          </w:p>
        </w:tc>
        <w:tc>
          <w:tcPr>
            <w:tcW w:w="1441" w:type="dxa"/>
            <w:tcBorders>
              <w:top w:val="single" w:sz="4" w:space="0" w:color="000000"/>
            </w:tcBorders>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0.160</w:t>
            </w:r>
          </w:p>
        </w:tc>
        <w:tc>
          <w:tcPr>
            <w:tcW w:w="1001" w:type="dxa"/>
            <w:tcBorders>
              <w:top w:val="single" w:sz="4" w:space="0" w:color="000000"/>
            </w:tcBorders>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5.14</w:t>
            </w:r>
          </w:p>
        </w:tc>
        <w:tc>
          <w:tcPr>
            <w:tcW w:w="1276" w:type="dxa"/>
            <w:tcBorders>
              <w:top w:val="single" w:sz="4" w:space="0" w:color="000000"/>
            </w:tcBorders>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0.000</w:t>
            </w:r>
          </w:p>
        </w:tc>
        <w:tc>
          <w:tcPr>
            <w:tcW w:w="1001" w:type="dxa"/>
            <w:tcBorders>
              <w:top w:val="single" w:sz="4" w:space="0" w:color="000000"/>
            </w:tcBorders>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0.036</w:t>
            </w:r>
          </w:p>
        </w:tc>
        <w:tc>
          <w:tcPr>
            <w:tcW w:w="1278" w:type="dxa"/>
            <w:tcBorders>
              <w:top w:val="single" w:sz="4" w:space="0" w:color="000000"/>
            </w:tcBorders>
            <w:shd w:val="clear" w:color="auto" w:fill="FFFFFF"/>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3.582</w:t>
            </w:r>
          </w:p>
        </w:tc>
      </w:tr>
      <w:tr w:rsidR="0041692D" w:rsidRPr="005A2E7D" w:rsidTr="00D54E05">
        <w:trPr>
          <w:cantSplit/>
          <w:trHeight w:val="395"/>
          <w:jc w:val="center"/>
        </w:trPr>
        <w:tc>
          <w:tcPr>
            <w:tcW w:w="1222" w:type="dxa"/>
            <w:shd w:val="clear" w:color="auto" w:fill="FFFFFF"/>
            <w:vAlign w:val="center"/>
          </w:tcPr>
          <w:p w:rsidR="0041692D" w:rsidRPr="005A2E7D" w:rsidRDefault="0041692D" w:rsidP="00B82A87">
            <w:pPr>
              <w:autoSpaceDE w:val="0"/>
              <w:autoSpaceDN w:val="0"/>
              <w:adjustRightInd w:val="0"/>
              <w:spacing w:after="0" w:line="240" w:lineRule="atLeast"/>
              <w:ind w:left="60" w:right="60"/>
              <w:rPr>
                <w:rFonts w:ascii="Times New Roman" w:hAnsi="Times New Roman" w:cs="Times New Roman"/>
                <w:color w:val="000000"/>
                <w:sz w:val="20"/>
                <w:szCs w:val="20"/>
              </w:rPr>
            </w:pPr>
            <w:r w:rsidRPr="005A2E7D">
              <w:rPr>
                <w:rFonts w:ascii="Times New Roman" w:hAnsi="Times New Roman" w:cs="Times New Roman"/>
                <w:color w:val="000000"/>
                <w:sz w:val="20"/>
                <w:szCs w:val="20"/>
              </w:rPr>
              <w:t>NPLdn</w:t>
            </w:r>
          </w:p>
        </w:tc>
        <w:tc>
          <w:tcPr>
            <w:tcW w:w="1170"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-1.158</w:t>
            </w:r>
          </w:p>
        </w:tc>
        <w:tc>
          <w:tcPr>
            <w:tcW w:w="144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0.582</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-1.99</w:t>
            </w:r>
          </w:p>
        </w:tc>
        <w:tc>
          <w:tcPr>
            <w:tcW w:w="1276"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0.049</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0.587</w:t>
            </w:r>
          </w:p>
        </w:tc>
        <w:tc>
          <w:tcPr>
            <w:tcW w:w="1278" w:type="dxa"/>
            <w:shd w:val="clear" w:color="auto" w:fill="FFFFFF"/>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-2.146</w:t>
            </w:r>
          </w:p>
        </w:tc>
      </w:tr>
      <w:tr w:rsidR="0041692D" w:rsidRPr="005A2E7D" w:rsidTr="00D54E05">
        <w:trPr>
          <w:cantSplit/>
          <w:jc w:val="center"/>
        </w:trPr>
        <w:tc>
          <w:tcPr>
            <w:tcW w:w="1222" w:type="dxa"/>
            <w:shd w:val="clear" w:color="auto" w:fill="FFFFFF"/>
            <w:vAlign w:val="center"/>
          </w:tcPr>
          <w:p w:rsidR="0041692D" w:rsidRPr="005A2E7D" w:rsidRDefault="0041692D" w:rsidP="00B82A87">
            <w:pPr>
              <w:autoSpaceDE w:val="0"/>
              <w:autoSpaceDN w:val="0"/>
              <w:adjustRightInd w:val="0"/>
              <w:spacing w:after="0" w:line="240" w:lineRule="atLeast"/>
              <w:ind w:left="60" w:right="60"/>
              <w:rPr>
                <w:rFonts w:ascii="Times New Roman" w:hAnsi="Times New Roman" w:cs="Times New Roman"/>
                <w:color w:val="000000"/>
                <w:sz w:val="20"/>
                <w:szCs w:val="20"/>
              </w:rPr>
            </w:pPr>
            <w:r w:rsidRPr="005A2E7D">
              <w:rPr>
                <w:rFonts w:ascii="Times New Roman" w:hAnsi="Times New Roman" w:cs="Times New Roman"/>
                <w:color w:val="000000"/>
                <w:sz w:val="20"/>
                <w:szCs w:val="20"/>
              </w:rPr>
              <w:t>NPLmv</w:t>
            </w:r>
          </w:p>
        </w:tc>
        <w:tc>
          <w:tcPr>
            <w:tcW w:w="1170"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-1.965</w:t>
            </w:r>
          </w:p>
        </w:tc>
        <w:tc>
          <w:tcPr>
            <w:tcW w:w="144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0.733</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-2.68</w:t>
            </w:r>
          </w:p>
        </w:tc>
        <w:tc>
          <w:tcPr>
            <w:tcW w:w="1276"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0.008</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1.043</w:t>
            </w:r>
          </w:p>
        </w:tc>
        <w:tc>
          <w:tcPr>
            <w:tcW w:w="1278" w:type="dxa"/>
            <w:shd w:val="clear" w:color="auto" w:fill="FFFFFF"/>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-2.114</w:t>
            </w:r>
          </w:p>
        </w:tc>
      </w:tr>
      <w:tr w:rsidR="0041692D" w:rsidRPr="005A2E7D" w:rsidTr="00D54E05">
        <w:trPr>
          <w:cantSplit/>
          <w:jc w:val="center"/>
        </w:trPr>
        <w:tc>
          <w:tcPr>
            <w:tcW w:w="1222" w:type="dxa"/>
            <w:shd w:val="clear" w:color="auto" w:fill="FFFFFF"/>
            <w:vAlign w:val="center"/>
          </w:tcPr>
          <w:p w:rsidR="0041692D" w:rsidRPr="005A2E7D" w:rsidRDefault="0041692D" w:rsidP="00B82A87">
            <w:pPr>
              <w:autoSpaceDE w:val="0"/>
              <w:autoSpaceDN w:val="0"/>
              <w:adjustRightInd w:val="0"/>
              <w:spacing w:after="0" w:line="240" w:lineRule="atLeast"/>
              <w:ind w:right="60"/>
              <w:rPr>
                <w:rFonts w:ascii="Times New Roman" w:hAnsi="Times New Roman" w:cs="Times New Roman"/>
                <w:color w:val="000000"/>
                <w:sz w:val="20"/>
                <w:szCs w:val="20"/>
              </w:rPr>
            </w:pPr>
            <w:r w:rsidRPr="005A2E7D">
              <w:rPr>
                <w:rFonts w:ascii="Times New Roman" w:hAnsi="Times New Roman" w:cs="Times New Roman"/>
                <w:color w:val="000000"/>
                <w:sz w:val="20"/>
                <w:szCs w:val="20"/>
              </w:rPr>
              <w:t>LLPR</w:t>
            </w:r>
          </w:p>
        </w:tc>
        <w:tc>
          <w:tcPr>
            <w:tcW w:w="1170"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-2.383</w:t>
            </w:r>
          </w:p>
        </w:tc>
        <w:tc>
          <w:tcPr>
            <w:tcW w:w="144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1.031</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-2.31</w:t>
            </w:r>
          </w:p>
        </w:tc>
        <w:tc>
          <w:tcPr>
            <w:tcW w:w="1276"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0.023</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1.012</w:t>
            </w:r>
          </w:p>
        </w:tc>
        <w:tc>
          <w:tcPr>
            <w:tcW w:w="1278" w:type="dxa"/>
            <w:shd w:val="clear" w:color="auto" w:fill="FFFFFF"/>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-4.438</w:t>
            </w:r>
          </w:p>
        </w:tc>
      </w:tr>
      <w:tr w:rsidR="0041692D" w:rsidRPr="005A2E7D" w:rsidTr="00D54E05">
        <w:trPr>
          <w:cantSplit/>
          <w:jc w:val="center"/>
        </w:trPr>
        <w:tc>
          <w:tcPr>
            <w:tcW w:w="1222" w:type="dxa"/>
            <w:shd w:val="clear" w:color="auto" w:fill="FFFFFF"/>
            <w:vAlign w:val="center"/>
          </w:tcPr>
          <w:p w:rsidR="0041692D" w:rsidRPr="005A2E7D" w:rsidRDefault="0041692D" w:rsidP="00B82A87">
            <w:pPr>
              <w:autoSpaceDE w:val="0"/>
              <w:autoSpaceDN w:val="0"/>
              <w:adjustRightInd w:val="0"/>
              <w:spacing w:after="0" w:line="240" w:lineRule="atLeast"/>
              <w:ind w:right="60"/>
              <w:rPr>
                <w:rFonts w:ascii="Times New Roman" w:hAnsi="Times New Roman" w:cs="Times New Roman"/>
                <w:color w:val="000000"/>
                <w:sz w:val="20"/>
                <w:szCs w:val="20"/>
              </w:rPr>
            </w:pPr>
            <w:r w:rsidRPr="005A2E7D">
              <w:rPr>
                <w:rFonts w:ascii="Times New Roman" w:hAnsi="Times New Roman" w:cs="Times New Roman"/>
                <w:color w:val="000000"/>
                <w:sz w:val="20"/>
                <w:szCs w:val="20"/>
              </w:rPr>
              <w:t>LTD</w:t>
            </w:r>
          </w:p>
        </w:tc>
        <w:tc>
          <w:tcPr>
            <w:tcW w:w="1170"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0.0342</w:t>
            </w:r>
          </w:p>
        </w:tc>
        <w:tc>
          <w:tcPr>
            <w:tcW w:w="144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0.008</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5.70</w:t>
            </w:r>
          </w:p>
        </w:tc>
        <w:tc>
          <w:tcPr>
            <w:tcW w:w="1276"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0.000</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0.022</w:t>
            </w:r>
          </w:p>
        </w:tc>
        <w:tc>
          <w:tcPr>
            <w:tcW w:w="1278" w:type="dxa"/>
            <w:shd w:val="clear" w:color="auto" w:fill="FFFFFF"/>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5.529</w:t>
            </w:r>
          </w:p>
        </w:tc>
      </w:tr>
      <w:tr w:rsidR="0041692D" w:rsidRPr="005A2E7D" w:rsidTr="00D54E05">
        <w:trPr>
          <w:cantSplit/>
          <w:jc w:val="center"/>
        </w:trPr>
        <w:tc>
          <w:tcPr>
            <w:tcW w:w="1222" w:type="dxa"/>
            <w:shd w:val="clear" w:color="auto" w:fill="FFFFFF"/>
            <w:vAlign w:val="center"/>
          </w:tcPr>
          <w:p w:rsidR="0041692D" w:rsidRPr="005A2E7D" w:rsidRDefault="0041692D" w:rsidP="00B82A87">
            <w:pPr>
              <w:autoSpaceDE w:val="0"/>
              <w:autoSpaceDN w:val="0"/>
              <w:adjustRightInd w:val="0"/>
              <w:spacing w:after="0" w:line="240" w:lineRule="atLeast"/>
              <w:ind w:left="60" w:right="60"/>
              <w:rPr>
                <w:rFonts w:ascii="Times New Roman" w:hAnsi="Times New Roman" w:cs="Times New Roman"/>
                <w:color w:val="000000"/>
                <w:sz w:val="20"/>
                <w:szCs w:val="20"/>
              </w:rPr>
            </w:pPr>
            <w:r w:rsidRPr="005A2E7D">
              <w:rPr>
                <w:rFonts w:ascii="Times New Roman" w:hAnsi="Times New Roman" w:cs="Times New Roman"/>
                <w:color w:val="000000"/>
                <w:sz w:val="20"/>
                <w:szCs w:val="20"/>
              </w:rPr>
              <w:t>Constant</w:t>
            </w:r>
          </w:p>
        </w:tc>
        <w:tc>
          <w:tcPr>
            <w:tcW w:w="1170"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0.307</w:t>
            </w:r>
          </w:p>
        </w:tc>
        <w:tc>
          <w:tcPr>
            <w:tcW w:w="144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0.048</w:t>
            </w:r>
          </w:p>
        </w:tc>
        <w:tc>
          <w:tcPr>
            <w:tcW w:w="1001" w:type="dxa"/>
            <w:shd w:val="clear" w:color="auto" w:fill="FFFFFF"/>
            <w:vAlign w:val="bottom"/>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6.40</w:t>
            </w:r>
          </w:p>
        </w:tc>
        <w:tc>
          <w:tcPr>
            <w:tcW w:w="1276"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0.000</w:t>
            </w:r>
          </w:p>
        </w:tc>
        <w:tc>
          <w:tcPr>
            <w:tcW w:w="1001" w:type="dxa"/>
            <w:shd w:val="clear" w:color="auto" w:fill="FFFFFF"/>
            <w:vAlign w:val="center"/>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0.024</w:t>
            </w:r>
          </w:p>
        </w:tc>
        <w:tc>
          <w:tcPr>
            <w:tcW w:w="1278" w:type="dxa"/>
            <w:shd w:val="clear" w:color="auto" w:fill="FFFFFF"/>
          </w:tcPr>
          <w:p w:rsidR="0041692D" w:rsidRPr="005A2E7D" w:rsidRDefault="0041692D" w:rsidP="00B82A87">
            <w:pPr>
              <w:autoSpaceDE w:val="0"/>
              <w:autoSpaceDN w:val="0"/>
              <w:adjustRightInd w:val="0"/>
              <w:spacing w:after="0" w:line="240" w:lineRule="atLeast"/>
              <w:ind w:left="60" w:right="60"/>
              <w:jc w:val="center"/>
              <w:rPr>
                <w:rFonts w:ascii="Times New Roman" w:hAnsi="Times New Roman" w:cs="Times New Roman"/>
                <w:color w:val="000000"/>
                <w:sz w:val="20"/>
                <w:szCs w:val="20"/>
              </w:rPr>
            </w:pPr>
            <w:r w:rsidRPr="005A2E7D">
              <w:rPr>
                <w:rFonts w:ascii="Times New Roman" w:hAnsi="Times New Roman" w:cs="Times New Roman"/>
                <w:color w:val="000000"/>
                <w:sz w:val="20"/>
                <w:szCs w:val="20"/>
              </w:rPr>
              <w:t>1.875</w:t>
            </w:r>
          </w:p>
        </w:tc>
      </w:tr>
    </w:tbl>
    <w:p w:rsidR="0041692D" w:rsidRPr="005A2E7D" w:rsidRDefault="0041692D" w:rsidP="000D03BB">
      <w:pPr>
        <w:spacing w:after="120" w:line="288" w:lineRule="auto"/>
        <w:ind w:firstLine="567"/>
        <w:jc w:val="right"/>
        <w:rPr>
          <w:rFonts w:ascii="Times New Roman" w:hAnsi="Times New Roman" w:cs="Times New Roman"/>
        </w:rPr>
      </w:pPr>
      <w:r w:rsidRPr="005A2E7D">
        <w:rPr>
          <w:rFonts w:ascii="Times New Roman" w:hAnsi="Times New Roman" w:cs="Times New Roman"/>
          <w:i/>
        </w:rPr>
        <w:t>Nguồn: kết quả</w:t>
      </w:r>
      <w:r w:rsidR="00E66098" w:rsidRPr="005A2E7D">
        <w:rPr>
          <w:rFonts w:ascii="Times New Roman" w:hAnsi="Times New Roman" w:cs="Times New Roman"/>
          <w:i/>
        </w:rPr>
        <w:t xml:space="preserve"> tính toán theo mô hình FEM</w:t>
      </w:r>
      <w:r w:rsidRPr="005A2E7D">
        <w:rPr>
          <w:rFonts w:ascii="Times New Roman" w:hAnsi="Times New Roman" w:cs="Times New Roman"/>
          <w:i/>
        </w:rPr>
        <w:t xml:space="preserve"> qua phần mềm Stata 12 của tác giả</w:t>
      </w:r>
    </w:p>
    <w:p w:rsidR="00A165ED" w:rsidRDefault="00A165ED" w:rsidP="004E08BF">
      <w:pPr>
        <w:spacing w:after="0" w:line="288" w:lineRule="auto"/>
        <w:ind w:firstLine="567"/>
        <w:jc w:val="both"/>
        <w:rPr>
          <w:rFonts w:ascii="Times New Roman" w:hAnsi="Times New Roman" w:cs="Times New Roman"/>
          <w:sz w:val="24"/>
          <w:szCs w:val="24"/>
        </w:rPr>
        <w:sectPr w:rsidR="00A165ED" w:rsidSect="00412254">
          <w:footnotePr>
            <w:numFmt w:val="upperRoman"/>
          </w:footnotePr>
          <w:type w:val="continuous"/>
          <w:pgSz w:w="10773" w:h="15309" w:code="9"/>
          <w:pgMar w:top="1134" w:right="1134" w:bottom="1134" w:left="1134" w:header="0" w:footer="0" w:gutter="0"/>
          <w:cols w:space="720"/>
          <w:docGrid w:linePitch="360"/>
        </w:sectPr>
      </w:pPr>
    </w:p>
    <w:p w:rsidR="0041692D" w:rsidRPr="0004222D" w:rsidRDefault="0041692D" w:rsidP="004E08BF">
      <w:pPr>
        <w:spacing w:after="0" w:line="288" w:lineRule="auto"/>
        <w:ind w:firstLine="567"/>
        <w:jc w:val="both"/>
        <w:rPr>
          <w:rFonts w:ascii="Times New Roman" w:hAnsi="Times New Roman" w:cs="Times New Roman"/>
          <w:sz w:val="24"/>
          <w:szCs w:val="24"/>
        </w:rPr>
      </w:pPr>
      <w:r w:rsidRPr="0004222D">
        <w:rPr>
          <w:rFonts w:ascii="Times New Roman" w:hAnsi="Times New Roman" w:cs="Times New Roman"/>
          <w:sz w:val="24"/>
          <w:szCs w:val="24"/>
        </w:rPr>
        <w:lastRenderedPageBreak/>
        <w:t xml:space="preserve">Kết quả </w:t>
      </w:r>
      <w:r w:rsidR="00AB0A8C">
        <w:rPr>
          <w:rFonts w:ascii="Times New Roman" w:hAnsi="Times New Roman" w:cs="Times New Roman"/>
          <w:sz w:val="24"/>
          <w:szCs w:val="24"/>
        </w:rPr>
        <w:t>hồi quy theo mô hình các ảnh hưởng cố định t</w:t>
      </w:r>
      <w:r w:rsidR="00AB0A8C" w:rsidRPr="0004222D">
        <w:rPr>
          <w:rFonts w:ascii="Times New Roman" w:hAnsi="Times New Roman" w:cs="Times New Roman"/>
          <w:sz w:val="24"/>
          <w:szCs w:val="24"/>
        </w:rPr>
        <w:t xml:space="preserve">rong </w:t>
      </w:r>
      <w:r w:rsidR="00AB0A8C">
        <w:rPr>
          <w:rFonts w:ascii="Times New Roman" w:hAnsi="Times New Roman" w:cs="Times New Roman"/>
          <w:sz w:val="24"/>
          <w:szCs w:val="24"/>
        </w:rPr>
        <w:t xml:space="preserve">bảng </w:t>
      </w:r>
      <w:r w:rsidR="00E66098">
        <w:rPr>
          <w:rFonts w:ascii="Times New Roman" w:hAnsi="Times New Roman" w:cs="Times New Roman"/>
          <w:sz w:val="24"/>
          <w:szCs w:val="24"/>
        </w:rPr>
        <w:t>5</w:t>
      </w:r>
      <w:r w:rsidR="008B070C" w:rsidRPr="0004222D">
        <w:rPr>
          <w:rFonts w:ascii="Times New Roman" w:hAnsi="Times New Roman" w:cs="Times New Roman"/>
          <w:sz w:val="24"/>
          <w:szCs w:val="24"/>
        </w:rPr>
        <w:t xml:space="preserve">ta </w:t>
      </w:r>
      <w:r w:rsidR="00450DAB" w:rsidRPr="0004222D">
        <w:rPr>
          <w:rFonts w:ascii="Times New Roman" w:hAnsi="Times New Roman" w:cs="Times New Roman"/>
          <w:sz w:val="24"/>
          <w:szCs w:val="24"/>
        </w:rPr>
        <w:t>c</w:t>
      </w:r>
      <w:r w:rsidR="008B070C" w:rsidRPr="0004222D">
        <w:rPr>
          <w:rFonts w:ascii="Times New Roman" w:hAnsi="Times New Roman" w:cs="Times New Roman"/>
          <w:sz w:val="24"/>
          <w:szCs w:val="24"/>
        </w:rPr>
        <w:t>ó giá trị</w:t>
      </w:r>
      <w:r w:rsidR="00AB0A8C">
        <w:rPr>
          <w:rFonts w:ascii="Times New Roman" w:hAnsi="Times New Roman" w:cs="Times New Roman"/>
          <w:b/>
        </w:rPr>
        <w:t xml:space="preserve">P&gt;|t| </w:t>
      </w:r>
      <w:r w:rsidR="008B070C" w:rsidRPr="0004222D">
        <w:rPr>
          <w:rFonts w:ascii="Times New Roman" w:hAnsi="Times New Roman" w:cs="Times New Roman"/>
          <w:sz w:val="24"/>
          <w:szCs w:val="24"/>
        </w:rPr>
        <w:t>của</w:t>
      </w:r>
      <w:r w:rsidR="00BB1CEB" w:rsidRPr="0004222D">
        <w:rPr>
          <w:rFonts w:ascii="Times New Roman" w:hAnsi="Times New Roman" w:cs="Times New Roman"/>
          <w:sz w:val="24"/>
          <w:szCs w:val="24"/>
        </w:rPr>
        <w:t xml:space="preserve"> tất cả 5</w:t>
      </w:r>
      <w:r w:rsidR="008B070C" w:rsidRPr="0004222D">
        <w:rPr>
          <w:rFonts w:ascii="Times New Roman" w:hAnsi="Times New Roman" w:cs="Times New Roman"/>
          <w:sz w:val="24"/>
          <w:szCs w:val="24"/>
        </w:rPr>
        <w:t xml:space="preserve"> biến </w:t>
      </w:r>
      <w:r w:rsidR="00BB1CEB" w:rsidRPr="0004222D">
        <w:rPr>
          <w:rFonts w:ascii="Times New Roman" w:hAnsi="Times New Roman" w:cs="Times New Roman"/>
          <w:sz w:val="24"/>
          <w:szCs w:val="24"/>
        </w:rPr>
        <w:t xml:space="preserve">độc lập </w:t>
      </w:r>
      <w:r w:rsidR="008B070C" w:rsidRPr="0004222D">
        <w:rPr>
          <w:rFonts w:ascii="Times New Roman" w:hAnsi="Times New Roman" w:cs="Times New Roman"/>
          <w:sz w:val="24"/>
          <w:szCs w:val="24"/>
        </w:rPr>
        <w:t>đều nhỏ hơn 0,05 nên các biến đưa vào mô hình giải thích được sự tác động của rủi ro tín dụng đến khả năng sinh lời của NHTM với mức ý nghĩa dưới 5% hay độ tin cậ</w:t>
      </w:r>
      <w:r w:rsidR="00952E7A">
        <w:rPr>
          <w:rFonts w:ascii="Times New Roman" w:hAnsi="Times New Roman" w:cs="Times New Roman"/>
          <w:sz w:val="24"/>
          <w:szCs w:val="24"/>
        </w:rPr>
        <w:t>y trên 95%.</w:t>
      </w:r>
    </w:p>
    <w:p w:rsidR="001C7074" w:rsidRDefault="001C7074" w:rsidP="004E08BF">
      <w:pPr>
        <w:pStyle w:val="Default"/>
        <w:spacing w:line="288" w:lineRule="auto"/>
        <w:ind w:firstLine="567"/>
        <w:rPr>
          <w:i/>
          <w:iCs/>
        </w:rPr>
      </w:pPr>
      <w:r w:rsidRPr="00A31FEA">
        <w:t>Mô hình hồi quy dữ liệu bảng FEM được viết lại như sau:</w:t>
      </w:r>
    </w:p>
    <w:p w:rsidR="00373D95" w:rsidRPr="0041692D" w:rsidRDefault="0041692D" w:rsidP="004E08BF">
      <w:pPr>
        <w:pStyle w:val="Default"/>
        <w:spacing w:line="288" w:lineRule="auto"/>
        <w:jc w:val="center"/>
        <w:rPr>
          <w:b/>
          <w:i/>
          <w:lang w:val="fr-FR"/>
        </w:rPr>
      </w:pPr>
      <w:r w:rsidRPr="0041692D">
        <w:rPr>
          <w:i/>
          <w:iCs/>
          <w:lang w:val="fr-FR"/>
        </w:rPr>
        <w:t>ROE</w:t>
      </w:r>
      <w:r w:rsidR="00373D95" w:rsidRPr="0041692D">
        <w:rPr>
          <w:i/>
          <w:iCs/>
          <w:lang w:val="fr-FR"/>
        </w:rPr>
        <w:t xml:space="preserve">it = </w:t>
      </w:r>
      <w:r w:rsidRPr="0041692D">
        <w:rPr>
          <w:i/>
          <w:iCs/>
          <w:lang w:val="fr-FR"/>
        </w:rPr>
        <w:t>0,307 + 0,822</w:t>
      </w:r>
      <w:r w:rsidR="00E22B98" w:rsidRPr="0041692D">
        <w:rPr>
          <w:i/>
          <w:iCs/>
          <w:lang w:val="fr-FR"/>
        </w:rPr>
        <w:t>CAR</w:t>
      </w:r>
      <w:r w:rsidR="00206E4C" w:rsidRPr="0041692D">
        <w:rPr>
          <w:i/>
          <w:iCs/>
          <w:lang w:val="fr-FR"/>
        </w:rPr>
        <w:t>i</w:t>
      </w:r>
      <w:r w:rsidR="00FA3B73" w:rsidRPr="0041692D">
        <w:rPr>
          <w:i/>
          <w:iCs/>
          <w:lang w:val="fr-FR"/>
        </w:rPr>
        <w:t>t</w:t>
      </w:r>
      <w:r w:rsidRPr="0041692D">
        <w:rPr>
          <w:i/>
          <w:iCs/>
          <w:lang w:val="fr-FR"/>
        </w:rPr>
        <w:t>-</w:t>
      </w:r>
      <w:r w:rsidR="00E22B98" w:rsidRPr="0041692D">
        <w:rPr>
          <w:i/>
          <w:iCs/>
          <w:lang w:val="fr-FR"/>
        </w:rPr>
        <w:t>1</w:t>
      </w:r>
      <w:r w:rsidR="00C60058" w:rsidRPr="0041692D">
        <w:rPr>
          <w:i/>
          <w:iCs/>
          <w:lang w:val="fr-FR"/>
        </w:rPr>
        <w:t>,</w:t>
      </w:r>
      <w:r w:rsidR="00E22B98" w:rsidRPr="0041692D">
        <w:rPr>
          <w:i/>
          <w:iCs/>
          <w:lang w:val="fr-FR"/>
        </w:rPr>
        <w:t>1</w:t>
      </w:r>
      <w:r w:rsidRPr="0041692D">
        <w:rPr>
          <w:i/>
          <w:iCs/>
          <w:lang w:val="fr-FR"/>
        </w:rPr>
        <w:t xml:space="preserve">58 </w:t>
      </w:r>
      <w:r w:rsidR="00FA3B73" w:rsidRPr="0041692D">
        <w:rPr>
          <w:i/>
          <w:iCs/>
          <w:lang w:val="fr-FR"/>
        </w:rPr>
        <w:t>NPLdn</w:t>
      </w:r>
      <w:r w:rsidR="00206E4C" w:rsidRPr="0041692D">
        <w:rPr>
          <w:i/>
          <w:iCs/>
          <w:lang w:val="fr-FR"/>
        </w:rPr>
        <w:t>i</w:t>
      </w:r>
      <w:r w:rsidR="00FA3B73" w:rsidRPr="0041692D">
        <w:rPr>
          <w:i/>
          <w:iCs/>
          <w:lang w:val="fr-FR"/>
        </w:rPr>
        <w:t>t</w:t>
      </w:r>
      <w:r w:rsidR="00E22B98" w:rsidRPr="0041692D">
        <w:rPr>
          <w:i/>
          <w:iCs/>
          <w:lang w:val="fr-FR"/>
        </w:rPr>
        <w:t>-</w:t>
      </w:r>
      <w:r w:rsidRPr="0041692D">
        <w:rPr>
          <w:i/>
          <w:iCs/>
          <w:lang w:val="fr-FR"/>
        </w:rPr>
        <w:t>1,965 NPLmv</w:t>
      </w:r>
      <w:r w:rsidR="00206E4C" w:rsidRPr="0041692D">
        <w:rPr>
          <w:i/>
          <w:iCs/>
          <w:lang w:val="fr-FR"/>
        </w:rPr>
        <w:t>i</w:t>
      </w:r>
      <w:r w:rsidR="00FA3B73" w:rsidRPr="0041692D">
        <w:rPr>
          <w:i/>
          <w:iCs/>
          <w:lang w:val="fr-FR"/>
        </w:rPr>
        <w:t>t</w:t>
      </w:r>
      <w:r w:rsidRPr="0041692D">
        <w:rPr>
          <w:i/>
          <w:iCs/>
          <w:lang w:val="fr-FR"/>
        </w:rPr>
        <w:t xml:space="preserve">-2,383LLPR </w:t>
      </w:r>
      <w:r w:rsidR="00952E7A">
        <w:rPr>
          <w:i/>
          <w:iCs/>
          <w:lang w:val="fr-FR"/>
        </w:rPr>
        <w:t xml:space="preserve">+ </w:t>
      </w:r>
      <w:r w:rsidRPr="0041692D">
        <w:rPr>
          <w:i/>
          <w:iCs/>
          <w:lang w:val="fr-FR"/>
        </w:rPr>
        <w:t xml:space="preserve">0,0342 </w:t>
      </w:r>
      <w:r w:rsidR="00E22B98" w:rsidRPr="0041692D">
        <w:rPr>
          <w:i/>
          <w:iCs/>
          <w:lang w:val="fr-FR"/>
        </w:rPr>
        <w:t>7</w:t>
      </w:r>
      <w:r w:rsidR="00FA3B73" w:rsidRPr="0041692D">
        <w:rPr>
          <w:i/>
          <w:iCs/>
          <w:lang w:val="fr-FR"/>
        </w:rPr>
        <w:t>LTD</w:t>
      </w:r>
      <w:r w:rsidR="00206E4C" w:rsidRPr="0041692D">
        <w:rPr>
          <w:i/>
          <w:iCs/>
          <w:lang w:val="fr-FR"/>
        </w:rPr>
        <w:t>i</w:t>
      </w:r>
      <w:r w:rsidR="00FA3B73" w:rsidRPr="0041692D">
        <w:rPr>
          <w:i/>
          <w:iCs/>
          <w:lang w:val="fr-FR"/>
        </w:rPr>
        <w:t>t</w:t>
      </w:r>
    </w:p>
    <w:p w:rsidR="001144B3" w:rsidRPr="007E3C06" w:rsidRDefault="000A68BC" w:rsidP="004E08BF">
      <w:pPr>
        <w:spacing w:after="0" w:line="288" w:lineRule="auto"/>
        <w:ind w:firstLine="567"/>
        <w:jc w:val="both"/>
        <w:rPr>
          <w:rFonts w:ascii="Times New Roman" w:hAnsi="Times New Roman" w:cs="Times New Roman"/>
          <w:sz w:val="24"/>
          <w:szCs w:val="24"/>
          <w:lang w:val="fr-FR"/>
        </w:rPr>
      </w:pPr>
      <w:r w:rsidRPr="00AD4853">
        <w:rPr>
          <w:rFonts w:ascii="Times New Roman" w:hAnsi="Times New Roman" w:cs="Times New Roman"/>
          <w:sz w:val="24"/>
          <w:szCs w:val="24"/>
          <w:lang w:val="fr-FR"/>
        </w:rPr>
        <w:t>C</w:t>
      </w:r>
      <w:r w:rsidR="00BF1F52" w:rsidRPr="00AD4853">
        <w:rPr>
          <w:rFonts w:ascii="Times New Roman" w:hAnsi="Times New Roman" w:cs="Times New Roman"/>
          <w:sz w:val="24"/>
          <w:szCs w:val="24"/>
          <w:lang w:val="fr-FR"/>
        </w:rPr>
        <w:t xml:space="preserve">ác biến đưa vào mô hình FEM giải thích được </w:t>
      </w:r>
      <w:r w:rsidR="00580F7E">
        <w:rPr>
          <w:rFonts w:ascii="Times New Roman" w:hAnsi="Times New Roman" w:cs="Times New Roman"/>
          <w:sz w:val="24"/>
          <w:szCs w:val="24"/>
          <w:lang w:val="fr-FR"/>
        </w:rPr>
        <w:t>59,1</w:t>
      </w:r>
      <w:r w:rsidR="00BF1F52" w:rsidRPr="00AD4853">
        <w:rPr>
          <w:rFonts w:ascii="Times New Roman" w:hAnsi="Times New Roman" w:cs="Times New Roman"/>
          <w:sz w:val="24"/>
          <w:szCs w:val="24"/>
          <w:lang w:val="fr-FR"/>
        </w:rPr>
        <w:t xml:space="preserve">% về </w:t>
      </w:r>
      <w:r w:rsidR="00580F7E">
        <w:rPr>
          <w:rFonts w:ascii="Times New Roman" w:hAnsi="Times New Roman" w:cs="Times New Roman"/>
          <w:sz w:val="24"/>
          <w:szCs w:val="24"/>
          <w:lang w:val="fr-FR"/>
        </w:rPr>
        <w:t xml:space="preserve">tác động của rủi ro tín dụng đến </w:t>
      </w:r>
      <w:r w:rsidR="00D5658D">
        <w:rPr>
          <w:rFonts w:ascii="Times New Roman" w:hAnsi="Times New Roman" w:cs="Times New Roman"/>
          <w:sz w:val="24"/>
          <w:szCs w:val="24"/>
          <w:lang w:val="fr-FR"/>
        </w:rPr>
        <w:t>k</w:t>
      </w:r>
      <w:r w:rsidR="00580F7E">
        <w:rPr>
          <w:rFonts w:ascii="Times New Roman" w:hAnsi="Times New Roman" w:cs="Times New Roman"/>
          <w:sz w:val="24"/>
          <w:szCs w:val="24"/>
          <w:lang w:val="fr-FR"/>
        </w:rPr>
        <w:t>hả năng sinh lời của NHTM</w:t>
      </w:r>
      <w:r w:rsidR="00BF1F52" w:rsidRPr="00AD4853">
        <w:rPr>
          <w:rFonts w:ascii="Times New Roman" w:hAnsi="Times New Roman" w:cs="Times New Roman"/>
          <w:sz w:val="24"/>
          <w:szCs w:val="24"/>
          <w:lang w:val="fr-FR"/>
        </w:rPr>
        <w:t xml:space="preserve">. </w:t>
      </w:r>
      <w:r w:rsidR="00923F8C" w:rsidRPr="00AD4853">
        <w:rPr>
          <w:rFonts w:ascii="Times New Roman" w:hAnsi="Times New Roman" w:cs="Times New Roman"/>
          <w:sz w:val="24"/>
          <w:szCs w:val="24"/>
          <w:lang w:val="fr-FR"/>
        </w:rPr>
        <w:t xml:space="preserve">Kết quả hồi quy cho thấy, </w:t>
      </w:r>
      <w:r w:rsidR="00580F7E">
        <w:rPr>
          <w:rFonts w:ascii="Times New Roman" w:hAnsi="Times New Roman" w:cs="Times New Roman"/>
          <w:sz w:val="24"/>
          <w:szCs w:val="24"/>
          <w:lang w:val="fr-FR"/>
        </w:rPr>
        <w:t xml:space="preserve">tỷ lệ an toàn vốn tối thiểu và tỷ lệ dư nợ so với tổng tiền gửi có tác động tích cực đến khả năng sinh lời, các tiêu chí về nợ xấu và dự phòng rủi ro  cho vay có tác động ngược chiều. </w:t>
      </w:r>
      <w:r w:rsidR="00BB1CEB">
        <w:rPr>
          <w:rFonts w:ascii="Times New Roman" w:hAnsi="Times New Roman" w:cs="Times New Roman"/>
          <w:sz w:val="24"/>
          <w:szCs w:val="24"/>
          <w:lang w:val="fr-FR"/>
        </w:rPr>
        <w:t xml:space="preserve">Tỷ lệ dự phòng rủi ro tín </w:t>
      </w:r>
      <w:r w:rsidR="00BB1CEB">
        <w:rPr>
          <w:rFonts w:ascii="Times New Roman" w:hAnsi="Times New Roman" w:cs="Times New Roman"/>
          <w:sz w:val="24"/>
          <w:szCs w:val="24"/>
          <w:lang w:val="fr-FR"/>
        </w:rPr>
        <w:lastRenderedPageBreak/>
        <w:t xml:space="preserve">dụng (LLPR) có tác động tiêu cực và lớn nhất đến khả năng sinh lời của NHTM. </w:t>
      </w:r>
      <w:r w:rsidR="001144B3" w:rsidRPr="007E3C06">
        <w:rPr>
          <w:rFonts w:ascii="Times New Roman" w:hAnsi="Times New Roman" w:cs="Times New Roman"/>
          <w:sz w:val="24"/>
          <w:szCs w:val="24"/>
          <w:lang w:val="fr-FR"/>
        </w:rPr>
        <w:t xml:space="preserve">Dự phòng rủi ro là số tiền được trích lập và hạch toán vào chi phí hoạt động để dự phòng cho những tổn thất có thể xảy ra đối với nợ của ngân hàng, do vậy tỷ lệ đự phòng được ghi nhận như một khoản chi phí làm giảm khả năng sinh lời của NHTM. </w:t>
      </w:r>
    </w:p>
    <w:p w:rsidR="00E76669" w:rsidRDefault="00BB1CEB" w:rsidP="004E08BF">
      <w:pPr>
        <w:spacing w:after="0" w:line="288" w:lineRule="auto"/>
        <w:ind w:firstLine="567"/>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Giả định các nhân tố khác không đổi khi LLPR tăng lên 1 đơn vị sẽ làm </w:t>
      </w:r>
      <w:r w:rsidR="00DF515B">
        <w:rPr>
          <w:rFonts w:ascii="Times New Roman" w:hAnsi="Times New Roman" w:cs="Times New Roman"/>
          <w:sz w:val="24"/>
          <w:szCs w:val="24"/>
          <w:lang w:val="fr-FR"/>
        </w:rPr>
        <w:t>giảm</w:t>
      </w:r>
      <w:r>
        <w:rPr>
          <w:rFonts w:ascii="Times New Roman" w:hAnsi="Times New Roman" w:cs="Times New Roman"/>
          <w:sz w:val="24"/>
          <w:szCs w:val="24"/>
          <w:lang w:val="fr-FR"/>
        </w:rPr>
        <w:t xml:space="preserve"> khả năng sinh lời củ</w:t>
      </w:r>
      <w:r w:rsidR="00DF515B">
        <w:rPr>
          <w:rFonts w:ascii="Times New Roman" w:hAnsi="Times New Roman" w:cs="Times New Roman"/>
          <w:sz w:val="24"/>
          <w:szCs w:val="24"/>
          <w:lang w:val="fr-FR"/>
        </w:rPr>
        <w:t>a NHTM là</w:t>
      </w:r>
      <w:r>
        <w:rPr>
          <w:rFonts w:ascii="Times New Roman" w:hAnsi="Times New Roman" w:cs="Times New Roman"/>
          <w:sz w:val="24"/>
          <w:szCs w:val="24"/>
          <w:lang w:val="fr-FR"/>
        </w:rPr>
        <w:t xml:space="preserve"> 2,383 </w:t>
      </w:r>
      <w:r w:rsidR="00D54E05">
        <w:rPr>
          <w:rFonts w:ascii="Times New Roman" w:hAnsi="Times New Roman" w:cs="Times New Roman"/>
          <w:sz w:val="24"/>
          <w:szCs w:val="24"/>
          <w:lang w:val="fr-FR"/>
        </w:rPr>
        <w:t>lần</w:t>
      </w:r>
      <w:r w:rsidR="00DF515B">
        <w:rPr>
          <w:rFonts w:ascii="Times New Roman" w:hAnsi="Times New Roman" w:cs="Times New Roman"/>
          <w:sz w:val="24"/>
          <w:szCs w:val="24"/>
          <w:lang w:val="fr-FR"/>
        </w:rPr>
        <w:t xml:space="preserve">, </w:t>
      </w:r>
      <w:r w:rsidR="00D54E05">
        <w:rPr>
          <w:rFonts w:ascii="Times New Roman" w:hAnsi="Times New Roman" w:cs="Times New Roman"/>
          <w:sz w:val="24"/>
          <w:szCs w:val="24"/>
          <w:lang w:val="fr-FR"/>
        </w:rPr>
        <w:t xml:space="preserve">tương tự như vậy tỷ lệ nợ xấu so với dư nợ tăng lên 1 đơn vị sẽ làm giảm khả năng sinh lời là 1,158 lần, tỷ lệ nợ có khả năng mất vốn tăng lên 1 đơn vị sẽ làm giảm khả năng sinh lời là 1,965 lần. </w:t>
      </w:r>
    </w:p>
    <w:p w:rsidR="00B24A8D" w:rsidRPr="007E3C06" w:rsidRDefault="00F13DE8" w:rsidP="008124C4">
      <w:pPr>
        <w:widowControl w:val="0"/>
        <w:spacing w:after="0" w:line="288" w:lineRule="auto"/>
        <w:ind w:firstLine="567"/>
        <w:jc w:val="both"/>
        <w:rPr>
          <w:rFonts w:ascii="Times New Roman" w:hAnsi="Times New Roman" w:cs="Times New Roman"/>
          <w:sz w:val="24"/>
          <w:szCs w:val="24"/>
          <w:lang w:val="fr-FR"/>
        </w:rPr>
      </w:pPr>
      <w:r w:rsidRPr="007E3C06">
        <w:rPr>
          <w:rFonts w:ascii="Times New Roman" w:hAnsi="Times New Roman" w:cs="Times New Roman"/>
          <w:sz w:val="24"/>
          <w:szCs w:val="24"/>
          <w:lang w:val="fr-FR"/>
        </w:rPr>
        <w:t>Sau quá trình tái cấ</w:t>
      </w:r>
      <w:r w:rsidR="00077E03" w:rsidRPr="007E3C06">
        <w:rPr>
          <w:rFonts w:ascii="Times New Roman" w:hAnsi="Times New Roman" w:cs="Times New Roman"/>
          <w:sz w:val="24"/>
          <w:szCs w:val="24"/>
          <w:lang w:val="fr-FR"/>
        </w:rPr>
        <w:t xml:space="preserve">u trúc giai đoạn 2011-2015, nợ xấu của hệ thống NHTM có xu hướng giảm </w:t>
      </w:r>
      <w:r w:rsidR="00523212" w:rsidRPr="007E3C06">
        <w:rPr>
          <w:rFonts w:ascii="Times New Roman" w:hAnsi="Times New Roman" w:cs="Times New Roman"/>
          <w:sz w:val="24"/>
          <w:szCs w:val="24"/>
          <w:lang w:val="fr-FR"/>
        </w:rPr>
        <w:t xml:space="preserve">về tỷ lệ, theo NHNN tỷ lệ nợ xấu cuối năm </w:t>
      </w:r>
      <w:r w:rsidR="00B24A8D" w:rsidRPr="007E3C06">
        <w:rPr>
          <w:rFonts w:ascii="Times New Roman" w:hAnsi="Times New Roman" w:cs="Times New Roman"/>
          <w:sz w:val="24"/>
          <w:szCs w:val="24"/>
          <w:lang w:val="fr-FR"/>
        </w:rPr>
        <w:t xml:space="preserve">2011 là 4,12%, đến </w:t>
      </w:r>
      <w:r w:rsidR="00B24A8D" w:rsidRPr="007E3C06">
        <w:rPr>
          <w:rFonts w:ascii="Times New Roman" w:hAnsi="Times New Roman" w:cs="Times New Roman"/>
          <w:sz w:val="24"/>
          <w:szCs w:val="24"/>
          <w:lang w:val="fr-FR"/>
        </w:rPr>
        <w:lastRenderedPageBreak/>
        <w:t xml:space="preserve">năm 2017 tỷ lệ này là 2,56%. </w:t>
      </w:r>
      <w:r w:rsidR="00B24A8D" w:rsidRPr="00B24A8D">
        <w:rPr>
          <w:rFonts w:ascii="Times New Roman" w:hAnsi="Times New Roman" w:cs="Times New Roman"/>
          <w:sz w:val="24"/>
          <w:szCs w:val="24"/>
          <w:lang w:val="fr-FR"/>
        </w:rPr>
        <w:t>Nhưng về số tuyệt đối, nợ xấu có xu hướng gia tăng trong giai đoạn 2012-2016. Nợ xấu từ</w:t>
      </w:r>
      <w:r w:rsidR="00B24A8D" w:rsidRPr="007E3C06">
        <w:rPr>
          <w:rFonts w:ascii="Times New Roman" w:hAnsi="Times New Roman" w:cs="Times New Roman"/>
          <w:sz w:val="24"/>
          <w:szCs w:val="24"/>
          <w:lang w:val="fr-FR"/>
        </w:rPr>
        <w:t xml:space="preserve"> 118</w:t>
      </w:r>
      <w:r w:rsidR="00B24A8D" w:rsidRPr="00B24A8D">
        <w:rPr>
          <w:rFonts w:ascii="Times New Roman" w:hAnsi="Times New Roman" w:cs="Times New Roman"/>
          <w:sz w:val="24"/>
          <w:szCs w:val="24"/>
          <w:lang w:val="fr-FR"/>
        </w:rPr>
        <w:t>408 tỷ đồng năm 2012, tăng lên 145183 tỷ đồng năm 2014 và vượt 150000 tỷ đồng năm 2016</w:t>
      </w:r>
      <w:r w:rsidR="00B24A8D" w:rsidRPr="007E3C06">
        <w:rPr>
          <w:rFonts w:ascii="Times New Roman" w:hAnsi="Times New Roman" w:cs="Times New Roman"/>
          <w:sz w:val="24"/>
          <w:szCs w:val="24"/>
          <w:lang w:val="fr-FR"/>
        </w:rPr>
        <w:t>.Theo số liệu của NHNN nợ</w:t>
      </w:r>
      <w:r w:rsidR="00B24A8D" w:rsidRPr="00B24A8D">
        <w:rPr>
          <w:rFonts w:ascii="Times New Roman" w:hAnsi="Times New Roman" w:cs="Times New Roman"/>
          <w:sz w:val="24"/>
          <w:szCs w:val="24"/>
          <w:lang w:val="fr-FR"/>
        </w:rPr>
        <w:t xml:space="preserve"> xấu nội bảng, nợ đã bán cho VAMC chưa xử lý và nợ xấu tiềm ẩn trong toàn hệ thống</w:t>
      </w:r>
      <w:r w:rsidR="00B24A8D" w:rsidRPr="007E3C06">
        <w:rPr>
          <w:rFonts w:ascii="Times New Roman" w:hAnsi="Times New Roman" w:cs="Times New Roman"/>
          <w:sz w:val="24"/>
          <w:szCs w:val="24"/>
          <w:lang w:val="fr-FR"/>
        </w:rPr>
        <w:t xml:space="preserve"> năm 2016</w:t>
      </w:r>
      <w:r w:rsidR="00B24A8D" w:rsidRPr="00B24A8D">
        <w:rPr>
          <w:rFonts w:ascii="Times New Roman" w:hAnsi="Times New Roman" w:cs="Times New Roman"/>
          <w:sz w:val="24"/>
          <w:szCs w:val="24"/>
          <w:lang w:val="fr-FR"/>
        </w:rPr>
        <w:t xml:space="preserve"> là khoảng 600,000 tỷ đồng, chiếm 10</w:t>
      </w:r>
      <w:r w:rsidR="00B24A8D" w:rsidRPr="007E3C06">
        <w:rPr>
          <w:rFonts w:ascii="Times New Roman" w:hAnsi="Times New Roman" w:cs="Times New Roman"/>
          <w:sz w:val="24"/>
          <w:szCs w:val="24"/>
          <w:lang w:val="fr-FR"/>
        </w:rPr>
        <w:t>,</w:t>
      </w:r>
      <w:r w:rsidR="00B24A8D" w:rsidRPr="00B24A8D">
        <w:rPr>
          <w:rFonts w:ascii="Times New Roman" w:hAnsi="Times New Roman" w:cs="Times New Roman"/>
          <w:sz w:val="24"/>
          <w:szCs w:val="24"/>
          <w:lang w:val="fr-FR"/>
        </w:rPr>
        <w:t>08% tổng dư nợ</w:t>
      </w:r>
      <w:r w:rsidR="00B24A8D" w:rsidRPr="007E3C06">
        <w:rPr>
          <w:rFonts w:ascii="Times New Roman" w:hAnsi="Times New Roman" w:cs="Times New Roman"/>
          <w:sz w:val="24"/>
          <w:szCs w:val="24"/>
          <w:lang w:val="fr-FR"/>
        </w:rPr>
        <w:t>, năm 2017 tỷ lệ này là 9,5%. Như vậy nợ xấu tềm ẩn của hệ thống NHTM đang ở rấ</w:t>
      </w:r>
      <w:r w:rsidR="001144B3" w:rsidRPr="007E3C06">
        <w:rPr>
          <w:rFonts w:ascii="Times New Roman" w:hAnsi="Times New Roman" w:cs="Times New Roman"/>
          <w:sz w:val="24"/>
          <w:szCs w:val="24"/>
          <w:lang w:val="fr-FR"/>
        </w:rPr>
        <w:t xml:space="preserve">t cao, đặc biệt là nợ xấu ở nhóm 5 (nợ có khả năng mất vốn) tăng so với 2016. </w:t>
      </w:r>
    </w:p>
    <w:p w:rsidR="00F618F9" w:rsidRPr="00B24A8D" w:rsidRDefault="00F618F9" w:rsidP="008124C4">
      <w:pPr>
        <w:widowControl w:val="0"/>
        <w:spacing w:after="0" w:line="288" w:lineRule="auto"/>
        <w:ind w:firstLine="567"/>
        <w:jc w:val="both"/>
        <w:rPr>
          <w:rFonts w:ascii="Times New Roman" w:hAnsi="Times New Roman" w:cs="Times New Roman"/>
          <w:sz w:val="24"/>
          <w:szCs w:val="24"/>
          <w:lang w:val="fr-FR"/>
        </w:rPr>
      </w:pPr>
      <w:r w:rsidRPr="007E3C06">
        <w:rPr>
          <w:rFonts w:ascii="Times New Roman" w:hAnsi="Times New Roman" w:cs="Times New Roman"/>
          <w:sz w:val="24"/>
          <w:szCs w:val="24"/>
          <w:lang w:val="fr-FR"/>
        </w:rPr>
        <w:t xml:space="preserve">Tỷ lệ an toàn vốn tối thiểu (CAR) và tỷ lệ dư nợ so với tổng tiền gửi (LTD) có tác động tích cực đến khả năng sinh lời của NHTM. Giả định các nhân tố khác không đổi, khi CAR và LTD tăng lên 1 đơn vị làm cho ROE tăng lần lượt là 0,822 và 0,0342 lần. </w:t>
      </w:r>
    </w:p>
    <w:p w:rsidR="0060053C" w:rsidRPr="00F618F9" w:rsidRDefault="0060053C" w:rsidP="004E08BF">
      <w:pPr>
        <w:tabs>
          <w:tab w:val="left" w:pos="2235"/>
        </w:tabs>
        <w:spacing w:before="120" w:after="120" w:line="288" w:lineRule="auto"/>
        <w:rPr>
          <w:rFonts w:ascii="Times New Roman" w:hAnsi="Times New Roman" w:cs="Times New Roman"/>
          <w:b/>
          <w:sz w:val="24"/>
          <w:szCs w:val="24"/>
          <w:lang w:val="fr-FR"/>
        </w:rPr>
      </w:pPr>
      <w:r w:rsidRPr="00F618F9">
        <w:rPr>
          <w:rFonts w:ascii="Times New Roman" w:hAnsi="Times New Roman" w:cs="Times New Roman"/>
          <w:b/>
          <w:sz w:val="24"/>
          <w:szCs w:val="24"/>
          <w:lang w:val="fr-FR"/>
        </w:rPr>
        <w:t>4. KẾT LUẬN</w:t>
      </w:r>
    </w:p>
    <w:p w:rsidR="00D754CA" w:rsidRDefault="00A73665" w:rsidP="004E08BF">
      <w:pPr>
        <w:spacing w:after="0" w:line="288" w:lineRule="auto"/>
        <w:ind w:firstLine="567"/>
        <w:jc w:val="both"/>
        <w:rPr>
          <w:rFonts w:ascii="Times New Roman" w:hAnsi="Times New Roman" w:cs="Times New Roman"/>
          <w:sz w:val="24"/>
          <w:szCs w:val="24"/>
          <w:lang w:val="fr-FR"/>
        </w:rPr>
      </w:pPr>
      <w:r w:rsidRPr="00F618F9">
        <w:rPr>
          <w:rFonts w:ascii="Times New Roman" w:hAnsi="Times New Roman" w:cs="Times New Roman"/>
          <w:sz w:val="24"/>
          <w:szCs w:val="24"/>
          <w:lang w:val="fr-FR"/>
        </w:rPr>
        <w:lastRenderedPageBreak/>
        <w:t xml:space="preserve">Nghiên cứu </w:t>
      </w:r>
      <w:r w:rsidR="00D754CA">
        <w:rPr>
          <w:rFonts w:ascii="Times New Roman" w:hAnsi="Times New Roman" w:cs="Times New Roman"/>
          <w:sz w:val="24"/>
          <w:szCs w:val="24"/>
          <w:lang w:val="fr-FR"/>
        </w:rPr>
        <w:t xml:space="preserve">kiểm tra thực nghiệm sự </w:t>
      </w:r>
      <w:r w:rsidR="00F618F9" w:rsidRPr="00F618F9">
        <w:rPr>
          <w:rFonts w:ascii="Times New Roman" w:hAnsi="Times New Roman" w:cs="Times New Roman"/>
          <w:sz w:val="24"/>
          <w:szCs w:val="24"/>
          <w:lang w:val="fr-FR"/>
        </w:rPr>
        <w:t>tác động của rủi ro tín dụng đến khả năng sinh lời của NHTM Việ</w:t>
      </w:r>
      <w:r w:rsidR="00D754CA">
        <w:rPr>
          <w:rFonts w:ascii="Times New Roman" w:hAnsi="Times New Roman" w:cs="Times New Roman"/>
          <w:sz w:val="24"/>
          <w:szCs w:val="24"/>
          <w:lang w:val="fr-FR"/>
        </w:rPr>
        <w:t xml:space="preserve">t Nam ứng dụng dữ liệu bảng trong khoảng thời gian 11 năm. </w:t>
      </w:r>
      <w:r w:rsidRPr="00F618F9">
        <w:rPr>
          <w:rFonts w:ascii="Times New Roman" w:hAnsi="Times New Roman" w:cs="Times New Roman"/>
          <w:sz w:val="24"/>
          <w:szCs w:val="24"/>
          <w:lang w:val="fr-FR"/>
        </w:rPr>
        <w:t xml:space="preserve">Kết quả </w:t>
      </w:r>
      <w:r w:rsidR="00F618F9">
        <w:rPr>
          <w:rFonts w:ascii="Times New Roman" w:hAnsi="Times New Roman" w:cs="Times New Roman"/>
          <w:sz w:val="24"/>
          <w:szCs w:val="24"/>
          <w:lang w:val="fr-FR"/>
        </w:rPr>
        <w:t>nghiên cứu</w:t>
      </w:r>
      <w:r w:rsidR="00D754CA">
        <w:rPr>
          <w:rFonts w:ascii="Times New Roman" w:hAnsi="Times New Roman" w:cs="Times New Roman"/>
          <w:sz w:val="24"/>
          <w:szCs w:val="24"/>
          <w:lang w:val="fr-FR"/>
        </w:rPr>
        <w:t xml:space="preserve"> cho thấy tất cả các tiêu chí về rủi ro tín dụng đều tác động đáng kể đến khả năng sinh lời của NHTM,C</w:t>
      </w:r>
      <w:r w:rsidR="00F618F9">
        <w:rPr>
          <w:rFonts w:ascii="Times New Roman" w:hAnsi="Times New Roman" w:cs="Times New Roman"/>
          <w:sz w:val="24"/>
          <w:szCs w:val="24"/>
          <w:lang w:val="fr-FR"/>
        </w:rPr>
        <w:t xml:space="preserve">ác tiêu chí về nợ xấu và dự phòng rủi ro tín dụng tác động tiêu cực đến khả năng sinh lời của NHTM với độ tin cậy 95%. </w:t>
      </w:r>
      <w:r w:rsidR="007E3C06">
        <w:rPr>
          <w:rFonts w:ascii="Times New Roman" w:hAnsi="Times New Roman" w:cs="Times New Roman"/>
          <w:sz w:val="24"/>
          <w:szCs w:val="24"/>
          <w:lang w:val="fr-FR"/>
        </w:rPr>
        <w:t>Tỷ lệ an toàn vốn có mối quan hệ tích cực đến khả năng sinh lời, điều này chứng tỏ các NHTM duy trì tỷ lệ an toàn vốn cao hơn sẽ có tác động tích cực đến lợi nhuận của ngân hàng. Bên cạnh đó tỷ lệ LTD cũng có tác động tích cực đến khả năng sinh lời của ngân hàng mặc dù tác động này là không đáng kể. Nghiên cứu cũng chỉ ra rằng, các NHTM cần quản lý rủi ro tín dụng hiệu quả nhằm giảm tỷ lệ nợ xấu, đặc biệt là các khoản nợ có khả năng mất vốn nhằm nâng cao tính an toàn và khả năng sinh lời trong hoạt động kinh doanh của ngân hàng.</w:t>
      </w:r>
    </w:p>
    <w:p w:rsidR="008D687B" w:rsidRDefault="008D687B" w:rsidP="00A165ED">
      <w:pPr>
        <w:spacing w:before="120" w:after="120" w:line="240" w:lineRule="auto"/>
        <w:rPr>
          <w:rFonts w:ascii="Times New Roman" w:hAnsi="Times New Roman" w:cs="Times New Roman"/>
          <w:b/>
          <w:sz w:val="24"/>
          <w:szCs w:val="24"/>
          <w:lang w:val="fr-FR"/>
        </w:rPr>
        <w:sectPr w:rsidR="008D687B" w:rsidSect="002E7582">
          <w:footnotePr>
            <w:numFmt w:val="upperRoman"/>
          </w:footnotePr>
          <w:type w:val="continuous"/>
          <w:pgSz w:w="10773" w:h="15309" w:code="9"/>
          <w:pgMar w:top="1134" w:right="1134" w:bottom="1134" w:left="1134" w:header="0" w:footer="0" w:gutter="0"/>
          <w:cols w:num="2" w:space="425"/>
          <w:docGrid w:linePitch="360"/>
        </w:sectPr>
      </w:pPr>
    </w:p>
    <w:p w:rsidR="002657D1" w:rsidRPr="007E3C06" w:rsidRDefault="00AF5556" w:rsidP="00717FC0">
      <w:pPr>
        <w:spacing w:before="240" w:after="120" w:line="240" w:lineRule="auto"/>
        <w:rPr>
          <w:rFonts w:ascii="Times New Roman" w:hAnsi="Times New Roman" w:cs="Times New Roman"/>
          <w:b/>
          <w:sz w:val="24"/>
          <w:szCs w:val="24"/>
          <w:lang w:val="fr-FR"/>
        </w:rPr>
      </w:pPr>
      <w:r w:rsidRPr="007E3C06">
        <w:rPr>
          <w:rFonts w:ascii="Times New Roman" w:hAnsi="Times New Roman" w:cs="Times New Roman"/>
          <w:b/>
          <w:sz w:val="24"/>
          <w:szCs w:val="24"/>
          <w:lang w:val="fr-FR"/>
        </w:rPr>
        <w:lastRenderedPageBreak/>
        <w:t>TÀI LIỆU THAM KHẢO</w:t>
      </w:r>
    </w:p>
    <w:p w:rsidR="00D636BB" w:rsidRPr="00232F64" w:rsidRDefault="00D40570" w:rsidP="004D6C2F">
      <w:pPr>
        <w:autoSpaceDE w:val="0"/>
        <w:autoSpaceDN w:val="0"/>
        <w:adjustRightInd w:val="0"/>
        <w:spacing w:before="120" w:after="0" w:line="240" w:lineRule="auto"/>
        <w:jc w:val="both"/>
        <w:rPr>
          <w:rFonts w:ascii="Times New Roman" w:hAnsi="Times New Roman" w:cs="Times New Roman"/>
          <w:b/>
          <w:szCs w:val="24"/>
        </w:rPr>
      </w:pPr>
      <w:r w:rsidRPr="00232F64">
        <w:rPr>
          <w:rFonts w:ascii="Times New Roman" w:hAnsi="Times New Roman" w:cs="Times New Roman"/>
          <w:b/>
          <w:szCs w:val="24"/>
          <w:lang w:val="fr-FR"/>
        </w:rPr>
        <w:t>T</w:t>
      </w:r>
      <w:r w:rsidR="00D636BB" w:rsidRPr="00232F64">
        <w:rPr>
          <w:rFonts w:ascii="Times New Roman" w:hAnsi="Times New Roman" w:cs="Times New Roman"/>
          <w:b/>
          <w:szCs w:val="24"/>
          <w:lang w:val="fr-FR"/>
        </w:rPr>
        <w:t>iếng Vi</w:t>
      </w:r>
      <w:r w:rsidR="000D2756" w:rsidRPr="00232F64">
        <w:rPr>
          <w:rFonts w:ascii="Times New Roman" w:hAnsi="Times New Roman" w:cs="Times New Roman"/>
          <w:b/>
          <w:szCs w:val="24"/>
          <w:lang w:val="fr-FR"/>
        </w:rPr>
        <w:t>ệ</w:t>
      </w:r>
      <w:r w:rsidR="00D636BB" w:rsidRPr="00232F64">
        <w:rPr>
          <w:rFonts w:ascii="Times New Roman" w:hAnsi="Times New Roman" w:cs="Times New Roman"/>
          <w:b/>
          <w:szCs w:val="24"/>
          <w:lang w:val="fr-FR"/>
        </w:rPr>
        <w:t>t</w:t>
      </w:r>
      <w:r w:rsidR="00232F64" w:rsidRPr="00232F64">
        <w:rPr>
          <w:rFonts w:ascii="Times New Roman" w:hAnsi="Times New Roman" w:cs="Times New Roman"/>
          <w:b/>
          <w:szCs w:val="24"/>
          <w:lang w:val="fr-FR"/>
        </w:rPr>
        <w:t> :</w:t>
      </w:r>
    </w:p>
    <w:p w:rsidR="007E3C06" w:rsidRPr="005A2E7D" w:rsidRDefault="00EA0D84" w:rsidP="004D6C2F">
      <w:pPr>
        <w:autoSpaceDE w:val="0"/>
        <w:autoSpaceDN w:val="0"/>
        <w:adjustRightInd w:val="0"/>
        <w:spacing w:before="120" w:after="0" w:line="240" w:lineRule="auto"/>
        <w:ind w:left="425" w:hanging="425"/>
        <w:jc w:val="both"/>
        <w:rPr>
          <w:rFonts w:ascii="Times New Roman" w:hAnsi="Times New Roman" w:cs="Times New Roman"/>
        </w:rPr>
      </w:pPr>
      <w:r w:rsidRPr="00906771">
        <w:rPr>
          <w:rFonts w:ascii="Times New Roman" w:hAnsi="Times New Roman" w:cs="Times New Roman"/>
          <w:lang w:val="vi-VN"/>
        </w:rPr>
        <w:t>[</w:t>
      </w:r>
      <w:r w:rsidR="002B5082" w:rsidRPr="00906771">
        <w:rPr>
          <w:rFonts w:ascii="Times New Roman" w:hAnsi="Times New Roman" w:cs="Times New Roman"/>
          <w:lang w:val="vi-VN"/>
        </w:rPr>
        <w:t>1</w:t>
      </w:r>
      <w:r w:rsidRPr="00906771">
        <w:rPr>
          <w:rFonts w:ascii="Times New Roman" w:hAnsi="Times New Roman" w:cs="Times New Roman"/>
          <w:lang w:val="vi-VN"/>
        </w:rPr>
        <w:t>]</w:t>
      </w:r>
      <w:r w:rsidR="0049139A" w:rsidRPr="00906771">
        <w:rPr>
          <w:rFonts w:ascii="Times New Roman" w:hAnsi="Times New Roman" w:cs="Times New Roman"/>
          <w:lang w:val="vi-VN"/>
        </w:rPr>
        <w:tab/>
      </w:r>
      <w:r w:rsidR="007E3C06" w:rsidRPr="00906771">
        <w:rPr>
          <w:rFonts w:ascii="Times New Roman" w:hAnsi="Times New Roman" w:cs="Times New Roman"/>
          <w:lang w:val="vi-VN"/>
        </w:rPr>
        <w:t>Nguyễn Việ</w:t>
      </w:r>
      <w:r w:rsidR="000C46DD" w:rsidRPr="00906771">
        <w:rPr>
          <w:rFonts w:ascii="Times New Roman" w:hAnsi="Times New Roman" w:cs="Times New Roman"/>
          <w:lang w:val="vi-VN"/>
        </w:rPr>
        <w:t>t Hùng (2008),</w:t>
      </w:r>
      <w:r w:rsidR="007E3C06" w:rsidRPr="00906771">
        <w:rPr>
          <w:rFonts w:ascii="Times New Roman" w:hAnsi="Times New Roman" w:cs="Times New Roman"/>
          <w:i/>
          <w:lang w:val="vi-VN"/>
        </w:rPr>
        <w:t>Phân tích các nhân tố ảnh hưởng đến hiệu quả hoạt động của các ngân hàng thương mại Việ</w:t>
      </w:r>
      <w:r w:rsidR="002042A2" w:rsidRPr="00906771">
        <w:rPr>
          <w:rFonts w:ascii="Times New Roman" w:hAnsi="Times New Roman" w:cs="Times New Roman"/>
          <w:i/>
          <w:lang w:val="vi-VN"/>
        </w:rPr>
        <w:t>t Nam,</w:t>
      </w:r>
      <w:r w:rsidR="007E3C06" w:rsidRPr="00906771">
        <w:rPr>
          <w:rFonts w:ascii="Times New Roman" w:hAnsi="Times New Roman" w:cs="Times New Roman"/>
          <w:lang w:val="vi-VN"/>
        </w:rPr>
        <w:t xml:space="preserve"> Luân án tiến sĩ kinh tế</w:t>
      </w:r>
      <w:r w:rsidR="002042A2" w:rsidRPr="00906771">
        <w:rPr>
          <w:rFonts w:ascii="Times New Roman" w:hAnsi="Times New Roman" w:cs="Times New Roman"/>
          <w:lang w:val="vi-VN"/>
        </w:rPr>
        <w:t>,</w:t>
      </w:r>
      <w:r w:rsidR="007E3C06" w:rsidRPr="00906771">
        <w:rPr>
          <w:rFonts w:ascii="Times New Roman" w:hAnsi="Times New Roman" w:cs="Times New Roman"/>
          <w:lang w:val="vi-VN"/>
        </w:rPr>
        <w:t xml:space="preserve"> Trường Đại học Kinh tế quố</w:t>
      </w:r>
      <w:r w:rsidR="005A2E7D">
        <w:rPr>
          <w:rFonts w:ascii="Times New Roman" w:hAnsi="Times New Roman" w:cs="Times New Roman"/>
          <w:lang w:val="vi-VN"/>
        </w:rPr>
        <w:t>c dân.</w:t>
      </w:r>
    </w:p>
    <w:p w:rsidR="00BC372D" w:rsidRPr="00906771" w:rsidRDefault="001E1C0B" w:rsidP="005A2E7D">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lang w:val="vi-VN"/>
        </w:rPr>
      </w:pPr>
      <w:r w:rsidRPr="00906771">
        <w:rPr>
          <w:rFonts w:ascii="Times New Roman" w:hAnsi="Times New Roman" w:cs="Times New Roman"/>
          <w:lang w:val="vi-VN"/>
        </w:rPr>
        <w:t>[</w:t>
      </w:r>
      <w:r w:rsidR="007E3C06" w:rsidRPr="00906771">
        <w:rPr>
          <w:rFonts w:ascii="Times New Roman" w:hAnsi="Times New Roman" w:cs="Times New Roman"/>
          <w:lang w:val="vi-VN"/>
        </w:rPr>
        <w:t>2</w:t>
      </w:r>
      <w:r w:rsidRPr="00906771">
        <w:rPr>
          <w:rFonts w:ascii="Times New Roman" w:hAnsi="Times New Roman" w:cs="Times New Roman"/>
          <w:lang w:val="vi-VN"/>
        </w:rPr>
        <w:t>]</w:t>
      </w:r>
      <w:r w:rsidR="0049139A" w:rsidRPr="00906771">
        <w:rPr>
          <w:rFonts w:ascii="Times New Roman" w:hAnsi="Times New Roman" w:cs="Times New Roman"/>
          <w:lang w:val="vi-VN"/>
        </w:rPr>
        <w:tab/>
      </w:r>
      <w:r w:rsidR="00FB2B62" w:rsidRPr="00906771">
        <w:rPr>
          <w:rFonts w:ascii="Times New Roman" w:hAnsi="Times New Roman" w:cs="Times New Roman"/>
          <w:lang w:val="vi-VN"/>
        </w:rPr>
        <w:t>Nguyễn Hữu Tài và Nguyễn Thu Nga (2017)</w:t>
      </w:r>
      <w:r w:rsidR="000C46DD" w:rsidRPr="00906771">
        <w:rPr>
          <w:rFonts w:ascii="Times New Roman" w:hAnsi="Times New Roman" w:cs="Times New Roman"/>
          <w:lang w:val="vi-VN"/>
        </w:rPr>
        <w:t xml:space="preserve">, </w:t>
      </w:r>
      <w:r w:rsidR="00FB2B62" w:rsidRPr="00906771">
        <w:rPr>
          <w:rFonts w:ascii="Times New Roman" w:hAnsi="Times New Roman" w:cs="Times New Roman"/>
          <w:lang w:val="vi-VN"/>
        </w:rPr>
        <w:t>Ảnh hưởng của rủi ro tín dụng đến hiệu quả kinh doanh ngân hàng từ cách tiếp cận phi tham số</w:t>
      </w:r>
      <w:r w:rsidR="002042A2" w:rsidRPr="00906771">
        <w:rPr>
          <w:rFonts w:ascii="Times New Roman" w:hAnsi="Times New Roman" w:cs="Times New Roman"/>
          <w:lang w:val="vi-VN"/>
        </w:rPr>
        <w:t>,</w:t>
      </w:r>
      <w:r w:rsidR="00FB2B62" w:rsidRPr="00906771">
        <w:rPr>
          <w:rFonts w:ascii="Times New Roman" w:hAnsi="Times New Roman" w:cs="Times New Roman"/>
          <w:i/>
          <w:lang w:val="vi-VN"/>
        </w:rPr>
        <w:t>Tạp chí Ngân hàng</w:t>
      </w:r>
      <w:r w:rsidR="00FB2B62" w:rsidRPr="00906771">
        <w:rPr>
          <w:rFonts w:ascii="Times New Roman" w:hAnsi="Times New Roman" w:cs="Times New Roman"/>
          <w:lang w:val="vi-VN"/>
        </w:rPr>
        <w:t>, Số</w:t>
      </w:r>
      <w:r w:rsidR="0049139A" w:rsidRPr="00906771">
        <w:rPr>
          <w:rFonts w:ascii="Times New Roman" w:hAnsi="Times New Roman" w:cs="Times New Roman"/>
          <w:lang w:val="vi-VN"/>
        </w:rPr>
        <w:t xml:space="preserve"> 17/2017.</w:t>
      </w:r>
    </w:p>
    <w:p w:rsidR="00BC372D" w:rsidRPr="00906771" w:rsidRDefault="006607E1" w:rsidP="005A2E7D">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lang w:val="vi-VN"/>
        </w:rPr>
      </w:pPr>
      <w:r w:rsidRPr="00906771">
        <w:rPr>
          <w:rFonts w:ascii="Times New Roman" w:hAnsi="Times New Roman" w:cs="Times New Roman"/>
          <w:lang w:val="vi-VN"/>
        </w:rPr>
        <w:t>[</w:t>
      </w:r>
      <w:r w:rsidR="00BC372D" w:rsidRPr="00906771">
        <w:rPr>
          <w:rFonts w:ascii="Times New Roman" w:hAnsi="Times New Roman" w:cs="Times New Roman"/>
          <w:lang w:val="vi-VN"/>
        </w:rPr>
        <w:t>3</w:t>
      </w:r>
      <w:r w:rsidRPr="00906771">
        <w:rPr>
          <w:rFonts w:ascii="Times New Roman" w:hAnsi="Times New Roman" w:cs="Times New Roman"/>
          <w:lang w:val="vi-VN"/>
        </w:rPr>
        <w:t>]</w:t>
      </w:r>
      <w:r w:rsidR="0049139A" w:rsidRPr="00906771">
        <w:rPr>
          <w:rFonts w:ascii="Times New Roman" w:hAnsi="Times New Roman" w:cs="Times New Roman"/>
          <w:lang w:val="vi-VN"/>
        </w:rPr>
        <w:tab/>
      </w:r>
      <w:r w:rsidR="00BC372D" w:rsidRPr="00906771">
        <w:rPr>
          <w:rFonts w:ascii="Times New Roman" w:hAnsi="Times New Roman" w:cs="Times New Roman"/>
          <w:lang w:val="vi-VN"/>
        </w:rPr>
        <w:t>Phan Thị Hằ</w:t>
      </w:r>
      <w:r w:rsidR="002042A2" w:rsidRPr="00906771">
        <w:rPr>
          <w:rFonts w:ascii="Times New Roman" w:hAnsi="Times New Roman" w:cs="Times New Roman"/>
          <w:lang w:val="vi-VN"/>
        </w:rPr>
        <w:t>ng Nga (2013),</w:t>
      </w:r>
      <w:r w:rsidR="00BC372D" w:rsidRPr="00906771">
        <w:rPr>
          <w:rFonts w:ascii="Times New Roman" w:hAnsi="Times New Roman" w:cs="Times New Roman"/>
          <w:lang w:val="vi-VN"/>
        </w:rPr>
        <w:t xml:space="preserve"> Năng lực tài chính của các  ngân hàng thương mạ</w:t>
      </w:r>
      <w:r w:rsidR="002042A2" w:rsidRPr="00906771">
        <w:rPr>
          <w:rFonts w:ascii="Times New Roman" w:hAnsi="Times New Roman" w:cs="Times New Roman"/>
          <w:lang w:val="vi-VN"/>
        </w:rPr>
        <w:t>i V</w:t>
      </w:r>
      <w:r w:rsidR="00BC372D" w:rsidRPr="00906771">
        <w:rPr>
          <w:rFonts w:ascii="Times New Roman" w:hAnsi="Times New Roman" w:cs="Times New Roman"/>
          <w:lang w:val="vi-VN"/>
        </w:rPr>
        <w:t>iệ</w:t>
      </w:r>
      <w:r w:rsidR="002042A2" w:rsidRPr="00906771">
        <w:rPr>
          <w:rFonts w:ascii="Times New Roman" w:hAnsi="Times New Roman" w:cs="Times New Roman"/>
          <w:lang w:val="vi-VN"/>
        </w:rPr>
        <w:t>t Nam,</w:t>
      </w:r>
      <w:r w:rsidR="00BC372D" w:rsidRPr="00906771">
        <w:rPr>
          <w:rFonts w:ascii="Times New Roman" w:hAnsi="Times New Roman" w:cs="Times New Roman"/>
          <w:lang w:val="vi-VN"/>
        </w:rPr>
        <w:t xml:space="preserve"> Luận án tiến sĩ kinh tế</w:t>
      </w:r>
      <w:r w:rsidR="002042A2" w:rsidRPr="00906771">
        <w:rPr>
          <w:rFonts w:ascii="Times New Roman" w:hAnsi="Times New Roman" w:cs="Times New Roman"/>
          <w:lang w:val="vi-VN"/>
        </w:rPr>
        <w:t>,</w:t>
      </w:r>
      <w:r w:rsidR="00BC372D" w:rsidRPr="00906771">
        <w:rPr>
          <w:rFonts w:ascii="Times New Roman" w:hAnsi="Times New Roman" w:cs="Times New Roman"/>
          <w:lang w:val="vi-VN"/>
        </w:rPr>
        <w:t xml:space="preserve"> Trường Đại học Ngân hàng TP</w:t>
      </w:r>
      <w:r w:rsidR="002042A2">
        <w:rPr>
          <w:rFonts w:ascii="Times New Roman" w:hAnsi="Times New Roman" w:cs="Times New Roman"/>
          <w:lang w:val="vi-VN"/>
        </w:rPr>
        <w:t>.</w:t>
      </w:r>
      <w:r w:rsidR="00BC372D" w:rsidRPr="00906771">
        <w:rPr>
          <w:rFonts w:ascii="Times New Roman" w:hAnsi="Times New Roman" w:cs="Times New Roman"/>
          <w:lang w:val="vi-VN"/>
        </w:rPr>
        <w:t xml:space="preserve">HCM. </w:t>
      </w:r>
    </w:p>
    <w:p w:rsidR="00BC372D" w:rsidRPr="00906771" w:rsidRDefault="006607E1" w:rsidP="004D6C2F">
      <w:pPr>
        <w:shd w:val="clear" w:color="auto" w:fill="FFFFFF"/>
        <w:spacing w:before="120" w:after="0" w:line="240" w:lineRule="auto"/>
        <w:ind w:left="425" w:hanging="425"/>
        <w:jc w:val="both"/>
        <w:rPr>
          <w:rFonts w:ascii="Times New Roman" w:eastAsia="Times New Roman" w:hAnsi="Times New Roman" w:cs="Times New Roman"/>
          <w:lang w:val="vi-VN"/>
        </w:rPr>
      </w:pPr>
      <w:r w:rsidRPr="00906771">
        <w:rPr>
          <w:rFonts w:ascii="Times New Roman" w:eastAsia="Times New Roman" w:hAnsi="Times New Roman" w:cs="Times New Roman"/>
          <w:iCs/>
          <w:spacing w:val="3"/>
          <w:lang w:val="vi-VN"/>
        </w:rPr>
        <w:lastRenderedPageBreak/>
        <w:t>[</w:t>
      </w:r>
      <w:r w:rsidR="00BC372D" w:rsidRPr="00906771">
        <w:rPr>
          <w:rFonts w:ascii="Times New Roman" w:eastAsia="Times New Roman" w:hAnsi="Times New Roman" w:cs="Times New Roman"/>
          <w:iCs/>
          <w:spacing w:val="3"/>
          <w:lang w:val="vi-VN"/>
        </w:rPr>
        <w:t>4</w:t>
      </w:r>
      <w:r w:rsidRPr="00906771">
        <w:rPr>
          <w:rFonts w:ascii="Times New Roman" w:eastAsia="Times New Roman" w:hAnsi="Times New Roman" w:cs="Times New Roman"/>
          <w:iCs/>
          <w:spacing w:val="3"/>
          <w:lang w:val="vi-VN"/>
        </w:rPr>
        <w:t>]</w:t>
      </w:r>
      <w:r w:rsidR="0049139A" w:rsidRPr="00906771">
        <w:rPr>
          <w:rFonts w:ascii="Times New Roman" w:eastAsia="Times New Roman" w:hAnsi="Times New Roman" w:cs="Times New Roman"/>
          <w:iCs/>
          <w:spacing w:val="3"/>
          <w:lang w:val="vi-VN"/>
        </w:rPr>
        <w:tab/>
      </w:r>
      <w:r w:rsidR="002042A2" w:rsidRPr="00906771">
        <w:rPr>
          <w:rFonts w:ascii="Times New Roman" w:eastAsia="Times New Roman" w:hAnsi="Times New Roman" w:cs="Times New Roman"/>
          <w:iCs/>
          <w:spacing w:val="3"/>
          <w:lang w:val="vi-VN"/>
        </w:rPr>
        <w:t>Nguyễn Minh Sáng (2013),</w:t>
      </w:r>
      <w:r w:rsidR="001C0EAC" w:rsidRPr="00906771">
        <w:rPr>
          <w:rFonts w:ascii="Times New Roman" w:hAnsi="Times New Roman" w:cs="Times New Roman"/>
          <w:lang w:val="vi-VN"/>
        </w:rPr>
        <w:t>“</w:t>
      </w:r>
      <w:r w:rsidR="00BC372D" w:rsidRPr="00906771">
        <w:rPr>
          <w:rFonts w:ascii="Times New Roman" w:eastAsia="Times New Roman" w:hAnsi="Times New Roman" w:cs="Times New Roman"/>
          <w:iCs/>
          <w:spacing w:val="3"/>
          <w:lang w:val="vi-VN"/>
        </w:rPr>
        <w:t>Phân tích nhân tố tác động đến hiệu quả sử dụng nguồn lực của các ngân hàng thương mại trên địa bàn TP.</w:t>
      </w:r>
      <w:r w:rsidR="001C0EAC" w:rsidRPr="00906771">
        <w:rPr>
          <w:rFonts w:ascii="Times New Roman" w:eastAsia="Times New Roman" w:hAnsi="Times New Roman" w:cs="Times New Roman"/>
          <w:iCs/>
          <w:spacing w:val="3"/>
          <w:lang w:val="vi-VN"/>
        </w:rPr>
        <w:t>HCM</w:t>
      </w:r>
      <w:r w:rsidR="001C0EAC" w:rsidRPr="00906771">
        <w:rPr>
          <w:rFonts w:ascii="Times New Roman" w:hAnsi="Times New Roman" w:cs="Times New Roman"/>
          <w:i/>
          <w:iCs/>
          <w:lang w:val="vi-VN"/>
        </w:rPr>
        <w:t>”</w:t>
      </w:r>
      <w:r w:rsidR="00BC372D" w:rsidRPr="00906771">
        <w:rPr>
          <w:rFonts w:ascii="Times New Roman" w:eastAsia="Times New Roman" w:hAnsi="Times New Roman" w:cs="Times New Roman"/>
          <w:iCs/>
          <w:spacing w:val="3"/>
          <w:lang w:val="vi-VN"/>
        </w:rPr>
        <w:t xml:space="preserve">, </w:t>
      </w:r>
      <w:r w:rsidR="00BC372D" w:rsidRPr="00906771">
        <w:rPr>
          <w:rFonts w:ascii="Times New Roman" w:eastAsia="Times New Roman" w:hAnsi="Times New Roman" w:cs="Times New Roman"/>
          <w:i/>
          <w:iCs/>
          <w:spacing w:val="3"/>
          <w:lang w:val="vi-VN"/>
        </w:rPr>
        <w:t>Tạp chí Phát triển và hội nhập</w:t>
      </w:r>
      <w:r w:rsidR="00BC372D" w:rsidRPr="00906771">
        <w:rPr>
          <w:rFonts w:ascii="Times New Roman" w:eastAsia="Times New Roman" w:hAnsi="Times New Roman" w:cs="Times New Roman"/>
          <w:iCs/>
          <w:spacing w:val="3"/>
          <w:lang w:val="vi-VN"/>
        </w:rPr>
        <w:t>, số 11(21), tr.10-15.</w:t>
      </w:r>
    </w:p>
    <w:p w:rsidR="00BC372D" w:rsidRPr="00906771" w:rsidRDefault="006607E1" w:rsidP="004D6C2F">
      <w:pPr>
        <w:shd w:val="clear" w:color="auto" w:fill="FFFFFF"/>
        <w:spacing w:before="120" w:after="0" w:line="240" w:lineRule="auto"/>
        <w:ind w:left="425" w:hanging="425"/>
        <w:jc w:val="both"/>
        <w:rPr>
          <w:rFonts w:ascii="Times New Roman" w:eastAsia="Times New Roman" w:hAnsi="Times New Roman" w:cs="Times New Roman"/>
          <w:lang w:val="vi-VN"/>
        </w:rPr>
      </w:pPr>
      <w:r w:rsidRPr="00906771">
        <w:rPr>
          <w:rFonts w:ascii="Times New Roman" w:eastAsia="Times New Roman" w:hAnsi="Times New Roman" w:cs="Times New Roman"/>
          <w:iCs/>
          <w:lang w:val="vi-VN"/>
        </w:rPr>
        <w:t>[</w:t>
      </w:r>
      <w:r w:rsidR="00BC372D" w:rsidRPr="00906771">
        <w:rPr>
          <w:rFonts w:ascii="Times New Roman" w:eastAsia="Times New Roman" w:hAnsi="Times New Roman" w:cs="Times New Roman"/>
          <w:iCs/>
          <w:lang w:val="vi-VN"/>
        </w:rPr>
        <w:t>5</w:t>
      </w:r>
      <w:r w:rsidRPr="00906771">
        <w:rPr>
          <w:rFonts w:ascii="Times New Roman" w:eastAsia="Times New Roman" w:hAnsi="Times New Roman" w:cs="Times New Roman"/>
          <w:iCs/>
          <w:lang w:val="vi-VN"/>
        </w:rPr>
        <w:t>]</w:t>
      </w:r>
      <w:r w:rsidR="0049139A" w:rsidRPr="00906771">
        <w:rPr>
          <w:rFonts w:ascii="Times New Roman" w:eastAsia="Times New Roman" w:hAnsi="Times New Roman" w:cs="Times New Roman"/>
          <w:iCs/>
          <w:lang w:val="vi-VN"/>
        </w:rPr>
        <w:tab/>
      </w:r>
      <w:r w:rsidR="00BC372D" w:rsidRPr="00906771">
        <w:rPr>
          <w:rFonts w:ascii="Times New Roman" w:eastAsia="Times New Roman" w:hAnsi="Times New Roman" w:cs="Times New Roman"/>
          <w:iCs/>
          <w:lang w:val="vi-VN"/>
        </w:rPr>
        <w:t>Phan Thị Diệu Thảo,</w:t>
      </w:r>
      <w:r w:rsidR="002042A2" w:rsidRPr="00906771">
        <w:rPr>
          <w:rFonts w:ascii="Times New Roman" w:eastAsia="Times New Roman" w:hAnsi="Times New Roman" w:cs="Times New Roman"/>
          <w:iCs/>
          <w:lang w:val="vi-VN"/>
        </w:rPr>
        <w:t xml:space="preserve"> Nguyễn Thị Ngọc Quỳnh (2013), </w:t>
      </w:r>
      <w:r w:rsidR="002042A2" w:rsidRPr="00906771">
        <w:rPr>
          <w:rFonts w:ascii="Times New Roman" w:hAnsi="Times New Roman" w:cs="Times New Roman"/>
          <w:lang w:val="vi-VN"/>
        </w:rPr>
        <w:t>“</w:t>
      </w:r>
      <w:r w:rsidR="00BC372D" w:rsidRPr="00906771">
        <w:rPr>
          <w:rFonts w:ascii="Times New Roman" w:eastAsia="Times New Roman" w:hAnsi="Times New Roman" w:cs="Times New Roman"/>
          <w:iCs/>
          <w:lang w:val="vi-VN"/>
        </w:rPr>
        <w:t>Ứng dụng phương pháp DEA trong đánh giá hiệu quả hoạt động kinh doanh của các ngân h</w:t>
      </w:r>
      <w:r w:rsidR="002042A2" w:rsidRPr="00906771">
        <w:rPr>
          <w:rFonts w:ascii="Times New Roman" w:eastAsia="Times New Roman" w:hAnsi="Times New Roman" w:cs="Times New Roman"/>
          <w:iCs/>
          <w:lang w:val="vi-VN"/>
        </w:rPr>
        <w:t>àng thương mại cổ phần Việt Nam</w:t>
      </w:r>
      <w:r w:rsidR="002042A2" w:rsidRPr="00906771">
        <w:rPr>
          <w:rFonts w:ascii="Times New Roman" w:hAnsi="Times New Roman" w:cs="Times New Roman"/>
          <w:i/>
          <w:iCs/>
          <w:lang w:val="vi-VN"/>
        </w:rPr>
        <w:t>”</w:t>
      </w:r>
      <w:r w:rsidR="00BC372D" w:rsidRPr="00906771">
        <w:rPr>
          <w:rFonts w:ascii="Times New Roman" w:eastAsia="Times New Roman" w:hAnsi="Times New Roman" w:cs="Times New Roman"/>
          <w:iCs/>
          <w:lang w:val="vi-VN"/>
        </w:rPr>
        <w:t xml:space="preserve">, </w:t>
      </w:r>
      <w:r w:rsidR="00BC372D" w:rsidRPr="00906771">
        <w:rPr>
          <w:rFonts w:ascii="Times New Roman" w:eastAsia="Times New Roman" w:hAnsi="Times New Roman" w:cs="Times New Roman"/>
          <w:i/>
          <w:iCs/>
          <w:lang w:val="vi-VN"/>
        </w:rPr>
        <w:t>Tạp chí ngân hàng,</w:t>
      </w:r>
      <w:r w:rsidR="00BC372D" w:rsidRPr="00906771">
        <w:rPr>
          <w:rFonts w:ascii="Times New Roman" w:eastAsia="Times New Roman" w:hAnsi="Times New Roman" w:cs="Times New Roman"/>
          <w:iCs/>
          <w:lang w:val="vi-VN"/>
        </w:rPr>
        <w:t xml:space="preserve"> (số 21 tháng 11), tr.12-17.</w:t>
      </w:r>
    </w:p>
    <w:p w:rsidR="00BC372D" w:rsidRPr="00906771" w:rsidRDefault="006607E1" w:rsidP="004D6C2F">
      <w:pPr>
        <w:shd w:val="clear" w:color="auto" w:fill="FFFFFF"/>
        <w:spacing w:before="120" w:after="0" w:line="240" w:lineRule="auto"/>
        <w:ind w:left="425" w:hanging="425"/>
        <w:jc w:val="both"/>
        <w:rPr>
          <w:rFonts w:ascii="Times New Roman" w:eastAsia="Times New Roman" w:hAnsi="Times New Roman" w:cs="Times New Roman"/>
          <w:color w:val="333333"/>
          <w:lang w:val="vi-VN"/>
        </w:rPr>
      </w:pPr>
      <w:r w:rsidRPr="00906771">
        <w:rPr>
          <w:rFonts w:ascii="Times New Roman" w:eastAsia="Times New Roman" w:hAnsi="Times New Roman" w:cs="Times New Roman"/>
          <w:iCs/>
          <w:lang w:val="vi-VN"/>
        </w:rPr>
        <w:t>[</w:t>
      </w:r>
      <w:r w:rsidR="00BC372D" w:rsidRPr="00906771">
        <w:rPr>
          <w:rFonts w:ascii="Times New Roman" w:eastAsia="Times New Roman" w:hAnsi="Times New Roman" w:cs="Times New Roman"/>
          <w:iCs/>
          <w:lang w:val="vi-VN"/>
        </w:rPr>
        <w:t>6</w:t>
      </w:r>
      <w:r w:rsidRPr="00906771">
        <w:rPr>
          <w:rFonts w:ascii="Times New Roman" w:eastAsia="Times New Roman" w:hAnsi="Times New Roman" w:cs="Times New Roman"/>
          <w:iCs/>
          <w:lang w:val="vi-VN"/>
        </w:rPr>
        <w:t>]</w:t>
      </w:r>
      <w:r w:rsidR="0049139A" w:rsidRPr="00906771">
        <w:rPr>
          <w:rFonts w:ascii="Times New Roman" w:eastAsia="Times New Roman" w:hAnsi="Times New Roman" w:cs="Times New Roman"/>
          <w:iCs/>
          <w:lang w:val="vi-VN"/>
        </w:rPr>
        <w:tab/>
      </w:r>
      <w:r w:rsidR="002042A2" w:rsidRPr="00906771">
        <w:rPr>
          <w:rFonts w:ascii="Times New Roman" w:eastAsia="Times New Roman" w:hAnsi="Times New Roman" w:cs="Times New Roman"/>
          <w:iCs/>
          <w:lang w:val="vi-VN"/>
        </w:rPr>
        <w:t xml:space="preserve">Nguyễn Thị Hồng Vinh (2014), </w:t>
      </w:r>
      <w:r w:rsidR="002042A2" w:rsidRPr="00906771">
        <w:rPr>
          <w:rFonts w:ascii="Times New Roman" w:hAnsi="Times New Roman" w:cs="Times New Roman"/>
          <w:lang w:val="vi-VN"/>
        </w:rPr>
        <w:t>“</w:t>
      </w:r>
      <w:r w:rsidR="00BC372D" w:rsidRPr="00906771">
        <w:rPr>
          <w:rFonts w:ascii="Times New Roman" w:eastAsia="Times New Roman" w:hAnsi="Times New Roman" w:cs="Times New Roman"/>
          <w:iCs/>
          <w:lang w:val="vi-VN"/>
        </w:rPr>
        <w:t>Nợ xấu và hiệu quả chi phí của cá</w:t>
      </w:r>
      <w:r w:rsidR="002042A2" w:rsidRPr="00906771">
        <w:rPr>
          <w:rFonts w:ascii="Times New Roman" w:eastAsia="Times New Roman" w:hAnsi="Times New Roman" w:cs="Times New Roman"/>
          <w:iCs/>
          <w:lang w:val="vi-VN"/>
        </w:rPr>
        <w:t>c ngân hàng thương mại Việt Nam</w:t>
      </w:r>
      <w:r w:rsidR="002042A2" w:rsidRPr="00906771">
        <w:rPr>
          <w:rFonts w:ascii="Times New Roman" w:hAnsi="Times New Roman" w:cs="Times New Roman"/>
          <w:i/>
          <w:iCs/>
          <w:lang w:val="vi-VN"/>
        </w:rPr>
        <w:t>”</w:t>
      </w:r>
      <w:r w:rsidR="00BC372D" w:rsidRPr="00906771">
        <w:rPr>
          <w:rFonts w:ascii="Times New Roman" w:eastAsia="Times New Roman" w:hAnsi="Times New Roman" w:cs="Times New Roman"/>
          <w:iCs/>
          <w:lang w:val="vi-VN"/>
        </w:rPr>
        <w:t xml:space="preserve">, </w:t>
      </w:r>
      <w:r w:rsidR="00BC372D" w:rsidRPr="00906771">
        <w:rPr>
          <w:rFonts w:ascii="Times New Roman" w:eastAsia="Times New Roman" w:hAnsi="Times New Roman" w:cs="Times New Roman"/>
          <w:i/>
          <w:iCs/>
          <w:lang w:val="vi-VN"/>
        </w:rPr>
        <w:t xml:space="preserve">Tạp chí Phát triển kinh tế, </w:t>
      </w:r>
      <w:r w:rsidR="00BC372D" w:rsidRPr="00906771">
        <w:rPr>
          <w:rFonts w:ascii="Times New Roman" w:eastAsia="Times New Roman" w:hAnsi="Times New Roman" w:cs="Times New Roman"/>
          <w:iCs/>
          <w:lang w:val="vi-VN"/>
        </w:rPr>
        <w:t>289(11/2014), tr.58-73</w:t>
      </w:r>
      <w:r w:rsidR="00BC372D" w:rsidRPr="00906771">
        <w:rPr>
          <w:rFonts w:ascii="Times New Roman" w:eastAsia="Times New Roman" w:hAnsi="Times New Roman" w:cs="Times New Roman"/>
          <w:i/>
          <w:iCs/>
          <w:color w:val="333333"/>
          <w:lang w:val="vi-VN"/>
        </w:rPr>
        <w:t>.</w:t>
      </w:r>
    </w:p>
    <w:p w:rsidR="00FB2B62" w:rsidRPr="00906771" w:rsidRDefault="006607E1" w:rsidP="00BB725D">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color w:val="000000"/>
          <w:shd w:val="clear" w:color="auto" w:fill="FFFFFF"/>
          <w:lang w:val="vi-VN"/>
        </w:rPr>
      </w:pPr>
      <w:r w:rsidRPr="00906771">
        <w:rPr>
          <w:rFonts w:ascii="Times New Roman" w:hAnsi="Times New Roman" w:cs="Times New Roman"/>
          <w:lang w:val="vi-VN"/>
        </w:rPr>
        <w:t>[</w:t>
      </w:r>
      <w:r w:rsidR="00BC372D" w:rsidRPr="00906771">
        <w:rPr>
          <w:rFonts w:ascii="Times New Roman" w:hAnsi="Times New Roman" w:cs="Times New Roman"/>
          <w:lang w:val="vi-VN"/>
        </w:rPr>
        <w:t>7</w:t>
      </w:r>
      <w:r w:rsidRPr="00906771">
        <w:rPr>
          <w:rFonts w:ascii="Times New Roman" w:hAnsi="Times New Roman" w:cs="Times New Roman"/>
          <w:lang w:val="vi-VN"/>
        </w:rPr>
        <w:t>]</w:t>
      </w:r>
      <w:r w:rsidR="0049139A" w:rsidRPr="00906771">
        <w:rPr>
          <w:rFonts w:ascii="Times New Roman" w:hAnsi="Times New Roman" w:cs="Times New Roman"/>
          <w:lang w:val="vi-VN"/>
        </w:rPr>
        <w:tab/>
      </w:r>
      <w:r w:rsidR="00550DF7" w:rsidRPr="00906771">
        <w:rPr>
          <w:rFonts w:ascii="Times New Roman" w:hAnsi="Times New Roman" w:cs="Times New Roman"/>
          <w:lang w:val="vi-VN"/>
        </w:rPr>
        <w:t>Ngân hàng Nhà nướ</w:t>
      </w:r>
      <w:r w:rsidR="002042A2" w:rsidRPr="00906771">
        <w:rPr>
          <w:rFonts w:ascii="Times New Roman" w:hAnsi="Times New Roman" w:cs="Times New Roman"/>
          <w:lang w:val="vi-VN"/>
        </w:rPr>
        <w:t>c (2013),</w:t>
      </w:r>
      <w:r w:rsidR="00550DF7" w:rsidRPr="00906771">
        <w:rPr>
          <w:rFonts w:ascii="Times New Roman" w:hAnsi="Times New Roman" w:cs="Times New Roman"/>
          <w:lang w:val="vi-VN"/>
        </w:rPr>
        <w:t xml:space="preserve"> Thông tư </w:t>
      </w:r>
      <w:r w:rsidR="002307EA" w:rsidRPr="00906771">
        <w:rPr>
          <w:rFonts w:ascii="Times New Roman" w:hAnsi="Times New Roman" w:cs="Times New Roman"/>
          <w:lang w:val="vi-VN"/>
        </w:rPr>
        <w:t>Số</w:t>
      </w:r>
      <w:hyperlink r:id="rId8" w:tgtFrame="_blank" w:tooltip="Thông tư 02/2013/TT-NHNN" w:history="1">
        <w:r w:rsidR="00550DF7" w:rsidRPr="00906771">
          <w:rPr>
            <w:rFonts w:ascii="Times New Roman" w:hAnsi="Times New Roman" w:cs="Times New Roman"/>
            <w:lang w:val="vi-VN"/>
          </w:rPr>
          <w:t>02/2013/</w:t>
        </w:r>
        <w:r w:rsidR="002307EA" w:rsidRPr="00906771">
          <w:rPr>
            <w:rFonts w:ascii="Times New Roman" w:hAnsi="Times New Roman" w:cs="Times New Roman"/>
            <w:lang w:val="vi-VN"/>
          </w:rPr>
          <w:t>TT-</w:t>
        </w:r>
        <w:r w:rsidR="00550DF7" w:rsidRPr="00906771">
          <w:rPr>
            <w:rFonts w:ascii="Times New Roman" w:hAnsi="Times New Roman" w:cs="Times New Roman"/>
            <w:lang w:val="vi-VN"/>
          </w:rPr>
          <w:t>NHNN</w:t>
        </w:r>
      </w:hyperlink>
      <w:r w:rsidR="00550DF7" w:rsidRPr="00906771">
        <w:rPr>
          <w:rFonts w:ascii="Times New Roman" w:hAnsi="Times New Roman" w:cs="Times New Roman"/>
          <w:lang w:val="vi-VN"/>
        </w:rPr>
        <w:t xml:space="preserve">ngày 21/01/2013 </w:t>
      </w:r>
      <w:r w:rsidR="00550DF7" w:rsidRPr="00906771">
        <w:rPr>
          <w:rFonts w:ascii="Times New Roman" w:hAnsi="Times New Roman" w:cs="Times New Roman"/>
          <w:lang w:val="vi-VN"/>
        </w:rPr>
        <w:lastRenderedPageBreak/>
        <w:t>củ</w:t>
      </w:r>
      <w:r w:rsidR="002042A2" w:rsidRPr="00906771">
        <w:rPr>
          <w:rFonts w:ascii="Times New Roman" w:hAnsi="Times New Roman" w:cs="Times New Roman"/>
          <w:lang w:val="vi-VN"/>
        </w:rPr>
        <w:t>a T</w:t>
      </w:r>
      <w:r w:rsidR="00550DF7" w:rsidRPr="00906771">
        <w:rPr>
          <w:rFonts w:ascii="Times New Roman" w:hAnsi="Times New Roman" w:cs="Times New Roman"/>
          <w:lang w:val="vi-VN"/>
        </w:rPr>
        <w:t>hống đố</w:t>
      </w:r>
      <w:r w:rsidR="002042A2" w:rsidRPr="00906771">
        <w:rPr>
          <w:rFonts w:ascii="Times New Roman" w:hAnsi="Times New Roman" w:cs="Times New Roman"/>
          <w:lang w:val="vi-VN"/>
        </w:rPr>
        <w:t>c Ngân hàng N</w:t>
      </w:r>
      <w:r w:rsidR="00550DF7" w:rsidRPr="00906771">
        <w:rPr>
          <w:rFonts w:ascii="Times New Roman" w:hAnsi="Times New Roman" w:cs="Times New Roman"/>
          <w:lang w:val="vi-VN"/>
        </w:rPr>
        <w:t>hà nước quy định về phân loại tài sản có, mức trích, phương pháp trích lập dự phòng rủi ro và việc sử dụng dự phòng để xử lý rủi ro trong hoạt động của tổ chức tín dụng, chi nhánh ngân hàng nước ngoài</w:t>
      </w:r>
      <w:r w:rsidR="008124C4" w:rsidRPr="00906771">
        <w:rPr>
          <w:rFonts w:ascii="Times New Roman" w:hAnsi="Times New Roman" w:cs="Times New Roman"/>
          <w:color w:val="000000"/>
          <w:shd w:val="clear" w:color="auto" w:fill="FFFFFF"/>
          <w:lang w:val="vi-VN"/>
        </w:rPr>
        <w:t>.</w:t>
      </w:r>
    </w:p>
    <w:p w:rsidR="002307EA" w:rsidRPr="00906771" w:rsidRDefault="006607E1" w:rsidP="004D6C2F">
      <w:pPr>
        <w:pStyle w:val="ListParagraph"/>
        <w:tabs>
          <w:tab w:val="left" w:pos="284"/>
        </w:tabs>
        <w:autoSpaceDE w:val="0"/>
        <w:autoSpaceDN w:val="0"/>
        <w:adjustRightInd w:val="0"/>
        <w:spacing w:before="120" w:after="0" w:line="240" w:lineRule="auto"/>
        <w:ind w:left="425" w:hanging="425"/>
        <w:contextualSpacing w:val="0"/>
        <w:jc w:val="both"/>
        <w:rPr>
          <w:rFonts w:ascii="Times New Roman" w:hAnsi="Times New Roman" w:cs="Times New Roman"/>
          <w:lang w:val="vi-VN"/>
        </w:rPr>
      </w:pPr>
      <w:r w:rsidRPr="00906771">
        <w:rPr>
          <w:rFonts w:ascii="Times New Roman" w:hAnsi="Times New Roman" w:cs="Times New Roman"/>
          <w:color w:val="000000"/>
          <w:shd w:val="clear" w:color="auto" w:fill="FFFFFF"/>
          <w:lang w:val="vi-VN"/>
        </w:rPr>
        <w:t>[</w:t>
      </w:r>
      <w:r w:rsidR="00BC372D" w:rsidRPr="00906771">
        <w:rPr>
          <w:rFonts w:ascii="Times New Roman" w:hAnsi="Times New Roman" w:cs="Times New Roman"/>
          <w:color w:val="000000"/>
          <w:shd w:val="clear" w:color="auto" w:fill="FFFFFF"/>
          <w:lang w:val="vi-VN"/>
        </w:rPr>
        <w:t>8</w:t>
      </w:r>
      <w:r w:rsidRPr="00906771">
        <w:rPr>
          <w:rFonts w:ascii="Times New Roman" w:hAnsi="Times New Roman" w:cs="Times New Roman"/>
          <w:color w:val="000000"/>
          <w:shd w:val="clear" w:color="auto" w:fill="FFFFFF"/>
          <w:lang w:val="vi-VN"/>
        </w:rPr>
        <w:t>]</w:t>
      </w:r>
      <w:r w:rsidR="007C2155" w:rsidRPr="00906771">
        <w:rPr>
          <w:rFonts w:ascii="Times New Roman" w:hAnsi="Times New Roman" w:cs="Times New Roman"/>
          <w:color w:val="000000"/>
          <w:shd w:val="clear" w:color="auto" w:fill="FFFFFF"/>
          <w:lang w:val="vi-VN"/>
        </w:rPr>
        <w:tab/>
      </w:r>
      <w:r w:rsidR="0049139A" w:rsidRPr="00906771">
        <w:rPr>
          <w:rFonts w:ascii="Times New Roman" w:hAnsi="Times New Roman" w:cs="Times New Roman"/>
          <w:color w:val="000000"/>
          <w:shd w:val="clear" w:color="auto" w:fill="FFFFFF"/>
          <w:lang w:val="vi-VN"/>
        </w:rPr>
        <w:tab/>
      </w:r>
      <w:r w:rsidR="002307EA" w:rsidRPr="00906771">
        <w:rPr>
          <w:rFonts w:ascii="Times New Roman" w:hAnsi="Times New Roman" w:cs="Times New Roman"/>
          <w:lang w:val="vi-VN"/>
        </w:rPr>
        <w:t>Ngân hàng Nhà nướ</w:t>
      </w:r>
      <w:r w:rsidR="002042A2" w:rsidRPr="00906771">
        <w:rPr>
          <w:rFonts w:ascii="Times New Roman" w:hAnsi="Times New Roman" w:cs="Times New Roman"/>
          <w:lang w:val="vi-VN"/>
        </w:rPr>
        <w:t>c (2014),</w:t>
      </w:r>
      <w:r w:rsidR="002307EA" w:rsidRPr="00906771">
        <w:rPr>
          <w:rFonts w:ascii="Times New Roman" w:hAnsi="Times New Roman" w:cs="Times New Roman"/>
          <w:lang w:val="vi-VN"/>
        </w:rPr>
        <w:t xml:space="preserve"> Thông tư Số9/2014/TT-NHNN về việc sửa đổi, bổ sung một số điều của thông tư số</w:t>
      </w:r>
      <w:hyperlink r:id="rId9" w:tgtFrame="_blank" w:tooltip="Thông tư 02/2013/TT-NHNN" w:history="1">
        <w:r w:rsidR="002307EA" w:rsidRPr="00906771">
          <w:rPr>
            <w:rFonts w:ascii="Times New Roman" w:hAnsi="Times New Roman" w:cs="Times New Roman"/>
            <w:lang w:val="vi-VN"/>
          </w:rPr>
          <w:t>02/2013/TT-NHNN</w:t>
        </w:r>
      </w:hyperlink>
      <w:r w:rsidR="002307EA" w:rsidRPr="00906771">
        <w:rPr>
          <w:rFonts w:ascii="Times New Roman" w:hAnsi="Times New Roman" w:cs="Times New Roman"/>
          <w:lang w:val="vi-VN"/>
        </w:rPr>
        <w:t> ngày 21/01/2013 củ</w:t>
      </w:r>
      <w:r w:rsidR="002042A2" w:rsidRPr="00906771">
        <w:rPr>
          <w:rFonts w:ascii="Times New Roman" w:hAnsi="Times New Roman" w:cs="Times New Roman"/>
          <w:lang w:val="vi-VN"/>
        </w:rPr>
        <w:t>a T</w:t>
      </w:r>
      <w:r w:rsidR="002307EA" w:rsidRPr="00906771">
        <w:rPr>
          <w:rFonts w:ascii="Times New Roman" w:hAnsi="Times New Roman" w:cs="Times New Roman"/>
          <w:lang w:val="vi-VN"/>
        </w:rPr>
        <w:t>hống đố</w:t>
      </w:r>
      <w:r w:rsidR="002042A2" w:rsidRPr="00906771">
        <w:rPr>
          <w:rFonts w:ascii="Times New Roman" w:hAnsi="Times New Roman" w:cs="Times New Roman"/>
          <w:lang w:val="vi-VN"/>
        </w:rPr>
        <w:t>c Ngân hàng N</w:t>
      </w:r>
      <w:r w:rsidR="002307EA" w:rsidRPr="00906771">
        <w:rPr>
          <w:rFonts w:ascii="Times New Roman" w:hAnsi="Times New Roman" w:cs="Times New Roman"/>
          <w:lang w:val="vi-VN"/>
        </w:rPr>
        <w:t xml:space="preserve">hà nước quy định về phân loại tài sản có, mức trích, phương pháp trích lập dự phòng rủi ro và việc sử dụng dự phòng để xử lý rủi ro trong hoạt động của tổ chức tín dụng, chi nhánh ngân hàng nước ngoài. </w:t>
      </w:r>
    </w:p>
    <w:p w:rsidR="00D636BB" w:rsidRPr="00232F64" w:rsidRDefault="00D40570" w:rsidP="004D6C2F">
      <w:pPr>
        <w:pStyle w:val="ListParagraph"/>
        <w:tabs>
          <w:tab w:val="left" w:pos="284"/>
        </w:tabs>
        <w:autoSpaceDE w:val="0"/>
        <w:autoSpaceDN w:val="0"/>
        <w:adjustRightInd w:val="0"/>
        <w:spacing w:before="120" w:after="0" w:line="240" w:lineRule="auto"/>
        <w:ind w:left="0"/>
        <w:contextualSpacing w:val="0"/>
        <w:jc w:val="both"/>
        <w:rPr>
          <w:rFonts w:ascii="Times New Roman" w:hAnsi="Times New Roman" w:cs="Times New Roman"/>
          <w:b/>
          <w:szCs w:val="24"/>
        </w:rPr>
      </w:pPr>
      <w:r w:rsidRPr="00232F64">
        <w:rPr>
          <w:rFonts w:ascii="Times New Roman" w:hAnsi="Times New Roman" w:cs="Times New Roman"/>
          <w:b/>
          <w:szCs w:val="24"/>
        </w:rPr>
        <w:t>T</w:t>
      </w:r>
      <w:r w:rsidR="00D636BB" w:rsidRPr="00232F64">
        <w:rPr>
          <w:rFonts w:ascii="Times New Roman" w:hAnsi="Times New Roman" w:cs="Times New Roman"/>
          <w:b/>
          <w:szCs w:val="24"/>
        </w:rPr>
        <w:t>iếng Anh</w:t>
      </w:r>
      <w:r w:rsidR="00232F64" w:rsidRPr="00232F64">
        <w:rPr>
          <w:rFonts w:ascii="Times New Roman" w:hAnsi="Times New Roman" w:cs="Times New Roman"/>
          <w:b/>
          <w:szCs w:val="24"/>
        </w:rPr>
        <w:t>:</w:t>
      </w:r>
    </w:p>
    <w:p w:rsidR="004001E8" w:rsidRPr="007F5B8C" w:rsidRDefault="0049139A" w:rsidP="004D6C2F">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rPr>
      </w:pPr>
      <w:r>
        <w:rPr>
          <w:rFonts w:ascii="Times New Roman" w:hAnsi="Times New Roman" w:cs="Times New Roman"/>
        </w:rPr>
        <w:t>[</w:t>
      </w:r>
      <w:r w:rsidR="004345E3">
        <w:rPr>
          <w:rFonts w:ascii="Times New Roman" w:hAnsi="Times New Roman" w:cs="Times New Roman"/>
        </w:rPr>
        <w:t>9</w:t>
      </w:r>
      <w:r>
        <w:rPr>
          <w:rFonts w:ascii="Times New Roman" w:hAnsi="Times New Roman" w:cs="Times New Roman"/>
        </w:rPr>
        <w:t>]</w:t>
      </w:r>
      <w:r w:rsidR="007C2155">
        <w:rPr>
          <w:rFonts w:ascii="Times New Roman" w:hAnsi="Times New Roman" w:cs="Times New Roman"/>
        </w:rPr>
        <w:tab/>
      </w:r>
      <w:r>
        <w:rPr>
          <w:rFonts w:ascii="Times New Roman" w:hAnsi="Times New Roman" w:cs="Times New Roman"/>
        </w:rPr>
        <w:tab/>
      </w:r>
      <w:r w:rsidR="004001E8" w:rsidRPr="007F5B8C">
        <w:rPr>
          <w:rFonts w:ascii="Times New Roman" w:hAnsi="Times New Roman" w:cs="Times New Roman"/>
        </w:rPr>
        <w:t>Annor, E. S., &amp; Obeng, F. S. Impact of Credit Risk Management on the Profitability of Selected Commercial Banks Lis</w:t>
      </w:r>
      <w:r w:rsidR="002042A2">
        <w:rPr>
          <w:rFonts w:ascii="Times New Roman" w:hAnsi="Times New Roman" w:cs="Times New Roman"/>
        </w:rPr>
        <w:t>ted on the Ghana Stock Exchange,</w:t>
      </w:r>
      <w:r w:rsidR="004001E8" w:rsidRPr="007F5B8C">
        <w:rPr>
          <w:rFonts w:ascii="Times New Roman" w:hAnsi="Times New Roman" w:cs="Times New Roman"/>
          <w:i/>
        </w:rPr>
        <w:t>Journal of Economics, Management and Trade,</w:t>
      </w:r>
      <w:r w:rsidR="004001E8" w:rsidRPr="007F5B8C">
        <w:rPr>
          <w:rFonts w:ascii="Times New Roman" w:hAnsi="Times New Roman" w:cs="Times New Roman"/>
        </w:rPr>
        <w:t xml:space="preserve"> 1-10, 2017.</w:t>
      </w:r>
    </w:p>
    <w:p w:rsidR="004001E8" w:rsidRPr="007F5B8C" w:rsidRDefault="0049139A" w:rsidP="004D6C2F">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rPr>
      </w:pPr>
      <w:r>
        <w:rPr>
          <w:rFonts w:ascii="Times New Roman" w:hAnsi="Times New Roman" w:cs="Times New Roman"/>
          <w:lang w:val="de-DE"/>
        </w:rPr>
        <w:t>[</w:t>
      </w:r>
      <w:r w:rsidR="00BC372D" w:rsidRPr="007F5B8C">
        <w:rPr>
          <w:rFonts w:ascii="Times New Roman" w:hAnsi="Times New Roman" w:cs="Times New Roman"/>
          <w:lang w:val="de-DE"/>
        </w:rPr>
        <w:t>1</w:t>
      </w:r>
      <w:r w:rsidR="004345E3">
        <w:rPr>
          <w:rFonts w:ascii="Times New Roman" w:hAnsi="Times New Roman" w:cs="Times New Roman"/>
          <w:lang w:val="de-DE"/>
        </w:rPr>
        <w:t>0</w:t>
      </w:r>
      <w:r>
        <w:rPr>
          <w:rFonts w:ascii="Times New Roman" w:hAnsi="Times New Roman" w:cs="Times New Roman"/>
          <w:lang w:val="de-DE"/>
        </w:rPr>
        <w:t>]</w:t>
      </w:r>
      <w:r w:rsidR="007C2155">
        <w:rPr>
          <w:rFonts w:ascii="Times New Roman" w:hAnsi="Times New Roman" w:cs="Times New Roman"/>
          <w:lang w:val="de-DE"/>
        </w:rPr>
        <w:tab/>
      </w:r>
      <w:r>
        <w:rPr>
          <w:rFonts w:ascii="Times New Roman" w:hAnsi="Times New Roman" w:cs="Times New Roman"/>
          <w:lang w:val="de-DE"/>
        </w:rPr>
        <w:tab/>
      </w:r>
      <w:r w:rsidR="004001E8" w:rsidRPr="007F5B8C">
        <w:rPr>
          <w:rFonts w:ascii="Times New Roman" w:hAnsi="Times New Roman" w:cs="Times New Roman"/>
          <w:lang w:val="de-DE"/>
        </w:rPr>
        <w:t xml:space="preserve">Boahene, S. H., Dasah, J., &amp; Agyei, S. K. (2012). </w:t>
      </w:r>
      <w:r w:rsidR="004001E8" w:rsidRPr="007F5B8C">
        <w:rPr>
          <w:rFonts w:ascii="Times New Roman" w:hAnsi="Times New Roman" w:cs="Times New Roman"/>
        </w:rPr>
        <w:t>Credit risk and profitabi</w:t>
      </w:r>
      <w:r w:rsidR="002042A2">
        <w:rPr>
          <w:rFonts w:ascii="Times New Roman" w:hAnsi="Times New Roman" w:cs="Times New Roman"/>
        </w:rPr>
        <w:t>lity of selected banks in Ghana,</w:t>
      </w:r>
      <w:r w:rsidR="004001E8" w:rsidRPr="007F5B8C">
        <w:rPr>
          <w:rFonts w:ascii="Times New Roman" w:hAnsi="Times New Roman" w:cs="Times New Roman"/>
        </w:rPr>
        <w:t>Research Journal of finance and accounti</w:t>
      </w:r>
      <w:bookmarkStart w:id="0" w:name="_GoBack"/>
      <w:bookmarkEnd w:id="0"/>
      <w:r w:rsidR="004001E8" w:rsidRPr="007F5B8C">
        <w:rPr>
          <w:rFonts w:ascii="Times New Roman" w:hAnsi="Times New Roman" w:cs="Times New Roman"/>
        </w:rPr>
        <w:t>ng,3(7), 6-14.</w:t>
      </w:r>
    </w:p>
    <w:p w:rsidR="004E36F7" w:rsidRPr="007F5B8C" w:rsidRDefault="0049139A" w:rsidP="004D6C2F">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rPr>
      </w:pPr>
      <w:r>
        <w:rPr>
          <w:rFonts w:ascii="Times New Roman" w:hAnsi="Times New Roman" w:cs="Times New Roman"/>
        </w:rPr>
        <w:t>[</w:t>
      </w:r>
      <w:r w:rsidR="008F1721" w:rsidRPr="007F5B8C">
        <w:rPr>
          <w:rFonts w:ascii="Times New Roman" w:hAnsi="Times New Roman" w:cs="Times New Roman"/>
        </w:rPr>
        <w:t>1</w:t>
      </w:r>
      <w:r w:rsidR="004345E3">
        <w:rPr>
          <w:rFonts w:ascii="Times New Roman" w:hAnsi="Times New Roman" w:cs="Times New Roman"/>
        </w:rPr>
        <w:t>1</w:t>
      </w:r>
      <w:r>
        <w:rPr>
          <w:rFonts w:ascii="Times New Roman" w:hAnsi="Times New Roman" w:cs="Times New Roman"/>
        </w:rPr>
        <w:t>]</w:t>
      </w:r>
      <w:r w:rsidR="007C2155">
        <w:rPr>
          <w:rFonts w:ascii="Times New Roman" w:hAnsi="Times New Roman" w:cs="Times New Roman"/>
        </w:rPr>
        <w:tab/>
      </w:r>
      <w:r>
        <w:rPr>
          <w:rFonts w:ascii="Times New Roman" w:hAnsi="Times New Roman" w:cs="Times New Roman"/>
        </w:rPr>
        <w:tab/>
      </w:r>
      <w:r w:rsidR="002B5082" w:rsidRPr="007F5B8C">
        <w:rPr>
          <w:rFonts w:ascii="Times New Roman" w:hAnsi="Times New Roman" w:cs="Times New Roman"/>
        </w:rPr>
        <w:t>Gizaw, M., Kebede, M., &amp; Selvaraj, S. (2015). The impact of credit risk on profitability performance of commercial banks in Ethiopia.</w:t>
      </w:r>
      <w:r w:rsidR="002B5082" w:rsidRPr="007F5B8C">
        <w:rPr>
          <w:rFonts w:ascii="Times New Roman" w:hAnsi="Times New Roman" w:cs="Times New Roman"/>
          <w:i/>
        </w:rPr>
        <w:t>African Journal of Business Management</w:t>
      </w:r>
      <w:r w:rsidR="002B5082" w:rsidRPr="007F5B8C">
        <w:rPr>
          <w:rFonts w:ascii="Times New Roman" w:hAnsi="Times New Roman" w:cs="Times New Roman"/>
        </w:rPr>
        <w:t>,9(2), 59-66.</w:t>
      </w:r>
    </w:p>
    <w:p w:rsidR="004001E8" w:rsidRPr="007F5B8C" w:rsidRDefault="0049139A" w:rsidP="004D6C2F">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rPr>
      </w:pPr>
      <w:r>
        <w:rPr>
          <w:rFonts w:ascii="Times New Roman" w:hAnsi="Times New Roman" w:cs="Times New Roman"/>
        </w:rPr>
        <w:t>[</w:t>
      </w:r>
      <w:r w:rsidR="008F1721" w:rsidRPr="007F5B8C">
        <w:rPr>
          <w:rFonts w:ascii="Times New Roman" w:hAnsi="Times New Roman" w:cs="Times New Roman"/>
        </w:rPr>
        <w:t>1</w:t>
      </w:r>
      <w:r w:rsidR="004345E3">
        <w:rPr>
          <w:rFonts w:ascii="Times New Roman" w:hAnsi="Times New Roman" w:cs="Times New Roman"/>
        </w:rPr>
        <w:t>2</w:t>
      </w:r>
      <w:r>
        <w:rPr>
          <w:rFonts w:ascii="Times New Roman" w:hAnsi="Times New Roman" w:cs="Times New Roman"/>
        </w:rPr>
        <w:t>]</w:t>
      </w:r>
      <w:r w:rsidR="007C2155">
        <w:rPr>
          <w:rFonts w:ascii="Times New Roman" w:hAnsi="Times New Roman" w:cs="Times New Roman"/>
        </w:rPr>
        <w:tab/>
      </w:r>
      <w:r>
        <w:rPr>
          <w:rFonts w:ascii="Times New Roman" w:hAnsi="Times New Roman" w:cs="Times New Roman"/>
        </w:rPr>
        <w:tab/>
      </w:r>
      <w:r w:rsidR="00EA62F8">
        <w:rPr>
          <w:rFonts w:ascii="Times New Roman" w:hAnsi="Times New Roman" w:cs="Times New Roman"/>
        </w:rPr>
        <w:t>Sheeba. J (2017),</w:t>
      </w:r>
      <w:r w:rsidR="004001E8" w:rsidRPr="007F5B8C">
        <w:rPr>
          <w:rFonts w:ascii="Times New Roman" w:hAnsi="Times New Roman" w:cs="Times New Roman"/>
        </w:rPr>
        <w:t xml:space="preserve"> A study on the impact of credit risk on the profitability of state </w:t>
      </w:r>
      <w:r w:rsidR="004001E8" w:rsidRPr="007F5B8C">
        <w:rPr>
          <w:rFonts w:ascii="Times New Roman" w:hAnsi="Times New Roman" w:cs="Times New Roman"/>
        </w:rPr>
        <w:lastRenderedPageBreak/>
        <w:t xml:space="preserve">bank of india. ISSN: 2395-1664 (online) </w:t>
      </w:r>
      <w:r w:rsidR="004001E8" w:rsidRPr="007F5B8C">
        <w:rPr>
          <w:rFonts w:ascii="Times New Roman" w:hAnsi="Times New Roman" w:cs="Times New Roman"/>
          <w:i/>
        </w:rPr>
        <w:t>ictact journal on management studies</w:t>
      </w:r>
      <w:r w:rsidR="004001E8" w:rsidRPr="007F5B8C">
        <w:rPr>
          <w:rFonts w:ascii="Times New Roman" w:hAnsi="Times New Roman" w:cs="Times New Roman"/>
        </w:rPr>
        <w:t>, m</w:t>
      </w:r>
      <w:r w:rsidR="00226ADA">
        <w:rPr>
          <w:rFonts w:ascii="Times New Roman" w:hAnsi="Times New Roman" w:cs="Times New Roman"/>
        </w:rPr>
        <w:t>ay 2017, volume: 03, issue: 02.</w:t>
      </w:r>
    </w:p>
    <w:p w:rsidR="000F7816" w:rsidRPr="007F5B8C" w:rsidRDefault="0049139A" w:rsidP="004D6C2F">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rPr>
      </w:pPr>
      <w:r>
        <w:rPr>
          <w:rFonts w:ascii="Times New Roman" w:hAnsi="Times New Roman" w:cs="Times New Roman"/>
        </w:rPr>
        <w:t>[</w:t>
      </w:r>
      <w:r w:rsidR="00BC372D" w:rsidRPr="007F5B8C">
        <w:rPr>
          <w:rFonts w:ascii="Times New Roman" w:hAnsi="Times New Roman" w:cs="Times New Roman"/>
        </w:rPr>
        <w:t>1</w:t>
      </w:r>
      <w:r w:rsidR="004345E3">
        <w:rPr>
          <w:rFonts w:ascii="Times New Roman" w:hAnsi="Times New Roman" w:cs="Times New Roman"/>
        </w:rPr>
        <w:t>3</w:t>
      </w:r>
      <w:r>
        <w:rPr>
          <w:rFonts w:ascii="Times New Roman" w:hAnsi="Times New Roman" w:cs="Times New Roman"/>
        </w:rPr>
        <w:t>]</w:t>
      </w:r>
      <w:r w:rsidR="007C2155">
        <w:rPr>
          <w:rFonts w:ascii="Times New Roman" w:hAnsi="Times New Roman" w:cs="Times New Roman"/>
        </w:rPr>
        <w:tab/>
      </w:r>
      <w:r>
        <w:rPr>
          <w:rFonts w:ascii="Times New Roman" w:hAnsi="Times New Roman" w:cs="Times New Roman"/>
        </w:rPr>
        <w:tab/>
      </w:r>
      <w:r w:rsidR="00EA62F8">
        <w:rPr>
          <w:rFonts w:ascii="Times New Roman" w:hAnsi="Times New Roman" w:cs="Times New Roman"/>
        </w:rPr>
        <w:t>Nyarko-Baasi, M. (2018),</w:t>
      </w:r>
      <w:r w:rsidR="000F7816" w:rsidRPr="007F5B8C">
        <w:rPr>
          <w:rFonts w:ascii="Times New Roman" w:hAnsi="Times New Roman" w:cs="Times New Roman"/>
        </w:rPr>
        <w:t xml:space="preserve"> Effects of Non-Performing Loans on the Profitability of Commercial Banks-A Case of some Selected Banks on the Ghana Stock Exchange. Global Journal of Management And Business Research.</w:t>
      </w:r>
    </w:p>
    <w:p w:rsidR="004001E8" w:rsidRPr="007F5B8C" w:rsidRDefault="0049139A" w:rsidP="008124C4">
      <w:pPr>
        <w:tabs>
          <w:tab w:val="left" w:pos="426"/>
        </w:tabs>
        <w:autoSpaceDE w:val="0"/>
        <w:autoSpaceDN w:val="0"/>
        <w:adjustRightInd w:val="0"/>
        <w:spacing w:before="120" w:after="0" w:line="240" w:lineRule="auto"/>
        <w:ind w:left="425" w:hanging="425"/>
        <w:jc w:val="both"/>
        <w:rPr>
          <w:rFonts w:ascii="Times New Roman" w:hAnsi="Times New Roman" w:cs="Times New Roman"/>
          <w:shd w:val="clear" w:color="auto" w:fill="FFFFFF"/>
        </w:rPr>
      </w:pPr>
      <w:r>
        <w:rPr>
          <w:rFonts w:ascii="Times New Roman" w:hAnsi="Times New Roman" w:cs="Times New Roman"/>
        </w:rPr>
        <w:t>[</w:t>
      </w:r>
      <w:r w:rsidR="00BC372D" w:rsidRPr="007F5B8C">
        <w:rPr>
          <w:rFonts w:ascii="Times New Roman" w:hAnsi="Times New Roman" w:cs="Times New Roman"/>
        </w:rPr>
        <w:t>1</w:t>
      </w:r>
      <w:r w:rsidR="004345E3">
        <w:rPr>
          <w:rFonts w:ascii="Times New Roman" w:hAnsi="Times New Roman" w:cs="Times New Roman"/>
        </w:rPr>
        <w:t>4</w:t>
      </w:r>
      <w:r>
        <w:rPr>
          <w:rFonts w:ascii="Times New Roman" w:hAnsi="Times New Roman" w:cs="Times New Roman"/>
        </w:rPr>
        <w:t>]</w:t>
      </w:r>
      <w:r w:rsidR="007C2155">
        <w:rPr>
          <w:rFonts w:ascii="Times New Roman" w:hAnsi="Times New Roman" w:cs="Times New Roman"/>
        </w:rPr>
        <w:tab/>
      </w:r>
      <w:r>
        <w:rPr>
          <w:rFonts w:ascii="Times New Roman" w:hAnsi="Times New Roman" w:cs="Times New Roman"/>
          <w:shd w:val="clear" w:color="auto" w:fill="FFFFFF"/>
        </w:rPr>
        <w:tab/>
      </w:r>
      <w:r w:rsidR="004001E8" w:rsidRPr="007F5B8C">
        <w:rPr>
          <w:rFonts w:ascii="Times New Roman" w:hAnsi="Times New Roman" w:cs="Times New Roman"/>
          <w:shd w:val="clear" w:color="auto" w:fill="FFFFFF"/>
        </w:rPr>
        <w:t>Olweny, T. and Shipho, T.M., (2011), Effects of banking sectoral factors on the profitability of commercial banks in Kenya.</w:t>
      </w:r>
      <w:r w:rsidR="004001E8" w:rsidRPr="007F5B8C">
        <w:rPr>
          <w:rFonts w:ascii="Times New Roman" w:hAnsi="Times New Roman" w:cs="Times New Roman"/>
          <w:i/>
          <w:iCs/>
          <w:shd w:val="clear" w:color="auto" w:fill="FFFFFF"/>
        </w:rPr>
        <w:t>Economics and Finance Review</w:t>
      </w:r>
      <w:r w:rsidR="004001E8" w:rsidRPr="007F5B8C">
        <w:rPr>
          <w:rFonts w:ascii="Times New Roman" w:hAnsi="Times New Roman" w:cs="Times New Roman"/>
          <w:shd w:val="clear" w:color="auto" w:fill="FFFFFF"/>
        </w:rPr>
        <w:t>,</w:t>
      </w:r>
      <w:r w:rsidR="004001E8" w:rsidRPr="007F5B8C">
        <w:rPr>
          <w:rFonts w:ascii="Times New Roman" w:hAnsi="Times New Roman" w:cs="Times New Roman"/>
          <w:i/>
          <w:iCs/>
          <w:shd w:val="clear" w:color="auto" w:fill="FFFFFF"/>
        </w:rPr>
        <w:t>1</w:t>
      </w:r>
      <w:r w:rsidR="004001E8" w:rsidRPr="007F5B8C">
        <w:rPr>
          <w:rFonts w:ascii="Times New Roman" w:hAnsi="Times New Roman" w:cs="Times New Roman"/>
          <w:shd w:val="clear" w:color="auto" w:fill="FFFFFF"/>
        </w:rPr>
        <w:t>(5), pp.1-30.</w:t>
      </w:r>
    </w:p>
    <w:p w:rsidR="007D257F" w:rsidRPr="007F5B8C" w:rsidRDefault="0049139A" w:rsidP="002E7582">
      <w:pPr>
        <w:pStyle w:val="ListParagraph"/>
        <w:tabs>
          <w:tab w:val="left" w:pos="426"/>
        </w:tabs>
        <w:autoSpaceDE w:val="0"/>
        <w:autoSpaceDN w:val="0"/>
        <w:adjustRightInd w:val="0"/>
        <w:spacing w:before="120" w:after="0" w:line="240" w:lineRule="auto"/>
        <w:ind w:left="425" w:hanging="425"/>
        <w:contextualSpacing w:val="0"/>
        <w:jc w:val="both"/>
        <w:rPr>
          <w:rFonts w:ascii="Times New Roman" w:hAnsi="Times New Roman" w:cs="Times New Roman"/>
        </w:rPr>
      </w:pPr>
      <w:r>
        <w:rPr>
          <w:rFonts w:ascii="Times New Roman" w:hAnsi="Times New Roman" w:cs="Times New Roman"/>
        </w:rPr>
        <w:t>[</w:t>
      </w:r>
      <w:r w:rsidR="008F1721" w:rsidRPr="007F5B8C">
        <w:rPr>
          <w:rFonts w:ascii="Times New Roman" w:hAnsi="Times New Roman" w:cs="Times New Roman"/>
        </w:rPr>
        <w:t>1</w:t>
      </w:r>
      <w:r w:rsidR="004345E3">
        <w:rPr>
          <w:rFonts w:ascii="Times New Roman" w:hAnsi="Times New Roman" w:cs="Times New Roman"/>
        </w:rPr>
        <w:t>5</w:t>
      </w:r>
      <w:r>
        <w:rPr>
          <w:rFonts w:ascii="Times New Roman" w:hAnsi="Times New Roman" w:cs="Times New Roman"/>
        </w:rPr>
        <w:t>]</w:t>
      </w:r>
      <w:r w:rsidR="007C2155">
        <w:rPr>
          <w:rFonts w:ascii="Times New Roman" w:hAnsi="Times New Roman" w:cs="Times New Roman"/>
        </w:rPr>
        <w:tab/>
      </w:r>
      <w:r>
        <w:rPr>
          <w:rFonts w:ascii="Times New Roman" w:hAnsi="Times New Roman" w:cs="Times New Roman"/>
        </w:rPr>
        <w:tab/>
      </w:r>
      <w:r w:rsidR="00EA62F8">
        <w:rPr>
          <w:rFonts w:ascii="Times New Roman" w:hAnsi="Times New Roman" w:cs="Times New Roman"/>
        </w:rPr>
        <w:t>Rose, P. S. (1996),</w:t>
      </w:r>
      <w:r w:rsidR="004E36F7" w:rsidRPr="007F5B8C">
        <w:rPr>
          <w:rFonts w:ascii="Times New Roman" w:hAnsi="Times New Roman" w:cs="Times New Roman"/>
        </w:rPr>
        <w:t>Commercial bank management. Irwin.</w:t>
      </w:r>
    </w:p>
    <w:p w:rsidR="004001E8" w:rsidRPr="007F5B8C" w:rsidRDefault="0049139A" w:rsidP="008124C4">
      <w:pPr>
        <w:tabs>
          <w:tab w:val="left" w:pos="426"/>
        </w:tabs>
        <w:autoSpaceDE w:val="0"/>
        <w:autoSpaceDN w:val="0"/>
        <w:adjustRightInd w:val="0"/>
        <w:spacing w:before="120" w:after="0" w:line="240" w:lineRule="auto"/>
        <w:ind w:left="425" w:hanging="425"/>
        <w:jc w:val="both"/>
        <w:rPr>
          <w:rFonts w:ascii="Times New Roman" w:hAnsi="Times New Roman" w:cs="Times New Roman"/>
        </w:rPr>
      </w:pPr>
      <w:r>
        <w:rPr>
          <w:rFonts w:ascii="Times New Roman" w:hAnsi="Times New Roman" w:cs="Times New Roman"/>
        </w:rPr>
        <w:t>[</w:t>
      </w:r>
      <w:r w:rsidR="008F1721" w:rsidRPr="007F5B8C">
        <w:rPr>
          <w:rFonts w:ascii="Times New Roman" w:hAnsi="Times New Roman" w:cs="Times New Roman"/>
        </w:rPr>
        <w:t>1</w:t>
      </w:r>
      <w:r w:rsidR="004345E3">
        <w:rPr>
          <w:rFonts w:ascii="Times New Roman" w:hAnsi="Times New Roman" w:cs="Times New Roman"/>
        </w:rPr>
        <w:t>6</w:t>
      </w:r>
      <w:r>
        <w:rPr>
          <w:rFonts w:ascii="Times New Roman" w:hAnsi="Times New Roman" w:cs="Times New Roman"/>
        </w:rPr>
        <w:t>]</w:t>
      </w:r>
      <w:r w:rsidR="007C2155">
        <w:rPr>
          <w:rFonts w:ascii="Times New Roman" w:hAnsi="Times New Roman" w:cs="Times New Roman"/>
        </w:rPr>
        <w:tab/>
      </w:r>
      <w:r>
        <w:rPr>
          <w:rFonts w:ascii="Times New Roman" w:hAnsi="Times New Roman" w:cs="Times New Roman"/>
        </w:rPr>
        <w:tab/>
      </w:r>
      <w:r w:rsidR="00EA62F8">
        <w:rPr>
          <w:rFonts w:ascii="Times New Roman" w:hAnsi="Times New Roman" w:cs="Times New Roman"/>
        </w:rPr>
        <w:t>Stuart T (2005),</w:t>
      </w:r>
      <w:r w:rsidR="004001E8" w:rsidRPr="007F5B8C">
        <w:rPr>
          <w:rFonts w:ascii="Times New Roman" w:hAnsi="Times New Roman" w:cs="Times New Roman"/>
        </w:rPr>
        <w:t xml:space="preserve"> “</w:t>
      </w:r>
      <w:r w:rsidR="004001E8" w:rsidRPr="007F5B8C">
        <w:rPr>
          <w:rFonts w:ascii="Times New Roman" w:hAnsi="Times New Roman" w:cs="Times New Roman"/>
          <w:i/>
          <w:iCs/>
        </w:rPr>
        <w:t>New Players, New landscape.The Banker, special supplement”</w:t>
      </w:r>
      <w:r w:rsidR="004001E8" w:rsidRPr="007F5B8C">
        <w:rPr>
          <w:rFonts w:ascii="Times New Roman" w:hAnsi="Times New Roman" w:cs="Times New Roman"/>
        </w:rPr>
        <w:t>, Financial Times, April.</w:t>
      </w:r>
    </w:p>
    <w:p w:rsidR="007D257F" w:rsidRPr="007F5B8C" w:rsidRDefault="0049139A" w:rsidP="002E7582">
      <w:pPr>
        <w:tabs>
          <w:tab w:val="left" w:pos="426"/>
        </w:tabs>
        <w:autoSpaceDE w:val="0"/>
        <w:autoSpaceDN w:val="0"/>
        <w:adjustRightInd w:val="0"/>
        <w:spacing w:before="120" w:after="0" w:line="240" w:lineRule="auto"/>
        <w:ind w:left="425" w:hanging="425"/>
        <w:jc w:val="both"/>
        <w:rPr>
          <w:rFonts w:ascii="Times New Roman" w:hAnsi="Times New Roman" w:cs="Times New Roman"/>
        </w:rPr>
      </w:pPr>
      <w:r>
        <w:rPr>
          <w:rFonts w:ascii="Times New Roman" w:hAnsi="Times New Roman" w:cs="Times New Roman"/>
        </w:rPr>
        <w:t>[</w:t>
      </w:r>
      <w:r w:rsidR="008F1721" w:rsidRPr="007F5B8C">
        <w:rPr>
          <w:rFonts w:ascii="Times New Roman" w:hAnsi="Times New Roman" w:cs="Times New Roman"/>
        </w:rPr>
        <w:t>1</w:t>
      </w:r>
      <w:r w:rsidR="004345E3">
        <w:rPr>
          <w:rFonts w:ascii="Times New Roman" w:hAnsi="Times New Roman" w:cs="Times New Roman"/>
        </w:rPr>
        <w:t>7</w:t>
      </w:r>
      <w:r>
        <w:rPr>
          <w:rFonts w:ascii="Times New Roman" w:hAnsi="Times New Roman" w:cs="Times New Roman"/>
        </w:rPr>
        <w:t>]</w:t>
      </w:r>
      <w:r w:rsidR="007C2155">
        <w:rPr>
          <w:rFonts w:ascii="Times New Roman" w:hAnsi="Times New Roman" w:cs="Times New Roman"/>
        </w:rPr>
        <w:tab/>
      </w:r>
      <w:r>
        <w:rPr>
          <w:rFonts w:ascii="Times New Roman" w:hAnsi="Times New Roman" w:cs="Times New Roman"/>
        </w:rPr>
        <w:tab/>
      </w:r>
      <w:r w:rsidR="007D257F" w:rsidRPr="007F5B8C">
        <w:rPr>
          <w:rFonts w:ascii="Times New Roman" w:hAnsi="Times New Roman" w:cs="Times New Roman"/>
        </w:rPr>
        <w:t>Valahzaghard, M và Jabbari, S</w:t>
      </w:r>
      <w:r w:rsidR="007D257F" w:rsidRPr="007F5B8C">
        <w:rPr>
          <w:rFonts w:ascii="Times New Roman" w:hAnsi="Times New Roman" w:cs="Times New Roman"/>
          <w:lang w:val="pt-BR"/>
        </w:rPr>
        <w:t xml:space="preserve"> (2013), </w:t>
      </w:r>
      <w:r w:rsidR="007D257F" w:rsidRPr="007F5B8C">
        <w:rPr>
          <w:rFonts w:ascii="Times New Roman" w:hAnsi="Times New Roman" w:cs="Times New Roman"/>
        </w:rPr>
        <w:t xml:space="preserve">A study on relationship between CAMELS indexes and risk taking: A case study of Iranian, </w:t>
      </w:r>
      <w:r w:rsidR="007D257F" w:rsidRPr="007F5B8C">
        <w:rPr>
          <w:rFonts w:ascii="Times New Roman" w:hAnsi="Times New Roman" w:cs="Times New Roman"/>
          <w:i/>
        </w:rPr>
        <w:t>Management Science Letters</w:t>
      </w:r>
      <w:r w:rsidR="007D257F" w:rsidRPr="007F5B8C">
        <w:rPr>
          <w:rFonts w:ascii="Times New Roman" w:hAnsi="Times New Roman" w:cs="Times New Roman"/>
        </w:rPr>
        <w:t>.</w:t>
      </w:r>
    </w:p>
    <w:p w:rsidR="007D257F" w:rsidRPr="007F5B8C" w:rsidRDefault="0049139A" w:rsidP="002E7582">
      <w:pPr>
        <w:tabs>
          <w:tab w:val="left" w:pos="426"/>
        </w:tabs>
        <w:autoSpaceDE w:val="0"/>
        <w:autoSpaceDN w:val="0"/>
        <w:adjustRightInd w:val="0"/>
        <w:spacing w:before="120" w:after="0" w:line="240" w:lineRule="auto"/>
        <w:ind w:left="425" w:hanging="425"/>
        <w:jc w:val="both"/>
        <w:rPr>
          <w:rFonts w:ascii="Times New Roman" w:hAnsi="Times New Roman" w:cs="Times New Roman"/>
        </w:rPr>
      </w:pPr>
      <w:r>
        <w:rPr>
          <w:rFonts w:ascii="Times New Roman" w:hAnsi="Times New Roman" w:cs="Times New Roman"/>
        </w:rPr>
        <w:t>[</w:t>
      </w:r>
      <w:r w:rsidR="00BC372D" w:rsidRPr="007F5B8C">
        <w:rPr>
          <w:rFonts w:ascii="Times New Roman" w:hAnsi="Times New Roman" w:cs="Times New Roman"/>
        </w:rPr>
        <w:t>1</w:t>
      </w:r>
      <w:r w:rsidR="004345E3">
        <w:rPr>
          <w:rFonts w:ascii="Times New Roman" w:hAnsi="Times New Roman" w:cs="Times New Roman"/>
        </w:rPr>
        <w:t>8</w:t>
      </w:r>
      <w:r>
        <w:rPr>
          <w:rFonts w:ascii="Times New Roman" w:hAnsi="Times New Roman" w:cs="Times New Roman"/>
        </w:rPr>
        <w:t>]</w:t>
      </w:r>
      <w:r w:rsidR="007C2155">
        <w:rPr>
          <w:rFonts w:ascii="Times New Roman" w:hAnsi="Times New Roman" w:cs="Times New Roman"/>
        </w:rPr>
        <w:tab/>
      </w:r>
      <w:r w:rsidR="00EA62F8">
        <w:rPr>
          <w:rFonts w:ascii="Times New Roman" w:hAnsi="Times New Roman" w:cs="Times New Roman"/>
        </w:rPr>
        <w:t>Umoh P N (1994),</w:t>
      </w:r>
      <w:r w:rsidR="007D257F" w:rsidRPr="007F5B8C">
        <w:rPr>
          <w:rFonts w:ascii="Times New Roman" w:hAnsi="Times New Roman" w:cs="Times New Roman"/>
          <w:i/>
          <w:iCs/>
        </w:rPr>
        <w:t xml:space="preserve">BankLoan’s Recovery: </w:t>
      </w:r>
      <w:r w:rsidR="00EA0D84" w:rsidRPr="007F5B8C">
        <w:rPr>
          <w:rFonts w:ascii="Times New Roman" w:hAnsi="Times New Roman" w:cs="Times New Roman"/>
          <w:i/>
          <w:iCs/>
        </w:rPr>
        <w:t>the</w:t>
      </w:r>
      <w:r w:rsidR="007D257F" w:rsidRPr="007F5B8C">
        <w:rPr>
          <w:rFonts w:ascii="Times New Roman" w:hAnsi="Times New Roman" w:cs="Times New Roman"/>
          <w:i/>
          <w:iCs/>
        </w:rPr>
        <w:t xml:space="preserve"> Roles of the Regulatory / SupervisoryAuthorities</w:t>
      </w:r>
      <w:r w:rsidR="007D257F" w:rsidRPr="007F5B8C">
        <w:rPr>
          <w:rFonts w:ascii="Times New Roman" w:hAnsi="Times New Roman" w:cs="Times New Roman"/>
        </w:rPr>
        <w:t>. Judiciary Law Enforcement Agencies and the Press, NDIC Quarterly 4 (3)</w:t>
      </w:r>
    </w:p>
    <w:p w:rsidR="002E7582" w:rsidRPr="00232F64" w:rsidRDefault="002E7582" w:rsidP="00C27C92">
      <w:pPr>
        <w:pStyle w:val="ListParagraph"/>
        <w:tabs>
          <w:tab w:val="left" w:pos="284"/>
        </w:tabs>
        <w:autoSpaceDE w:val="0"/>
        <w:autoSpaceDN w:val="0"/>
        <w:adjustRightInd w:val="0"/>
        <w:spacing w:before="120" w:after="120" w:line="240" w:lineRule="auto"/>
        <w:ind w:left="0"/>
        <w:contextualSpacing w:val="0"/>
        <w:jc w:val="both"/>
        <w:rPr>
          <w:rFonts w:ascii="Times New Roman" w:hAnsi="Times New Roman" w:cs="Times New Roman"/>
          <w:b/>
          <w:szCs w:val="24"/>
        </w:rPr>
      </w:pPr>
      <w:r w:rsidRPr="00232F64">
        <w:rPr>
          <w:rFonts w:ascii="Times New Roman" w:hAnsi="Times New Roman" w:cs="Times New Roman"/>
          <w:b/>
          <w:szCs w:val="24"/>
        </w:rPr>
        <w:t>Website:</w:t>
      </w:r>
    </w:p>
    <w:p w:rsidR="002E7582" w:rsidRPr="00705938" w:rsidRDefault="002E7582" w:rsidP="002E7582">
      <w:pPr>
        <w:tabs>
          <w:tab w:val="left" w:pos="426"/>
        </w:tabs>
        <w:autoSpaceDE w:val="0"/>
        <w:autoSpaceDN w:val="0"/>
        <w:adjustRightInd w:val="0"/>
        <w:spacing w:after="0" w:line="240" w:lineRule="auto"/>
        <w:ind w:left="426" w:hanging="426"/>
        <w:jc w:val="both"/>
        <w:rPr>
          <w:rFonts w:ascii="Times New Roman" w:hAnsi="Times New Roman" w:cs="Times New Roman"/>
          <w:lang w:val="vi-VN"/>
        </w:rPr>
        <w:sectPr w:rsidR="002E7582" w:rsidRPr="00705938" w:rsidSect="002E7582">
          <w:footnotePr>
            <w:numFmt w:val="upperRoman"/>
          </w:footnotePr>
          <w:type w:val="continuous"/>
          <w:pgSz w:w="10773" w:h="15309" w:code="9"/>
          <w:pgMar w:top="1134" w:right="1134" w:bottom="1134" w:left="1134" w:header="0" w:footer="0" w:gutter="0"/>
          <w:cols w:num="2" w:space="425"/>
          <w:docGrid w:linePitch="360"/>
        </w:sectPr>
      </w:pPr>
      <w:r w:rsidRPr="00906771">
        <w:rPr>
          <w:rFonts w:ascii="Times New Roman" w:hAnsi="Times New Roman" w:cs="Times New Roman"/>
        </w:rPr>
        <w:t>[19]</w:t>
      </w:r>
      <w:r w:rsidRPr="00906771">
        <w:rPr>
          <w:rFonts w:ascii="Times New Roman" w:hAnsi="Times New Roman" w:cs="Times New Roman"/>
        </w:rPr>
        <w:tab/>
        <w:t>Web của Ngân hàng Nhà nước</w:t>
      </w:r>
      <w:hyperlink r:id="rId10" w:history="1">
        <w:r w:rsidRPr="00906771">
          <w:rPr>
            <w:rStyle w:val="Hyperlink"/>
            <w:rFonts w:ascii="Times New Roman" w:hAnsi="Times New Roman" w:cs="Times New Roman"/>
          </w:rPr>
          <w:t>www.sbv.gov.vn</w:t>
        </w:r>
      </w:hyperlink>
      <w:r w:rsidRPr="00906771">
        <w:rPr>
          <w:rFonts w:ascii="Times New Roman" w:hAnsi="Times New Roman" w:cs="Times New Roman"/>
        </w:rPr>
        <w:t>., Tổng qua</w:t>
      </w:r>
      <w:r>
        <w:rPr>
          <w:rFonts w:ascii="Times New Roman" w:hAnsi="Times New Roman" w:cs="Times New Roman"/>
          <w:lang w:val="vi-VN"/>
        </w:rPr>
        <w:t xml:space="preserve">n  </w:t>
      </w:r>
      <w:r w:rsidRPr="00906771">
        <w:rPr>
          <w:rFonts w:ascii="Times New Roman" w:hAnsi="Times New Roman" w:cs="Times New Roman"/>
        </w:rPr>
        <w:t>Basel II, truy cập ngày 14/8/2018.</w:t>
      </w:r>
    </w:p>
    <w:p w:rsidR="008D687B" w:rsidRDefault="008D687B" w:rsidP="002C71E0">
      <w:pPr>
        <w:spacing w:before="120" w:after="120" w:line="240" w:lineRule="auto"/>
        <w:rPr>
          <w:rFonts w:ascii="Times New Roman" w:hAnsi="Times New Roman" w:cs="Times New Roman"/>
          <w:b/>
          <w:sz w:val="28"/>
          <w:szCs w:val="28"/>
        </w:rPr>
        <w:sectPr w:rsidR="008D687B" w:rsidSect="00412254">
          <w:footnotePr>
            <w:numFmt w:val="upperRoman"/>
          </w:footnotePr>
          <w:type w:val="continuous"/>
          <w:pgSz w:w="10773" w:h="15309" w:code="9"/>
          <w:pgMar w:top="1134" w:right="1134" w:bottom="1134" w:left="1134" w:header="0" w:footer="0" w:gutter="0"/>
          <w:cols w:space="720"/>
          <w:docGrid w:linePitch="360"/>
        </w:sectPr>
      </w:pPr>
    </w:p>
    <w:p w:rsidR="00387596" w:rsidRDefault="00387596" w:rsidP="002C71E0">
      <w:pPr>
        <w:spacing w:before="120" w:after="120" w:line="240" w:lineRule="auto"/>
        <w:rPr>
          <w:rFonts w:ascii="Times New Roman" w:hAnsi="Times New Roman" w:cs="Times New Roman"/>
          <w:b/>
          <w:sz w:val="28"/>
          <w:szCs w:val="28"/>
        </w:rPr>
      </w:pPr>
    </w:p>
    <w:p w:rsidR="002C71E0" w:rsidRPr="002C71E0" w:rsidRDefault="002C71E0" w:rsidP="002C71E0">
      <w:pPr>
        <w:spacing w:before="120" w:after="120" w:line="240" w:lineRule="auto"/>
        <w:jc w:val="center"/>
        <w:rPr>
          <w:rFonts w:ascii="Times New Roman" w:eastAsia="Calibri" w:hAnsi="Times New Roman" w:cs="Times New Roman"/>
          <w:b/>
          <w:sz w:val="26"/>
          <w:szCs w:val="26"/>
        </w:rPr>
      </w:pPr>
      <w:r w:rsidRPr="002C71E0">
        <w:rPr>
          <w:rFonts w:ascii="Times New Roman" w:eastAsia="Calibri" w:hAnsi="Times New Roman" w:cs="Times New Roman"/>
          <w:b/>
          <w:sz w:val="26"/>
          <w:szCs w:val="26"/>
        </w:rPr>
        <w:t>EVALUATING THE IMPACT OF CREDIT RISK ON PROFITABILITYOF VIETNAMESE COMMERCIAL BANKS</w:t>
      </w:r>
    </w:p>
    <w:p w:rsidR="002C71E0" w:rsidRPr="002C71E0" w:rsidRDefault="002C71E0" w:rsidP="002C71E0">
      <w:pPr>
        <w:spacing w:after="0" w:line="240" w:lineRule="auto"/>
        <w:jc w:val="center"/>
        <w:rPr>
          <w:rFonts w:ascii="Times New Roman" w:eastAsia="Calibri" w:hAnsi="Times New Roman" w:cs="Times New Roman"/>
          <w:b/>
          <w:sz w:val="24"/>
          <w:szCs w:val="26"/>
        </w:rPr>
      </w:pPr>
    </w:p>
    <w:p w:rsidR="002C71E0" w:rsidRPr="002C71E0" w:rsidRDefault="002C71E0" w:rsidP="002C71E0">
      <w:pPr>
        <w:spacing w:after="0" w:line="288" w:lineRule="auto"/>
        <w:ind w:firstLine="567"/>
        <w:jc w:val="both"/>
        <w:rPr>
          <w:rFonts w:ascii="Times New Roman" w:eastAsia="Calibri" w:hAnsi="Times New Roman" w:cs="Times New Roman"/>
          <w:i/>
          <w:szCs w:val="24"/>
        </w:rPr>
      </w:pPr>
      <w:r w:rsidRPr="002C71E0">
        <w:rPr>
          <w:rFonts w:ascii="Times New Roman" w:eastAsia="Calibri" w:hAnsi="Times New Roman" w:cs="Times New Roman"/>
          <w:b/>
          <w:i/>
          <w:szCs w:val="24"/>
        </w:rPr>
        <w:t>Abstract:</w:t>
      </w:r>
      <w:r w:rsidRPr="002C71E0">
        <w:rPr>
          <w:rFonts w:ascii="Times New Roman" w:eastAsia="Calibri" w:hAnsi="Times New Roman" w:cs="Times New Roman"/>
          <w:i/>
          <w:szCs w:val="24"/>
        </w:rPr>
        <w:t xml:space="preserve"> Credit risk management plays an essential role on the health of banking system. An effective risk management strategy will boost banks’ growth and income; otherwise, it will have negative effects on banks’ profitability. An empirical/practical study was conducted to investigate the effects of credit risk on profitability of Vietnamese commercial banks. The secondary data was collected from 12 banks in 11 years from 2007 to 2017, and the data was </w:t>
      </w:r>
      <w:r w:rsidRPr="002C71E0">
        <w:rPr>
          <w:rFonts w:ascii="Times New Roman" w:eastAsia="Calibri" w:hAnsi="Times New Roman" w:cs="Times New Roman"/>
          <w:i/>
          <w:szCs w:val="24"/>
        </w:rPr>
        <w:lastRenderedPageBreak/>
        <w:t>preceded by panel data regression models to assess the effects of credit risk to banks’ profitability. The research result shows that credit risk criteria include: non-performing loan ratio, potential loss loan and loan loss provision ratio and they have significant effects on profitability of Vietnamese commercial banks. Therefore, it is necessary to improve credit risk management to maintain current profitability of Vietnamese commercial banks.</w:t>
      </w:r>
    </w:p>
    <w:p w:rsidR="002C71E0" w:rsidRPr="002C71E0" w:rsidRDefault="002C71E0" w:rsidP="002C71E0">
      <w:pPr>
        <w:spacing w:after="0" w:line="240" w:lineRule="auto"/>
        <w:ind w:firstLine="567"/>
        <w:jc w:val="both"/>
        <w:rPr>
          <w:rFonts w:ascii="Times New Roman" w:eastAsia="Calibri" w:hAnsi="Times New Roman" w:cs="Times New Roman"/>
          <w:szCs w:val="24"/>
        </w:rPr>
      </w:pPr>
      <w:r w:rsidRPr="002C71E0">
        <w:rPr>
          <w:rFonts w:ascii="Times New Roman" w:eastAsia="Calibri" w:hAnsi="Times New Roman" w:cs="Times New Roman"/>
          <w:b/>
          <w:i/>
          <w:szCs w:val="24"/>
        </w:rPr>
        <w:t>Keywords:</w:t>
      </w:r>
      <w:r w:rsidRPr="002C71E0">
        <w:rPr>
          <w:rFonts w:ascii="Times New Roman" w:eastAsia="Calibri" w:hAnsi="Times New Roman" w:cs="Times New Roman"/>
          <w:szCs w:val="24"/>
        </w:rPr>
        <w:t xml:space="preserve"> </w:t>
      </w:r>
      <w:r w:rsidRPr="002C71E0">
        <w:rPr>
          <w:rFonts w:ascii="Times New Roman" w:eastAsia="Calibri" w:hAnsi="Times New Roman" w:cs="Times New Roman"/>
          <w:i/>
          <w:szCs w:val="24"/>
        </w:rPr>
        <w:t>Bad debt, Profitability, Credit risk, Commercial banks.</w:t>
      </w:r>
    </w:p>
    <w:p w:rsidR="00C27C92" w:rsidRPr="00387596" w:rsidRDefault="00C27C92" w:rsidP="00D709DD">
      <w:pPr>
        <w:spacing w:after="0" w:line="288" w:lineRule="auto"/>
        <w:jc w:val="both"/>
        <w:rPr>
          <w:rFonts w:ascii="Times New Roman" w:hAnsi="Times New Roman"/>
          <w:szCs w:val="24"/>
          <w:lang w:val="vi-VN"/>
        </w:rPr>
      </w:pPr>
    </w:p>
    <w:p w:rsidR="0059533F" w:rsidRPr="00906771" w:rsidRDefault="0059533F" w:rsidP="00027605">
      <w:pPr>
        <w:spacing w:after="0" w:line="360" w:lineRule="auto"/>
        <w:ind w:firstLine="567"/>
        <w:jc w:val="both"/>
        <w:rPr>
          <w:rFonts w:ascii="Times New Roman" w:hAnsi="Times New Roman"/>
          <w:b/>
          <w:sz w:val="24"/>
          <w:szCs w:val="24"/>
          <w:lang w:val="vi-VN"/>
        </w:rPr>
      </w:pPr>
      <w:r w:rsidRPr="00C27C92">
        <w:rPr>
          <w:rFonts w:ascii="Times New Roman" w:hAnsi="Times New Roman"/>
          <w:b/>
          <w:sz w:val="24"/>
          <w:szCs w:val="24"/>
          <w:lang w:val="vi-VN"/>
        </w:rPr>
        <w:t>Liên hệ</w:t>
      </w:r>
      <w:r w:rsidR="00C27C92" w:rsidRPr="00906771">
        <w:rPr>
          <w:rFonts w:ascii="Times New Roman" w:hAnsi="Times New Roman"/>
          <w:b/>
          <w:sz w:val="24"/>
          <w:szCs w:val="24"/>
          <w:lang w:val="vi-VN"/>
        </w:rPr>
        <w:t>:</w:t>
      </w:r>
    </w:p>
    <w:p w:rsidR="0059533F" w:rsidRPr="00C27C92" w:rsidRDefault="0059533F" w:rsidP="00387596">
      <w:pPr>
        <w:spacing w:after="0" w:line="288" w:lineRule="auto"/>
        <w:ind w:firstLine="567"/>
        <w:jc w:val="both"/>
        <w:rPr>
          <w:rFonts w:ascii="Times New Roman" w:hAnsi="Times New Roman"/>
          <w:sz w:val="24"/>
          <w:szCs w:val="24"/>
          <w:lang w:val="vi-VN"/>
        </w:rPr>
      </w:pPr>
      <w:r w:rsidRPr="00C27C92">
        <w:rPr>
          <w:rFonts w:ascii="Times New Roman" w:hAnsi="Times New Roman"/>
          <w:sz w:val="24"/>
          <w:szCs w:val="24"/>
          <w:lang w:val="vi-VN"/>
        </w:rPr>
        <w:t>ThS. Bùi Khắc Hoài Phương</w:t>
      </w:r>
    </w:p>
    <w:p w:rsidR="00E223B6" w:rsidRDefault="0059533F" w:rsidP="00387596">
      <w:pPr>
        <w:spacing w:after="0" w:line="288" w:lineRule="auto"/>
        <w:ind w:left="567"/>
        <w:jc w:val="both"/>
        <w:rPr>
          <w:rFonts w:ascii="Times New Roman" w:hAnsi="Times New Roman"/>
          <w:i/>
          <w:sz w:val="24"/>
          <w:szCs w:val="24"/>
          <w:lang w:val="vi-VN"/>
        </w:rPr>
      </w:pPr>
      <w:r>
        <w:rPr>
          <w:rFonts w:ascii="Times New Roman" w:hAnsi="Times New Roman"/>
          <w:i/>
          <w:sz w:val="24"/>
          <w:szCs w:val="24"/>
          <w:lang w:val="vi-VN"/>
        </w:rPr>
        <w:t>Khoa Kinh tế- Du lịch</w:t>
      </w:r>
      <w:r w:rsidRPr="00CF1221">
        <w:rPr>
          <w:rFonts w:ascii="Times New Roman" w:hAnsi="Times New Roman"/>
          <w:i/>
          <w:sz w:val="24"/>
          <w:szCs w:val="24"/>
          <w:lang w:val="vi-VN"/>
        </w:rPr>
        <w:t>, Trường Đại học Quả</w:t>
      </w:r>
      <w:r w:rsidR="004759E8">
        <w:rPr>
          <w:rFonts w:ascii="Times New Roman" w:hAnsi="Times New Roman"/>
          <w:i/>
          <w:sz w:val="24"/>
          <w:szCs w:val="24"/>
          <w:lang w:val="vi-VN"/>
        </w:rPr>
        <w:t>ng Bình</w:t>
      </w:r>
    </w:p>
    <w:p w:rsidR="0059533F" w:rsidRPr="00CF1221" w:rsidRDefault="0059533F" w:rsidP="00387596">
      <w:pPr>
        <w:spacing w:after="0" w:line="288" w:lineRule="auto"/>
        <w:ind w:left="567"/>
        <w:jc w:val="both"/>
        <w:rPr>
          <w:rFonts w:ascii="Times New Roman" w:hAnsi="Times New Roman"/>
          <w:i/>
          <w:sz w:val="24"/>
          <w:szCs w:val="24"/>
          <w:lang w:val="vi-VN"/>
        </w:rPr>
      </w:pPr>
      <w:r w:rsidRPr="00CF1221">
        <w:rPr>
          <w:rFonts w:ascii="Times New Roman" w:hAnsi="Times New Roman"/>
          <w:i/>
          <w:sz w:val="24"/>
          <w:szCs w:val="24"/>
          <w:lang w:val="vi-VN"/>
        </w:rPr>
        <w:t>312 lý Thường Kiệt, Đồng Hới, Quảng Bình,</w:t>
      </w:r>
    </w:p>
    <w:p w:rsidR="0059533F" w:rsidRPr="00AB62FA" w:rsidRDefault="0059533F" w:rsidP="00387596">
      <w:pPr>
        <w:spacing w:after="0" w:line="288" w:lineRule="auto"/>
        <w:ind w:firstLine="567"/>
        <w:jc w:val="both"/>
        <w:rPr>
          <w:rFonts w:ascii="Times New Roman" w:hAnsi="Times New Roman"/>
          <w:i/>
          <w:sz w:val="26"/>
          <w:szCs w:val="26"/>
          <w:lang w:val="vi-VN"/>
        </w:rPr>
      </w:pPr>
      <w:r w:rsidRPr="00CF1221">
        <w:rPr>
          <w:rFonts w:ascii="Times New Roman" w:hAnsi="Times New Roman"/>
          <w:i/>
          <w:sz w:val="24"/>
          <w:szCs w:val="24"/>
          <w:lang w:val="vi-VN"/>
        </w:rPr>
        <w:t>Email:</w:t>
      </w:r>
      <w:r>
        <w:rPr>
          <w:rFonts w:ascii="Times New Roman" w:hAnsi="Times New Roman"/>
          <w:i/>
          <w:sz w:val="24"/>
          <w:szCs w:val="24"/>
          <w:lang w:val="vi-VN"/>
        </w:rPr>
        <w:t>hoaiphuongbk@gmail.com</w:t>
      </w:r>
    </w:p>
    <w:sectPr w:rsidR="0059533F" w:rsidRPr="00AB62FA" w:rsidSect="00412254">
      <w:footnotePr>
        <w:numFmt w:val="upperRoman"/>
      </w:footnotePr>
      <w:type w:val="continuous"/>
      <w:pgSz w:w="10773" w:h="15309" w:code="9"/>
      <w:pgMar w:top="1134" w:right="1134" w:bottom="1134"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2AA" w:rsidRDefault="009132AA" w:rsidP="00EC52BA">
      <w:pPr>
        <w:spacing w:after="0" w:line="240" w:lineRule="auto"/>
      </w:pPr>
      <w:r>
        <w:separator/>
      </w:r>
    </w:p>
  </w:endnote>
  <w:endnote w:type="continuationSeparator" w:id="0">
    <w:p w:rsidR="009132AA" w:rsidRDefault="009132AA" w:rsidP="00EC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2AA" w:rsidRDefault="009132AA" w:rsidP="00EC52BA">
      <w:pPr>
        <w:spacing w:after="0" w:line="240" w:lineRule="auto"/>
      </w:pPr>
      <w:r>
        <w:separator/>
      </w:r>
    </w:p>
  </w:footnote>
  <w:footnote w:type="continuationSeparator" w:id="0">
    <w:p w:rsidR="009132AA" w:rsidRDefault="009132AA" w:rsidP="00EC5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49C"/>
    <w:multiLevelType w:val="hybridMultilevel"/>
    <w:tmpl w:val="C080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C2B30"/>
    <w:multiLevelType w:val="hybridMultilevel"/>
    <w:tmpl w:val="12267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36333"/>
    <w:multiLevelType w:val="hybridMultilevel"/>
    <w:tmpl w:val="3906E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576C8"/>
    <w:multiLevelType w:val="hybridMultilevel"/>
    <w:tmpl w:val="2DFA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C4704"/>
    <w:multiLevelType w:val="hybridMultilevel"/>
    <w:tmpl w:val="473AFE58"/>
    <w:lvl w:ilvl="0" w:tplc="CC92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C63283"/>
    <w:multiLevelType w:val="hybridMultilevel"/>
    <w:tmpl w:val="BBF8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B2845"/>
    <w:multiLevelType w:val="hybridMultilevel"/>
    <w:tmpl w:val="8E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Fmt w:val="upperRoman"/>
    <w:footnote w:id="-1"/>
    <w:footnote w:id="0"/>
  </w:footnotePr>
  <w:endnotePr>
    <w:endnote w:id="-1"/>
    <w:endnote w:id="0"/>
  </w:endnotePr>
  <w:compat>
    <w:useFELayout/>
    <w:compatSetting w:name="compatibilityMode" w:uri="http://schemas.microsoft.com/office/word" w:val="12"/>
  </w:compat>
  <w:rsids>
    <w:rsidRoot w:val="001F5A9F"/>
    <w:rsid w:val="00001E1E"/>
    <w:rsid w:val="00004FAE"/>
    <w:rsid w:val="00016A60"/>
    <w:rsid w:val="00016EC5"/>
    <w:rsid w:val="00020F8F"/>
    <w:rsid w:val="00021AC3"/>
    <w:rsid w:val="00023028"/>
    <w:rsid w:val="000259B4"/>
    <w:rsid w:val="00027605"/>
    <w:rsid w:val="00032A77"/>
    <w:rsid w:val="0003689F"/>
    <w:rsid w:val="0004222D"/>
    <w:rsid w:val="0004647D"/>
    <w:rsid w:val="00052AEA"/>
    <w:rsid w:val="00056A94"/>
    <w:rsid w:val="00063CD3"/>
    <w:rsid w:val="00067100"/>
    <w:rsid w:val="00073AE2"/>
    <w:rsid w:val="00075AEA"/>
    <w:rsid w:val="00077E03"/>
    <w:rsid w:val="00080E48"/>
    <w:rsid w:val="0008419F"/>
    <w:rsid w:val="000A3CE5"/>
    <w:rsid w:val="000A5F25"/>
    <w:rsid w:val="000A68BC"/>
    <w:rsid w:val="000C46DD"/>
    <w:rsid w:val="000D03BB"/>
    <w:rsid w:val="000D2756"/>
    <w:rsid w:val="000D3414"/>
    <w:rsid w:val="000E09CD"/>
    <w:rsid w:val="000F0134"/>
    <w:rsid w:val="000F53E5"/>
    <w:rsid w:val="000F7816"/>
    <w:rsid w:val="001144B3"/>
    <w:rsid w:val="00131042"/>
    <w:rsid w:val="00131914"/>
    <w:rsid w:val="00135218"/>
    <w:rsid w:val="001374BB"/>
    <w:rsid w:val="00140503"/>
    <w:rsid w:val="00142175"/>
    <w:rsid w:val="0014223B"/>
    <w:rsid w:val="00151AF2"/>
    <w:rsid w:val="0015604E"/>
    <w:rsid w:val="00156DDE"/>
    <w:rsid w:val="001854FA"/>
    <w:rsid w:val="001A0DA1"/>
    <w:rsid w:val="001A4A40"/>
    <w:rsid w:val="001A65F4"/>
    <w:rsid w:val="001B1A41"/>
    <w:rsid w:val="001C0EAC"/>
    <w:rsid w:val="001C7074"/>
    <w:rsid w:val="001D47F0"/>
    <w:rsid w:val="001E1C0B"/>
    <w:rsid w:val="001E5710"/>
    <w:rsid w:val="001F0E71"/>
    <w:rsid w:val="001F3957"/>
    <w:rsid w:val="001F5A9F"/>
    <w:rsid w:val="002042A2"/>
    <w:rsid w:val="00206E4C"/>
    <w:rsid w:val="002247C3"/>
    <w:rsid w:val="00226ADA"/>
    <w:rsid w:val="002307EA"/>
    <w:rsid w:val="00231A80"/>
    <w:rsid w:val="00232348"/>
    <w:rsid w:val="00232F64"/>
    <w:rsid w:val="0023511F"/>
    <w:rsid w:val="00235FB8"/>
    <w:rsid w:val="00236842"/>
    <w:rsid w:val="002406D6"/>
    <w:rsid w:val="0024187C"/>
    <w:rsid w:val="00244D3C"/>
    <w:rsid w:val="002512AB"/>
    <w:rsid w:val="0025498D"/>
    <w:rsid w:val="002576E1"/>
    <w:rsid w:val="00257F15"/>
    <w:rsid w:val="0026283B"/>
    <w:rsid w:val="00262E9A"/>
    <w:rsid w:val="00263963"/>
    <w:rsid w:val="002657D1"/>
    <w:rsid w:val="00267A88"/>
    <w:rsid w:val="002737E7"/>
    <w:rsid w:val="002757EF"/>
    <w:rsid w:val="00275E99"/>
    <w:rsid w:val="00287D71"/>
    <w:rsid w:val="00297B40"/>
    <w:rsid w:val="002A0C7C"/>
    <w:rsid w:val="002A5E89"/>
    <w:rsid w:val="002B3649"/>
    <w:rsid w:val="002B5082"/>
    <w:rsid w:val="002B70CC"/>
    <w:rsid w:val="002C02D0"/>
    <w:rsid w:val="002C3782"/>
    <w:rsid w:val="002C5FE0"/>
    <w:rsid w:val="002C71E0"/>
    <w:rsid w:val="002C7263"/>
    <w:rsid w:val="002D05B9"/>
    <w:rsid w:val="002D2719"/>
    <w:rsid w:val="002D4228"/>
    <w:rsid w:val="002D57C3"/>
    <w:rsid w:val="002D620C"/>
    <w:rsid w:val="002D68F6"/>
    <w:rsid w:val="002E2130"/>
    <w:rsid w:val="002E63EB"/>
    <w:rsid w:val="002E7582"/>
    <w:rsid w:val="002E7955"/>
    <w:rsid w:val="002F411A"/>
    <w:rsid w:val="002F753A"/>
    <w:rsid w:val="00302D85"/>
    <w:rsid w:val="00302EC1"/>
    <w:rsid w:val="0030309A"/>
    <w:rsid w:val="00306AB9"/>
    <w:rsid w:val="00322955"/>
    <w:rsid w:val="00324EBE"/>
    <w:rsid w:val="00336B03"/>
    <w:rsid w:val="00337EA6"/>
    <w:rsid w:val="00342347"/>
    <w:rsid w:val="00342646"/>
    <w:rsid w:val="0034265C"/>
    <w:rsid w:val="003462A5"/>
    <w:rsid w:val="00351208"/>
    <w:rsid w:val="003515FE"/>
    <w:rsid w:val="00351867"/>
    <w:rsid w:val="003536C3"/>
    <w:rsid w:val="00373D95"/>
    <w:rsid w:val="00375BA4"/>
    <w:rsid w:val="0037693D"/>
    <w:rsid w:val="00381D44"/>
    <w:rsid w:val="00387596"/>
    <w:rsid w:val="00390B3E"/>
    <w:rsid w:val="003A42BB"/>
    <w:rsid w:val="003A63B0"/>
    <w:rsid w:val="003B0B64"/>
    <w:rsid w:val="003B14AA"/>
    <w:rsid w:val="003B46B2"/>
    <w:rsid w:val="003C5D87"/>
    <w:rsid w:val="003C75B9"/>
    <w:rsid w:val="003D084A"/>
    <w:rsid w:val="003D4D21"/>
    <w:rsid w:val="003D4F3D"/>
    <w:rsid w:val="003E0E2B"/>
    <w:rsid w:val="003E147E"/>
    <w:rsid w:val="004001E8"/>
    <w:rsid w:val="004072A4"/>
    <w:rsid w:val="004116DA"/>
    <w:rsid w:val="004121A3"/>
    <w:rsid w:val="00412254"/>
    <w:rsid w:val="0041692D"/>
    <w:rsid w:val="004228DE"/>
    <w:rsid w:val="004279B0"/>
    <w:rsid w:val="004345E3"/>
    <w:rsid w:val="0044005B"/>
    <w:rsid w:val="00444E58"/>
    <w:rsid w:val="00445D26"/>
    <w:rsid w:val="0044717F"/>
    <w:rsid w:val="00450DAB"/>
    <w:rsid w:val="004742B1"/>
    <w:rsid w:val="00474FB0"/>
    <w:rsid w:val="004759E8"/>
    <w:rsid w:val="00476F20"/>
    <w:rsid w:val="004860A2"/>
    <w:rsid w:val="00486F2B"/>
    <w:rsid w:val="0049139A"/>
    <w:rsid w:val="00493591"/>
    <w:rsid w:val="004A3CEE"/>
    <w:rsid w:val="004A3E73"/>
    <w:rsid w:val="004A62BF"/>
    <w:rsid w:val="004B0720"/>
    <w:rsid w:val="004B0C3C"/>
    <w:rsid w:val="004B31EC"/>
    <w:rsid w:val="004B53DE"/>
    <w:rsid w:val="004C47ED"/>
    <w:rsid w:val="004C7AD2"/>
    <w:rsid w:val="004D6C2F"/>
    <w:rsid w:val="004D6C50"/>
    <w:rsid w:val="004E08BF"/>
    <w:rsid w:val="004E36F7"/>
    <w:rsid w:val="004E475F"/>
    <w:rsid w:val="004E5DDD"/>
    <w:rsid w:val="004F4A12"/>
    <w:rsid w:val="004F5123"/>
    <w:rsid w:val="0050094F"/>
    <w:rsid w:val="00502A0A"/>
    <w:rsid w:val="0051070A"/>
    <w:rsid w:val="005122C9"/>
    <w:rsid w:val="005163B1"/>
    <w:rsid w:val="00521D3A"/>
    <w:rsid w:val="00523212"/>
    <w:rsid w:val="005245F5"/>
    <w:rsid w:val="00526540"/>
    <w:rsid w:val="00530EFF"/>
    <w:rsid w:val="005313F0"/>
    <w:rsid w:val="00533B03"/>
    <w:rsid w:val="00544198"/>
    <w:rsid w:val="00546346"/>
    <w:rsid w:val="0055031F"/>
    <w:rsid w:val="00550DF7"/>
    <w:rsid w:val="00554FEC"/>
    <w:rsid w:val="00556BB0"/>
    <w:rsid w:val="0056366D"/>
    <w:rsid w:val="00575F95"/>
    <w:rsid w:val="00577787"/>
    <w:rsid w:val="00580C78"/>
    <w:rsid w:val="00580F7E"/>
    <w:rsid w:val="00592B9B"/>
    <w:rsid w:val="00595174"/>
    <w:rsid w:val="0059533F"/>
    <w:rsid w:val="005963BA"/>
    <w:rsid w:val="005A2E7D"/>
    <w:rsid w:val="005A5DB6"/>
    <w:rsid w:val="005A5FEA"/>
    <w:rsid w:val="005B363B"/>
    <w:rsid w:val="005D1063"/>
    <w:rsid w:val="005D1D77"/>
    <w:rsid w:val="005E6A85"/>
    <w:rsid w:val="005F0B7D"/>
    <w:rsid w:val="005F31AD"/>
    <w:rsid w:val="005F4B7F"/>
    <w:rsid w:val="0060053C"/>
    <w:rsid w:val="006039CE"/>
    <w:rsid w:val="006047D8"/>
    <w:rsid w:val="006075DD"/>
    <w:rsid w:val="00610FF1"/>
    <w:rsid w:val="006116A2"/>
    <w:rsid w:val="00613833"/>
    <w:rsid w:val="00614DB6"/>
    <w:rsid w:val="00615561"/>
    <w:rsid w:val="00622104"/>
    <w:rsid w:val="00644AC7"/>
    <w:rsid w:val="00645E24"/>
    <w:rsid w:val="0064725F"/>
    <w:rsid w:val="00653FD6"/>
    <w:rsid w:val="00654043"/>
    <w:rsid w:val="0065691D"/>
    <w:rsid w:val="00656C11"/>
    <w:rsid w:val="006607E1"/>
    <w:rsid w:val="00667A69"/>
    <w:rsid w:val="00684308"/>
    <w:rsid w:val="0068507F"/>
    <w:rsid w:val="00685CB2"/>
    <w:rsid w:val="00695BF5"/>
    <w:rsid w:val="006B0413"/>
    <w:rsid w:val="006C00A9"/>
    <w:rsid w:val="006C1266"/>
    <w:rsid w:val="006C5177"/>
    <w:rsid w:val="006C7F7D"/>
    <w:rsid w:val="006D5CE3"/>
    <w:rsid w:val="006E6F33"/>
    <w:rsid w:val="00700EEC"/>
    <w:rsid w:val="00704CF9"/>
    <w:rsid w:val="00705938"/>
    <w:rsid w:val="007064A2"/>
    <w:rsid w:val="0071392A"/>
    <w:rsid w:val="00717FC0"/>
    <w:rsid w:val="0072556C"/>
    <w:rsid w:val="00725C0E"/>
    <w:rsid w:val="00727DCA"/>
    <w:rsid w:val="00733BFF"/>
    <w:rsid w:val="00742F2E"/>
    <w:rsid w:val="00744949"/>
    <w:rsid w:val="0074661B"/>
    <w:rsid w:val="007503DF"/>
    <w:rsid w:val="00752390"/>
    <w:rsid w:val="007537FE"/>
    <w:rsid w:val="007552A7"/>
    <w:rsid w:val="007613AA"/>
    <w:rsid w:val="00773007"/>
    <w:rsid w:val="0077309F"/>
    <w:rsid w:val="00773647"/>
    <w:rsid w:val="00776906"/>
    <w:rsid w:val="00781591"/>
    <w:rsid w:val="007977F4"/>
    <w:rsid w:val="007A21E4"/>
    <w:rsid w:val="007A4651"/>
    <w:rsid w:val="007B05CF"/>
    <w:rsid w:val="007B158C"/>
    <w:rsid w:val="007C2155"/>
    <w:rsid w:val="007C28CB"/>
    <w:rsid w:val="007D01C8"/>
    <w:rsid w:val="007D257F"/>
    <w:rsid w:val="007D48EA"/>
    <w:rsid w:val="007D5CC0"/>
    <w:rsid w:val="007E3C06"/>
    <w:rsid w:val="007E6F21"/>
    <w:rsid w:val="007F5B8C"/>
    <w:rsid w:val="00800F54"/>
    <w:rsid w:val="00804A3F"/>
    <w:rsid w:val="0080508A"/>
    <w:rsid w:val="00805C34"/>
    <w:rsid w:val="00807FE5"/>
    <w:rsid w:val="008105DD"/>
    <w:rsid w:val="008124C4"/>
    <w:rsid w:val="00812DF0"/>
    <w:rsid w:val="00813802"/>
    <w:rsid w:val="008215D4"/>
    <w:rsid w:val="00824FFC"/>
    <w:rsid w:val="00827CD0"/>
    <w:rsid w:val="00852B2B"/>
    <w:rsid w:val="008616AF"/>
    <w:rsid w:val="00871963"/>
    <w:rsid w:val="00893015"/>
    <w:rsid w:val="008945F7"/>
    <w:rsid w:val="008957A1"/>
    <w:rsid w:val="008B070C"/>
    <w:rsid w:val="008C2DD2"/>
    <w:rsid w:val="008C6EB8"/>
    <w:rsid w:val="008D687B"/>
    <w:rsid w:val="008D7101"/>
    <w:rsid w:val="008D7BFE"/>
    <w:rsid w:val="008E4954"/>
    <w:rsid w:val="008E5089"/>
    <w:rsid w:val="008F0D8D"/>
    <w:rsid w:val="008F1721"/>
    <w:rsid w:val="008F4A9B"/>
    <w:rsid w:val="008F638C"/>
    <w:rsid w:val="00906771"/>
    <w:rsid w:val="00906E66"/>
    <w:rsid w:val="009132AA"/>
    <w:rsid w:val="00916FC8"/>
    <w:rsid w:val="00920604"/>
    <w:rsid w:val="00920B47"/>
    <w:rsid w:val="009235D5"/>
    <w:rsid w:val="00923F8C"/>
    <w:rsid w:val="00932318"/>
    <w:rsid w:val="009346C7"/>
    <w:rsid w:val="009413D9"/>
    <w:rsid w:val="0094555A"/>
    <w:rsid w:val="00952E7A"/>
    <w:rsid w:val="00955889"/>
    <w:rsid w:val="00962D29"/>
    <w:rsid w:val="00962DBE"/>
    <w:rsid w:val="0097078B"/>
    <w:rsid w:val="00972210"/>
    <w:rsid w:val="0098759F"/>
    <w:rsid w:val="00997D59"/>
    <w:rsid w:val="009C3778"/>
    <w:rsid w:val="009D0034"/>
    <w:rsid w:val="009D2376"/>
    <w:rsid w:val="009D2BCE"/>
    <w:rsid w:val="009D5ACB"/>
    <w:rsid w:val="009E0F3E"/>
    <w:rsid w:val="00A05BD7"/>
    <w:rsid w:val="00A165ED"/>
    <w:rsid w:val="00A24F6B"/>
    <w:rsid w:val="00A31FEA"/>
    <w:rsid w:val="00A34BB9"/>
    <w:rsid w:val="00A35542"/>
    <w:rsid w:val="00A42A72"/>
    <w:rsid w:val="00A468A3"/>
    <w:rsid w:val="00A471C4"/>
    <w:rsid w:val="00A47726"/>
    <w:rsid w:val="00A51A97"/>
    <w:rsid w:val="00A57786"/>
    <w:rsid w:val="00A604C2"/>
    <w:rsid w:val="00A64C9D"/>
    <w:rsid w:val="00A71F07"/>
    <w:rsid w:val="00A73665"/>
    <w:rsid w:val="00A73D55"/>
    <w:rsid w:val="00A83F4E"/>
    <w:rsid w:val="00A873E6"/>
    <w:rsid w:val="00AA0DC3"/>
    <w:rsid w:val="00AA0FCE"/>
    <w:rsid w:val="00AB0A8C"/>
    <w:rsid w:val="00AB62FA"/>
    <w:rsid w:val="00AC08DA"/>
    <w:rsid w:val="00AD2F30"/>
    <w:rsid w:val="00AD4853"/>
    <w:rsid w:val="00AD7DD9"/>
    <w:rsid w:val="00AE6AAF"/>
    <w:rsid w:val="00AF3DB8"/>
    <w:rsid w:val="00AF5556"/>
    <w:rsid w:val="00AF7264"/>
    <w:rsid w:val="00B0549C"/>
    <w:rsid w:val="00B06816"/>
    <w:rsid w:val="00B1752F"/>
    <w:rsid w:val="00B17759"/>
    <w:rsid w:val="00B22CA7"/>
    <w:rsid w:val="00B24A8D"/>
    <w:rsid w:val="00B31727"/>
    <w:rsid w:val="00B41B9B"/>
    <w:rsid w:val="00B4466D"/>
    <w:rsid w:val="00B46055"/>
    <w:rsid w:val="00B5007D"/>
    <w:rsid w:val="00B51ED5"/>
    <w:rsid w:val="00B53418"/>
    <w:rsid w:val="00B63AE4"/>
    <w:rsid w:val="00B643BC"/>
    <w:rsid w:val="00B705AA"/>
    <w:rsid w:val="00B766B5"/>
    <w:rsid w:val="00B8075E"/>
    <w:rsid w:val="00B816F6"/>
    <w:rsid w:val="00B82A87"/>
    <w:rsid w:val="00B93D4F"/>
    <w:rsid w:val="00B944BB"/>
    <w:rsid w:val="00BA2FF9"/>
    <w:rsid w:val="00BA5264"/>
    <w:rsid w:val="00BA5A54"/>
    <w:rsid w:val="00BB1CEB"/>
    <w:rsid w:val="00BB4558"/>
    <w:rsid w:val="00BB725D"/>
    <w:rsid w:val="00BC05F5"/>
    <w:rsid w:val="00BC372D"/>
    <w:rsid w:val="00BC51C9"/>
    <w:rsid w:val="00BC670B"/>
    <w:rsid w:val="00BC6B4E"/>
    <w:rsid w:val="00BD7064"/>
    <w:rsid w:val="00BE1B8A"/>
    <w:rsid w:val="00BE5732"/>
    <w:rsid w:val="00BE5746"/>
    <w:rsid w:val="00BF152D"/>
    <w:rsid w:val="00BF1BE9"/>
    <w:rsid w:val="00BF1F52"/>
    <w:rsid w:val="00BF3478"/>
    <w:rsid w:val="00C0673C"/>
    <w:rsid w:val="00C076CB"/>
    <w:rsid w:val="00C2454A"/>
    <w:rsid w:val="00C25C7E"/>
    <w:rsid w:val="00C26F85"/>
    <w:rsid w:val="00C27C92"/>
    <w:rsid w:val="00C331FA"/>
    <w:rsid w:val="00C40510"/>
    <w:rsid w:val="00C44CBD"/>
    <w:rsid w:val="00C45982"/>
    <w:rsid w:val="00C6002E"/>
    <w:rsid w:val="00C60058"/>
    <w:rsid w:val="00C62969"/>
    <w:rsid w:val="00C65184"/>
    <w:rsid w:val="00C745F9"/>
    <w:rsid w:val="00C75660"/>
    <w:rsid w:val="00C76EDB"/>
    <w:rsid w:val="00C7727D"/>
    <w:rsid w:val="00C8075F"/>
    <w:rsid w:val="00C858C7"/>
    <w:rsid w:val="00C9329D"/>
    <w:rsid w:val="00C95E42"/>
    <w:rsid w:val="00CA3833"/>
    <w:rsid w:val="00CA5FD0"/>
    <w:rsid w:val="00CB1908"/>
    <w:rsid w:val="00CB382C"/>
    <w:rsid w:val="00CB652C"/>
    <w:rsid w:val="00CC5119"/>
    <w:rsid w:val="00CC7BA6"/>
    <w:rsid w:val="00CD5366"/>
    <w:rsid w:val="00CD54CA"/>
    <w:rsid w:val="00CD7493"/>
    <w:rsid w:val="00CE362D"/>
    <w:rsid w:val="00CE658C"/>
    <w:rsid w:val="00CE785E"/>
    <w:rsid w:val="00CF75D2"/>
    <w:rsid w:val="00CF7945"/>
    <w:rsid w:val="00D1286A"/>
    <w:rsid w:val="00D146FC"/>
    <w:rsid w:val="00D14E88"/>
    <w:rsid w:val="00D173C1"/>
    <w:rsid w:val="00D37EE3"/>
    <w:rsid w:val="00D40570"/>
    <w:rsid w:val="00D41287"/>
    <w:rsid w:val="00D4485F"/>
    <w:rsid w:val="00D46272"/>
    <w:rsid w:val="00D51E27"/>
    <w:rsid w:val="00D54E05"/>
    <w:rsid w:val="00D5658D"/>
    <w:rsid w:val="00D60A17"/>
    <w:rsid w:val="00D636BB"/>
    <w:rsid w:val="00D66DB4"/>
    <w:rsid w:val="00D709DD"/>
    <w:rsid w:val="00D754CA"/>
    <w:rsid w:val="00D767CC"/>
    <w:rsid w:val="00D81558"/>
    <w:rsid w:val="00D871A4"/>
    <w:rsid w:val="00D90A30"/>
    <w:rsid w:val="00D91E28"/>
    <w:rsid w:val="00D97400"/>
    <w:rsid w:val="00DA1584"/>
    <w:rsid w:val="00DA1C82"/>
    <w:rsid w:val="00DA3764"/>
    <w:rsid w:val="00DA4667"/>
    <w:rsid w:val="00DA7F86"/>
    <w:rsid w:val="00DE55A5"/>
    <w:rsid w:val="00DE7A03"/>
    <w:rsid w:val="00DF29AE"/>
    <w:rsid w:val="00DF45BE"/>
    <w:rsid w:val="00DF515B"/>
    <w:rsid w:val="00E00719"/>
    <w:rsid w:val="00E1096A"/>
    <w:rsid w:val="00E10CD7"/>
    <w:rsid w:val="00E208E5"/>
    <w:rsid w:val="00E223B6"/>
    <w:rsid w:val="00E22886"/>
    <w:rsid w:val="00E22B98"/>
    <w:rsid w:val="00E25B1A"/>
    <w:rsid w:val="00E26C92"/>
    <w:rsid w:val="00E32B6C"/>
    <w:rsid w:val="00E34427"/>
    <w:rsid w:val="00E36A75"/>
    <w:rsid w:val="00E460CD"/>
    <w:rsid w:val="00E503F2"/>
    <w:rsid w:val="00E54926"/>
    <w:rsid w:val="00E62B1A"/>
    <w:rsid w:val="00E64D0A"/>
    <w:rsid w:val="00E65BD8"/>
    <w:rsid w:val="00E66098"/>
    <w:rsid w:val="00E71B23"/>
    <w:rsid w:val="00E763E9"/>
    <w:rsid w:val="00E76669"/>
    <w:rsid w:val="00E77D44"/>
    <w:rsid w:val="00E8511B"/>
    <w:rsid w:val="00E85BD8"/>
    <w:rsid w:val="00E905FF"/>
    <w:rsid w:val="00E93FDD"/>
    <w:rsid w:val="00E95045"/>
    <w:rsid w:val="00E9505D"/>
    <w:rsid w:val="00EA07DD"/>
    <w:rsid w:val="00EA0D84"/>
    <w:rsid w:val="00EA217A"/>
    <w:rsid w:val="00EA31C3"/>
    <w:rsid w:val="00EA62F8"/>
    <w:rsid w:val="00EB21C5"/>
    <w:rsid w:val="00EB22F2"/>
    <w:rsid w:val="00EC17B7"/>
    <w:rsid w:val="00EC52BA"/>
    <w:rsid w:val="00EC5787"/>
    <w:rsid w:val="00EC63E6"/>
    <w:rsid w:val="00ED340C"/>
    <w:rsid w:val="00ED5B84"/>
    <w:rsid w:val="00ED5F7F"/>
    <w:rsid w:val="00ED7A2F"/>
    <w:rsid w:val="00EE2A09"/>
    <w:rsid w:val="00EE2DAC"/>
    <w:rsid w:val="00EE3688"/>
    <w:rsid w:val="00EE3E26"/>
    <w:rsid w:val="00EE4F8C"/>
    <w:rsid w:val="00EE77D5"/>
    <w:rsid w:val="00EF0925"/>
    <w:rsid w:val="00F013AC"/>
    <w:rsid w:val="00F02528"/>
    <w:rsid w:val="00F04890"/>
    <w:rsid w:val="00F05ED8"/>
    <w:rsid w:val="00F05F06"/>
    <w:rsid w:val="00F11DC2"/>
    <w:rsid w:val="00F13DE8"/>
    <w:rsid w:val="00F15F78"/>
    <w:rsid w:val="00F167D3"/>
    <w:rsid w:val="00F16BA6"/>
    <w:rsid w:val="00F171EA"/>
    <w:rsid w:val="00F23CBD"/>
    <w:rsid w:val="00F2615F"/>
    <w:rsid w:val="00F26D72"/>
    <w:rsid w:val="00F30475"/>
    <w:rsid w:val="00F50A8C"/>
    <w:rsid w:val="00F528C2"/>
    <w:rsid w:val="00F57AC9"/>
    <w:rsid w:val="00F609F7"/>
    <w:rsid w:val="00F618F9"/>
    <w:rsid w:val="00F66DD1"/>
    <w:rsid w:val="00F7000D"/>
    <w:rsid w:val="00F72124"/>
    <w:rsid w:val="00F74A30"/>
    <w:rsid w:val="00F816C7"/>
    <w:rsid w:val="00F87B57"/>
    <w:rsid w:val="00F94004"/>
    <w:rsid w:val="00FA317B"/>
    <w:rsid w:val="00FA3B73"/>
    <w:rsid w:val="00FA5852"/>
    <w:rsid w:val="00FB1DCC"/>
    <w:rsid w:val="00FB27A5"/>
    <w:rsid w:val="00FB2B62"/>
    <w:rsid w:val="00FB2E8A"/>
    <w:rsid w:val="00FB3161"/>
    <w:rsid w:val="00FB3F86"/>
    <w:rsid w:val="00FB579C"/>
    <w:rsid w:val="00FC15C9"/>
    <w:rsid w:val="00FD60BB"/>
    <w:rsid w:val="00FE5E2E"/>
    <w:rsid w:val="00FF3F46"/>
    <w:rsid w:val="00FF54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C653"/>
  <w15:docId w15:val="{5DFD1B6D-68F3-4938-AC58-7AC4839C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0B7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B0B64"/>
    <w:rPr>
      <w:color w:val="808080"/>
    </w:rPr>
  </w:style>
  <w:style w:type="paragraph" w:styleId="BalloonText">
    <w:name w:val="Balloon Text"/>
    <w:basedOn w:val="Normal"/>
    <w:link w:val="BalloonTextChar"/>
    <w:uiPriority w:val="99"/>
    <w:semiHidden/>
    <w:unhideWhenUsed/>
    <w:rsid w:val="003B0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B64"/>
    <w:rPr>
      <w:rFonts w:ascii="Tahoma" w:hAnsi="Tahoma" w:cs="Tahoma"/>
      <w:sz w:val="16"/>
      <w:szCs w:val="16"/>
    </w:rPr>
  </w:style>
  <w:style w:type="table" w:styleId="LightShading">
    <w:name w:val="Light Shading"/>
    <w:basedOn w:val="TableNormal"/>
    <w:uiPriority w:val="60"/>
    <w:rsid w:val="003E0E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B1A41"/>
    <w:pPr>
      <w:ind w:left="720"/>
      <w:contextualSpacing/>
    </w:pPr>
  </w:style>
  <w:style w:type="paragraph" w:customStyle="1" w:styleId="Char">
    <w:name w:val="Char"/>
    <w:basedOn w:val="Normal"/>
    <w:rsid w:val="00236842"/>
    <w:pPr>
      <w:spacing w:after="160" w:line="240" w:lineRule="exact"/>
    </w:pPr>
    <w:rPr>
      <w:rFonts w:ascii="Times New Roman" w:eastAsia="Times New Roman" w:hAnsi="Times New Roman" w:cs="Times New Roman"/>
      <w:sz w:val="20"/>
      <w:szCs w:val="20"/>
      <w:lang w:val="en-AU"/>
    </w:rPr>
  </w:style>
  <w:style w:type="character" w:styleId="EndnoteReference">
    <w:name w:val="endnote reference"/>
    <w:basedOn w:val="DefaultParagraphFont"/>
    <w:uiPriority w:val="99"/>
    <w:unhideWhenUsed/>
    <w:rsid w:val="00EC52BA"/>
    <w:rPr>
      <w:vertAlign w:val="superscript"/>
    </w:rPr>
  </w:style>
  <w:style w:type="character" w:styleId="CommentReference">
    <w:name w:val="annotation reference"/>
    <w:basedOn w:val="DefaultParagraphFont"/>
    <w:uiPriority w:val="99"/>
    <w:semiHidden/>
    <w:unhideWhenUsed/>
    <w:rsid w:val="0025498D"/>
    <w:rPr>
      <w:sz w:val="16"/>
      <w:szCs w:val="16"/>
    </w:rPr>
  </w:style>
  <w:style w:type="paragraph" w:styleId="CommentText">
    <w:name w:val="annotation text"/>
    <w:basedOn w:val="Normal"/>
    <w:link w:val="CommentTextChar"/>
    <w:uiPriority w:val="99"/>
    <w:semiHidden/>
    <w:unhideWhenUsed/>
    <w:rsid w:val="0025498D"/>
    <w:pPr>
      <w:spacing w:line="240" w:lineRule="auto"/>
    </w:pPr>
    <w:rPr>
      <w:sz w:val="20"/>
      <w:szCs w:val="20"/>
    </w:rPr>
  </w:style>
  <w:style w:type="character" w:customStyle="1" w:styleId="CommentTextChar">
    <w:name w:val="Comment Text Char"/>
    <w:basedOn w:val="DefaultParagraphFont"/>
    <w:link w:val="CommentText"/>
    <w:uiPriority w:val="99"/>
    <w:semiHidden/>
    <w:rsid w:val="0025498D"/>
    <w:rPr>
      <w:sz w:val="20"/>
      <w:szCs w:val="20"/>
    </w:rPr>
  </w:style>
  <w:style w:type="paragraph" w:styleId="CommentSubject">
    <w:name w:val="annotation subject"/>
    <w:basedOn w:val="CommentText"/>
    <w:next w:val="CommentText"/>
    <w:link w:val="CommentSubjectChar"/>
    <w:uiPriority w:val="99"/>
    <w:semiHidden/>
    <w:unhideWhenUsed/>
    <w:rsid w:val="0025498D"/>
    <w:rPr>
      <w:b/>
      <w:bCs/>
    </w:rPr>
  </w:style>
  <w:style w:type="character" w:customStyle="1" w:styleId="CommentSubjectChar">
    <w:name w:val="Comment Subject Char"/>
    <w:basedOn w:val="CommentTextChar"/>
    <w:link w:val="CommentSubject"/>
    <w:uiPriority w:val="99"/>
    <w:semiHidden/>
    <w:rsid w:val="0025498D"/>
    <w:rPr>
      <w:b/>
      <w:bCs/>
      <w:sz w:val="20"/>
      <w:szCs w:val="20"/>
    </w:rPr>
  </w:style>
  <w:style w:type="paragraph" w:styleId="Header">
    <w:name w:val="header"/>
    <w:basedOn w:val="Normal"/>
    <w:link w:val="HeaderChar"/>
    <w:uiPriority w:val="99"/>
    <w:unhideWhenUsed/>
    <w:rsid w:val="005D1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D77"/>
  </w:style>
  <w:style w:type="paragraph" w:styleId="Footer">
    <w:name w:val="footer"/>
    <w:basedOn w:val="Normal"/>
    <w:link w:val="FooterChar"/>
    <w:uiPriority w:val="99"/>
    <w:unhideWhenUsed/>
    <w:rsid w:val="005D1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D77"/>
  </w:style>
  <w:style w:type="paragraph" w:styleId="EndnoteText">
    <w:name w:val="endnote text"/>
    <w:basedOn w:val="Normal"/>
    <w:link w:val="EndnoteTextChar"/>
    <w:uiPriority w:val="99"/>
    <w:semiHidden/>
    <w:unhideWhenUsed/>
    <w:rsid w:val="00486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60A2"/>
    <w:rPr>
      <w:sz w:val="20"/>
      <w:szCs w:val="20"/>
    </w:rPr>
  </w:style>
  <w:style w:type="paragraph" w:styleId="FootnoteText">
    <w:name w:val="footnote text"/>
    <w:basedOn w:val="Normal"/>
    <w:link w:val="FootnoteTextChar"/>
    <w:uiPriority w:val="99"/>
    <w:semiHidden/>
    <w:unhideWhenUsed/>
    <w:rsid w:val="004860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60A2"/>
    <w:rPr>
      <w:sz w:val="20"/>
      <w:szCs w:val="20"/>
    </w:rPr>
  </w:style>
  <w:style w:type="character" w:styleId="FootnoteReference">
    <w:name w:val="footnote reference"/>
    <w:basedOn w:val="DefaultParagraphFont"/>
    <w:uiPriority w:val="99"/>
    <w:semiHidden/>
    <w:unhideWhenUsed/>
    <w:rsid w:val="004860A2"/>
    <w:rPr>
      <w:vertAlign w:val="superscript"/>
    </w:rPr>
  </w:style>
  <w:style w:type="paragraph" w:styleId="NormalWeb">
    <w:name w:val="Normal (Web)"/>
    <w:basedOn w:val="Normal"/>
    <w:uiPriority w:val="99"/>
    <w:semiHidden/>
    <w:unhideWhenUsed/>
    <w:rsid w:val="00E344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6F7"/>
    <w:rPr>
      <w:color w:val="0000FF"/>
      <w:u w:val="single"/>
    </w:rPr>
  </w:style>
  <w:style w:type="paragraph" w:styleId="Title">
    <w:name w:val="Title"/>
    <w:basedOn w:val="Normal"/>
    <w:next w:val="Normal"/>
    <w:link w:val="TitleChar"/>
    <w:uiPriority w:val="10"/>
    <w:qFormat/>
    <w:rsid w:val="007769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906"/>
    <w:rPr>
      <w:rFonts w:asciiTheme="majorHAnsi" w:eastAsiaTheme="majorEastAsia" w:hAnsiTheme="majorHAnsi" w:cstheme="majorBidi"/>
      <w:color w:val="17365D" w:themeColor="text2" w:themeShade="BF"/>
      <w:spacing w:val="5"/>
      <w:kern w:val="28"/>
      <w:sz w:val="52"/>
      <w:szCs w:val="52"/>
    </w:rPr>
  </w:style>
  <w:style w:type="paragraph" w:customStyle="1" w:styleId="body-text">
    <w:name w:val="body-text"/>
    <w:basedOn w:val="Normal"/>
    <w:rsid w:val="00685C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5CB2"/>
    <w:rPr>
      <w:i/>
      <w:iCs/>
    </w:rPr>
  </w:style>
  <w:style w:type="character" w:styleId="Strong">
    <w:name w:val="Strong"/>
    <w:basedOn w:val="DefaultParagraphFont"/>
    <w:uiPriority w:val="22"/>
    <w:qFormat/>
    <w:rsid w:val="00685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40369">
      <w:bodyDiv w:val="1"/>
      <w:marLeft w:val="0"/>
      <w:marRight w:val="0"/>
      <w:marTop w:val="0"/>
      <w:marBottom w:val="0"/>
      <w:divBdr>
        <w:top w:val="none" w:sz="0" w:space="0" w:color="auto"/>
        <w:left w:val="none" w:sz="0" w:space="0" w:color="auto"/>
        <w:bottom w:val="none" w:sz="0" w:space="0" w:color="auto"/>
        <w:right w:val="none" w:sz="0" w:space="0" w:color="auto"/>
      </w:divBdr>
    </w:div>
    <w:div w:id="154272695">
      <w:bodyDiv w:val="1"/>
      <w:marLeft w:val="0"/>
      <w:marRight w:val="0"/>
      <w:marTop w:val="0"/>
      <w:marBottom w:val="0"/>
      <w:divBdr>
        <w:top w:val="none" w:sz="0" w:space="0" w:color="auto"/>
        <w:left w:val="none" w:sz="0" w:space="0" w:color="auto"/>
        <w:bottom w:val="none" w:sz="0" w:space="0" w:color="auto"/>
        <w:right w:val="none" w:sz="0" w:space="0" w:color="auto"/>
      </w:divBdr>
    </w:div>
    <w:div w:id="176233853">
      <w:bodyDiv w:val="1"/>
      <w:marLeft w:val="0"/>
      <w:marRight w:val="0"/>
      <w:marTop w:val="0"/>
      <w:marBottom w:val="0"/>
      <w:divBdr>
        <w:top w:val="none" w:sz="0" w:space="0" w:color="auto"/>
        <w:left w:val="none" w:sz="0" w:space="0" w:color="auto"/>
        <w:bottom w:val="none" w:sz="0" w:space="0" w:color="auto"/>
        <w:right w:val="none" w:sz="0" w:space="0" w:color="auto"/>
      </w:divBdr>
    </w:div>
    <w:div w:id="260916966">
      <w:bodyDiv w:val="1"/>
      <w:marLeft w:val="0"/>
      <w:marRight w:val="0"/>
      <w:marTop w:val="0"/>
      <w:marBottom w:val="0"/>
      <w:divBdr>
        <w:top w:val="none" w:sz="0" w:space="0" w:color="auto"/>
        <w:left w:val="none" w:sz="0" w:space="0" w:color="auto"/>
        <w:bottom w:val="none" w:sz="0" w:space="0" w:color="auto"/>
        <w:right w:val="none" w:sz="0" w:space="0" w:color="auto"/>
      </w:divBdr>
    </w:div>
    <w:div w:id="309405694">
      <w:bodyDiv w:val="1"/>
      <w:marLeft w:val="0"/>
      <w:marRight w:val="0"/>
      <w:marTop w:val="0"/>
      <w:marBottom w:val="0"/>
      <w:divBdr>
        <w:top w:val="none" w:sz="0" w:space="0" w:color="auto"/>
        <w:left w:val="none" w:sz="0" w:space="0" w:color="auto"/>
        <w:bottom w:val="none" w:sz="0" w:space="0" w:color="auto"/>
        <w:right w:val="none" w:sz="0" w:space="0" w:color="auto"/>
      </w:divBdr>
    </w:div>
    <w:div w:id="432823129">
      <w:bodyDiv w:val="1"/>
      <w:marLeft w:val="0"/>
      <w:marRight w:val="0"/>
      <w:marTop w:val="0"/>
      <w:marBottom w:val="0"/>
      <w:divBdr>
        <w:top w:val="none" w:sz="0" w:space="0" w:color="auto"/>
        <w:left w:val="none" w:sz="0" w:space="0" w:color="auto"/>
        <w:bottom w:val="none" w:sz="0" w:space="0" w:color="auto"/>
        <w:right w:val="none" w:sz="0" w:space="0" w:color="auto"/>
      </w:divBdr>
    </w:div>
    <w:div w:id="524558164">
      <w:bodyDiv w:val="1"/>
      <w:marLeft w:val="0"/>
      <w:marRight w:val="0"/>
      <w:marTop w:val="0"/>
      <w:marBottom w:val="0"/>
      <w:divBdr>
        <w:top w:val="none" w:sz="0" w:space="0" w:color="auto"/>
        <w:left w:val="none" w:sz="0" w:space="0" w:color="auto"/>
        <w:bottom w:val="none" w:sz="0" w:space="0" w:color="auto"/>
        <w:right w:val="none" w:sz="0" w:space="0" w:color="auto"/>
      </w:divBdr>
    </w:div>
    <w:div w:id="526455482">
      <w:bodyDiv w:val="1"/>
      <w:marLeft w:val="0"/>
      <w:marRight w:val="0"/>
      <w:marTop w:val="0"/>
      <w:marBottom w:val="0"/>
      <w:divBdr>
        <w:top w:val="none" w:sz="0" w:space="0" w:color="auto"/>
        <w:left w:val="none" w:sz="0" w:space="0" w:color="auto"/>
        <w:bottom w:val="none" w:sz="0" w:space="0" w:color="auto"/>
        <w:right w:val="none" w:sz="0" w:space="0" w:color="auto"/>
      </w:divBdr>
    </w:div>
    <w:div w:id="548492595">
      <w:bodyDiv w:val="1"/>
      <w:marLeft w:val="0"/>
      <w:marRight w:val="0"/>
      <w:marTop w:val="0"/>
      <w:marBottom w:val="0"/>
      <w:divBdr>
        <w:top w:val="none" w:sz="0" w:space="0" w:color="auto"/>
        <w:left w:val="none" w:sz="0" w:space="0" w:color="auto"/>
        <w:bottom w:val="none" w:sz="0" w:space="0" w:color="auto"/>
        <w:right w:val="none" w:sz="0" w:space="0" w:color="auto"/>
      </w:divBdr>
      <w:divsChild>
        <w:div w:id="879585410">
          <w:marLeft w:val="0"/>
          <w:marRight w:val="0"/>
          <w:marTop w:val="0"/>
          <w:marBottom w:val="0"/>
          <w:divBdr>
            <w:top w:val="none" w:sz="0" w:space="0" w:color="auto"/>
            <w:left w:val="none" w:sz="0" w:space="0" w:color="auto"/>
            <w:bottom w:val="none" w:sz="0" w:space="0" w:color="auto"/>
            <w:right w:val="none" w:sz="0" w:space="0" w:color="auto"/>
          </w:divBdr>
        </w:div>
      </w:divsChild>
    </w:div>
    <w:div w:id="642933526">
      <w:bodyDiv w:val="1"/>
      <w:marLeft w:val="0"/>
      <w:marRight w:val="0"/>
      <w:marTop w:val="0"/>
      <w:marBottom w:val="0"/>
      <w:divBdr>
        <w:top w:val="none" w:sz="0" w:space="0" w:color="auto"/>
        <w:left w:val="none" w:sz="0" w:space="0" w:color="auto"/>
        <w:bottom w:val="none" w:sz="0" w:space="0" w:color="auto"/>
        <w:right w:val="none" w:sz="0" w:space="0" w:color="auto"/>
      </w:divBdr>
    </w:div>
    <w:div w:id="707879733">
      <w:bodyDiv w:val="1"/>
      <w:marLeft w:val="0"/>
      <w:marRight w:val="0"/>
      <w:marTop w:val="0"/>
      <w:marBottom w:val="0"/>
      <w:divBdr>
        <w:top w:val="none" w:sz="0" w:space="0" w:color="auto"/>
        <w:left w:val="none" w:sz="0" w:space="0" w:color="auto"/>
        <w:bottom w:val="none" w:sz="0" w:space="0" w:color="auto"/>
        <w:right w:val="none" w:sz="0" w:space="0" w:color="auto"/>
      </w:divBdr>
    </w:div>
    <w:div w:id="752552044">
      <w:bodyDiv w:val="1"/>
      <w:marLeft w:val="0"/>
      <w:marRight w:val="0"/>
      <w:marTop w:val="0"/>
      <w:marBottom w:val="0"/>
      <w:divBdr>
        <w:top w:val="none" w:sz="0" w:space="0" w:color="auto"/>
        <w:left w:val="none" w:sz="0" w:space="0" w:color="auto"/>
        <w:bottom w:val="none" w:sz="0" w:space="0" w:color="auto"/>
        <w:right w:val="none" w:sz="0" w:space="0" w:color="auto"/>
      </w:divBdr>
    </w:div>
    <w:div w:id="780147110">
      <w:bodyDiv w:val="1"/>
      <w:marLeft w:val="0"/>
      <w:marRight w:val="0"/>
      <w:marTop w:val="0"/>
      <w:marBottom w:val="0"/>
      <w:divBdr>
        <w:top w:val="none" w:sz="0" w:space="0" w:color="auto"/>
        <w:left w:val="none" w:sz="0" w:space="0" w:color="auto"/>
        <w:bottom w:val="none" w:sz="0" w:space="0" w:color="auto"/>
        <w:right w:val="none" w:sz="0" w:space="0" w:color="auto"/>
      </w:divBdr>
    </w:div>
    <w:div w:id="796994753">
      <w:bodyDiv w:val="1"/>
      <w:marLeft w:val="0"/>
      <w:marRight w:val="0"/>
      <w:marTop w:val="0"/>
      <w:marBottom w:val="0"/>
      <w:divBdr>
        <w:top w:val="none" w:sz="0" w:space="0" w:color="auto"/>
        <w:left w:val="none" w:sz="0" w:space="0" w:color="auto"/>
        <w:bottom w:val="none" w:sz="0" w:space="0" w:color="auto"/>
        <w:right w:val="none" w:sz="0" w:space="0" w:color="auto"/>
      </w:divBdr>
    </w:div>
    <w:div w:id="885029155">
      <w:bodyDiv w:val="1"/>
      <w:marLeft w:val="0"/>
      <w:marRight w:val="0"/>
      <w:marTop w:val="0"/>
      <w:marBottom w:val="0"/>
      <w:divBdr>
        <w:top w:val="none" w:sz="0" w:space="0" w:color="auto"/>
        <w:left w:val="none" w:sz="0" w:space="0" w:color="auto"/>
        <w:bottom w:val="none" w:sz="0" w:space="0" w:color="auto"/>
        <w:right w:val="none" w:sz="0" w:space="0" w:color="auto"/>
      </w:divBdr>
    </w:div>
    <w:div w:id="888879776">
      <w:bodyDiv w:val="1"/>
      <w:marLeft w:val="0"/>
      <w:marRight w:val="0"/>
      <w:marTop w:val="0"/>
      <w:marBottom w:val="0"/>
      <w:divBdr>
        <w:top w:val="none" w:sz="0" w:space="0" w:color="auto"/>
        <w:left w:val="none" w:sz="0" w:space="0" w:color="auto"/>
        <w:bottom w:val="none" w:sz="0" w:space="0" w:color="auto"/>
        <w:right w:val="none" w:sz="0" w:space="0" w:color="auto"/>
      </w:divBdr>
    </w:div>
    <w:div w:id="954485004">
      <w:bodyDiv w:val="1"/>
      <w:marLeft w:val="0"/>
      <w:marRight w:val="0"/>
      <w:marTop w:val="0"/>
      <w:marBottom w:val="0"/>
      <w:divBdr>
        <w:top w:val="none" w:sz="0" w:space="0" w:color="auto"/>
        <w:left w:val="none" w:sz="0" w:space="0" w:color="auto"/>
        <w:bottom w:val="none" w:sz="0" w:space="0" w:color="auto"/>
        <w:right w:val="none" w:sz="0" w:space="0" w:color="auto"/>
      </w:divBdr>
    </w:div>
    <w:div w:id="957026563">
      <w:bodyDiv w:val="1"/>
      <w:marLeft w:val="0"/>
      <w:marRight w:val="0"/>
      <w:marTop w:val="0"/>
      <w:marBottom w:val="0"/>
      <w:divBdr>
        <w:top w:val="none" w:sz="0" w:space="0" w:color="auto"/>
        <w:left w:val="none" w:sz="0" w:space="0" w:color="auto"/>
        <w:bottom w:val="none" w:sz="0" w:space="0" w:color="auto"/>
        <w:right w:val="none" w:sz="0" w:space="0" w:color="auto"/>
      </w:divBdr>
    </w:div>
    <w:div w:id="1116368939">
      <w:bodyDiv w:val="1"/>
      <w:marLeft w:val="0"/>
      <w:marRight w:val="0"/>
      <w:marTop w:val="0"/>
      <w:marBottom w:val="0"/>
      <w:divBdr>
        <w:top w:val="none" w:sz="0" w:space="0" w:color="auto"/>
        <w:left w:val="none" w:sz="0" w:space="0" w:color="auto"/>
        <w:bottom w:val="none" w:sz="0" w:space="0" w:color="auto"/>
        <w:right w:val="none" w:sz="0" w:space="0" w:color="auto"/>
      </w:divBdr>
    </w:div>
    <w:div w:id="1126705796">
      <w:bodyDiv w:val="1"/>
      <w:marLeft w:val="0"/>
      <w:marRight w:val="0"/>
      <w:marTop w:val="0"/>
      <w:marBottom w:val="0"/>
      <w:divBdr>
        <w:top w:val="none" w:sz="0" w:space="0" w:color="auto"/>
        <w:left w:val="none" w:sz="0" w:space="0" w:color="auto"/>
        <w:bottom w:val="none" w:sz="0" w:space="0" w:color="auto"/>
        <w:right w:val="none" w:sz="0" w:space="0" w:color="auto"/>
      </w:divBdr>
    </w:div>
    <w:div w:id="1156798121">
      <w:bodyDiv w:val="1"/>
      <w:marLeft w:val="0"/>
      <w:marRight w:val="0"/>
      <w:marTop w:val="0"/>
      <w:marBottom w:val="0"/>
      <w:divBdr>
        <w:top w:val="none" w:sz="0" w:space="0" w:color="auto"/>
        <w:left w:val="none" w:sz="0" w:space="0" w:color="auto"/>
        <w:bottom w:val="none" w:sz="0" w:space="0" w:color="auto"/>
        <w:right w:val="none" w:sz="0" w:space="0" w:color="auto"/>
      </w:divBdr>
    </w:div>
    <w:div w:id="1247685222">
      <w:bodyDiv w:val="1"/>
      <w:marLeft w:val="0"/>
      <w:marRight w:val="0"/>
      <w:marTop w:val="0"/>
      <w:marBottom w:val="0"/>
      <w:divBdr>
        <w:top w:val="none" w:sz="0" w:space="0" w:color="auto"/>
        <w:left w:val="none" w:sz="0" w:space="0" w:color="auto"/>
        <w:bottom w:val="none" w:sz="0" w:space="0" w:color="auto"/>
        <w:right w:val="none" w:sz="0" w:space="0" w:color="auto"/>
      </w:divBdr>
    </w:div>
    <w:div w:id="1287656851">
      <w:bodyDiv w:val="1"/>
      <w:marLeft w:val="0"/>
      <w:marRight w:val="0"/>
      <w:marTop w:val="0"/>
      <w:marBottom w:val="0"/>
      <w:divBdr>
        <w:top w:val="none" w:sz="0" w:space="0" w:color="auto"/>
        <w:left w:val="none" w:sz="0" w:space="0" w:color="auto"/>
        <w:bottom w:val="none" w:sz="0" w:space="0" w:color="auto"/>
        <w:right w:val="none" w:sz="0" w:space="0" w:color="auto"/>
      </w:divBdr>
    </w:div>
    <w:div w:id="1299266134">
      <w:bodyDiv w:val="1"/>
      <w:marLeft w:val="0"/>
      <w:marRight w:val="0"/>
      <w:marTop w:val="0"/>
      <w:marBottom w:val="0"/>
      <w:divBdr>
        <w:top w:val="none" w:sz="0" w:space="0" w:color="auto"/>
        <w:left w:val="none" w:sz="0" w:space="0" w:color="auto"/>
        <w:bottom w:val="none" w:sz="0" w:space="0" w:color="auto"/>
        <w:right w:val="none" w:sz="0" w:space="0" w:color="auto"/>
      </w:divBdr>
    </w:div>
    <w:div w:id="1346324124">
      <w:bodyDiv w:val="1"/>
      <w:marLeft w:val="0"/>
      <w:marRight w:val="0"/>
      <w:marTop w:val="0"/>
      <w:marBottom w:val="0"/>
      <w:divBdr>
        <w:top w:val="none" w:sz="0" w:space="0" w:color="auto"/>
        <w:left w:val="none" w:sz="0" w:space="0" w:color="auto"/>
        <w:bottom w:val="none" w:sz="0" w:space="0" w:color="auto"/>
        <w:right w:val="none" w:sz="0" w:space="0" w:color="auto"/>
      </w:divBdr>
    </w:div>
    <w:div w:id="1434090693">
      <w:bodyDiv w:val="1"/>
      <w:marLeft w:val="0"/>
      <w:marRight w:val="0"/>
      <w:marTop w:val="0"/>
      <w:marBottom w:val="0"/>
      <w:divBdr>
        <w:top w:val="none" w:sz="0" w:space="0" w:color="auto"/>
        <w:left w:val="none" w:sz="0" w:space="0" w:color="auto"/>
        <w:bottom w:val="none" w:sz="0" w:space="0" w:color="auto"/>
        <w:right w:val="none" w:sz="0" w:space="0" w:color="auto"/>
      </w:divBdr>
    </w:div>
    <w:div w:id="1441880132">
      <w:bodyDiv w:val="1"/>
      <w:marLeft w:val="0"/>
      <w:marRight w:val="0"/>
      <w:marTop w:val="0"/>
      <w:marBottom w:val="0"/>
      <w:divBdr>
        <w:top w:val="none" w:sz="0" w:space="0" w:color="auto"/>
        <w:left w:val="none" w:sz="0" w:space="0" w:color="auto"/>
        <w:bottom w:val="none" w:sz="0" w:space="0" w:color="auto"/>
        <w:right w:val="none" w:sz="0" w:space="0" w:color="auto"/>
      </w:divBdr>
    </w:div>
    <w:div w:id="1473208015">
      <w:bodyDiv w:val="1"/>
      <w:marLeft w:val="0"/>
      <w:marRight w:val="0"/>
      <w:marTop w:val="0"/>
      <w:marBottom w:val="0"/>
      <w:divBdr>
        <w:top w:val="none" w:sz="0" w:space="0" w:color="auto"/>
        <w:left w:val="none" w:sz="0" w:space="0" w:color="auto"/>
        <w:bottom w:val="none" w:sz="0" w:space="0" w:color="auto"/>
        <w:right w:val="none" w:sz="0" w:space="0" w:color="auto"/>
      </w:divBdr>
    </w:div>
    <w:div w:id="1516261395">
      <w:bodyDiv w:val="1"/>
      <w:marLeft w:val="0"/>
      <w:marRight w:val="0"/>
      <w:marTop w:val="0"/>
      <w:marBottom w:val="0"/>
      <w:divBdr>
        <w:top w:val="none" w:sz="0" w:space="0" w:color="auto"/>
        <w:left w:val="none" w:sz="0" w:space="0" w:color="auto"/>
        <w:bottom w:val="none" w:sz="0" w:space="0" w:color="auto"/>
        <w:right w:val="none" w:sz="0" w:space="0" w:color="auto"/>
      </w:divBdr>
    </w:div>
    <w:div w:id="1560019142">
      <w:bodyDiv w:val="1"/>
      <w:marLeft w:val="0"/>
      <w:marRight w:val="0"/>
      <w:marTop w:val="0"/>
      <w:marBottom w:val="0"/>
      <w:divBdr>
        <w:top w:val="none" w:sz="0" w:space="0" w:color="auto"/>
        <w:left w:val="none" w:sz="0" w:space="0" w:color="auto"/>
        <w:bottom w:val="none" w:sz="0" w:space="0" w:color="auto"/>
        <w:right w:val="none" w:sz="0" w:space="0" w:color="auto"/>
      </w:divBdr>
    </w:div>
    <w:div w:id="1590695897">
      <w:bodyDiv w:val="1"/>
      <w:marLeft w:val="0"/>
      <w:marRight w:val="0"/>
      <w:marTop w:val="0"/>
      <w:marBottom w:val="0"/>
      <w:divBdr>
        <w:top w:val="none" w:sz="0" w:space="0" w:color="auto"/>
        <w:left w:val="none" w:sz="0" w:space="0" w:color="auto"/>
        <w:bottom w:val="none" w:sz="0" w:space="0" w:color="auto"/>
        <w:right w:val="none" w:sz="0" w:space="0" w:color="auto"/>
      </w:divBdr>
    </w:div>
    <w:div w:id="1787041222">
      <w:bodyDiv w:val="1"/>
      <w:marLeft w:val="0"/>
      <w:marRight w:val="0"/>
      <w:marTop w:val="0"/>
      <w:marBottom w:val="0"/>
      <w:divBdr>
        <w:top w:val="none" w:sz="0" w:space="0" w:color="auto"/>
        <w:left w:val="none" w:sz="0" w:space="0" w:color="auto"/>
        <w:bottom w:val="none" w:sz="0" w:space="0" w:color="auto"/>
        <w:right w:val="none" w:sz="0" w:space="0" w:color="auto"/>
      </w:divBdr>
    </w:div>
    <w:div w:id="1824547664">
      <w:bodyDiv w:val="1"/>
      <w:marLeft w:val="0"/>
      <w:marRight w:val="0"/>
      <w:marTop w:val="0"/>
      <w:marBottom w:val="0"/>
      <w:divBdr>
        <w:top w:val="none" w:sz="0" w:space="0" w:color="auto"/>
        <w:left w:val="none" w:sz="0" w:space="0" w:color="auto"/>
        <w:bottom w:val="none" w:sz="0" w:space="0" w:color="auto"/>
        <w:right w:val="none" w:sz="0" w:space="0" w:color="auto"/>
      </w:divBdr>
    </w:div>
    <w:div w:id="1897544467">
      <w:bodyDiv w:val="1"/>
      <w:marLeft w:val="0"/>
      <w:marRight w:val="0"/>
      <w:marTop w:val="0"/>
      <w:marBottom w:val="0"/>
      <w:divBdr>
        <w:top w:val="none" w:sz="0" w:space="0" w:color="auto"/>
        <w:left w:val="none" w:sz="0" w:space="0" w:color="auto"/>
        <w:bottom w:val="none" w:sz="0" w:space="0" w:color="auto"/>
        <w:right w:val="none" w:sz="0" w:space="0" w:color="auto"/>
      </w:divBdr>
    </w:div>
    <w:div w:id="2097894222">
      <w:bodyDiv w:val="1"/>
      <w:marLeft w:val="0"/>
      <w:marRight w:val="0"/>
      <w:marTop w:val="0"/>
      <w:marBottom w:val="0"/>
      <w:divBdr>
        <w:top w:val="none" w:sz="0" w:space="0" w:color="auto"/>
        <w:left w:val="none" w:sz="0" w:space="0" w:color="auto"/>
        <w:bottom w:val="none" w:sz="0" w:space="0" w:color="auto"/>
        <w:right w:val="none" w:sz="0" w:space="0" w:color="auto"/>
      </w:divBdr>
      <w:divsChild>
        <w:div w:id="14590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ien-te-ngan-hang/thong-tu-02-2013-tt-nhnn-phan-loai-tai-san-co-muc-trich-phuong-phap-trich-lap-165814.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bv.gov.vn" TargetMode="External"/><Relationship Id="rId4" Type="http://schemas.openxmlformats.org/officeDocument/2006/relationships/settings" Target="settings.xml"/><Relationship Id="rId9" Type="http://schemas.openxmlformats.org/officeDocument/2006/relationships/hyperlink" Target="https://thuvienphapluat.vn/van-ban/tien-te-ngan-hang/thong-tu-02-2013-tt-nhnn-phan-loai-tai-san-co-muc-trich-phuong-phap-trich-lap-16581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B522509-A827-40A7-B262-A40CD844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VAIO</dc:creator>
  <cp:lastModifiedBy>Admin</cp:lastModifiedBy>
  <cp:revision>35</cp:revision>
  <dcterms:created xsi:type="dcterms:W3CDTF">2018-11-07T15:51:00Z</dcterms:created>
  <dcterms:modified xsi:type="dcterms:W3CDTF">2018-11-09T07:15:00Z</dcterms:modified>
</cp:coreProperties>
</file>