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1.1. Đối tượng, điều kiện tuyển sinh</w:t>
      </w:r>
    </w:p>
    <w:p>
      <w:pPr>
        <w:pStyle w:val="Normal"/>
      </w:pPr>
      <w:r>
        <w:t xml:space="preserve">a) Quy định chung: </w:t>
      </w:r>
    </w:p>
    <w:p>
      <w:pPr>
        <w:pStyle w:val="Normal"/>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Normal"/>
      </w:pPr>
      <w:r>
        <w:t>Có đủ thông tin cá nhân, hồ sơ dự tuyển theo quy định;</w:t>
      </w:r>
    </w:p>
    <w:p>
      <w:pPr>
        <w:pStyle w:val="Normal"/>
      </w:pPr>
      <w:r>
        <w:t>Đáp ứng các điều kiện khác theo quy chế tuyển sinh hiện hành của Bộ Giáo dục và Đào tạo và của Học viện.</w:t>
      </w:r>
    </w:p>
    <w:p>
      <w:pPr>
        <w:pStyle w:val="Normal"/>
      </w:pPr>
      <w:r>
        <w:t>b) Đối với phương thức xét tuyển dựa vào kết quả thi THPT năm 2023:</w:t>
      </w:r>
    </w:p>
    <w:p>
      <w:pPr>
        <w:pStyle w:val="Normal"/>
      </w:pPr>
      <w:r>
        <w:t>Ngoài các yêu cầu theo quy định chung ở mục a) thì thí sinh phải tham dự kỳ thi tốt nghiệp THPT năm 2023 với các bài thi/môn thi theo tổ hợp xét tuyển tương ứng các ngành của Học viện.</w:t>
      </w:r>
    </w:p>
    <w:p>
      <w:pPr>
        <w:pStyle w:val="Normal"/>
      </w:pPr>
      <w:r>
        <w:t>c) Đối với phương thức xét tuyển kết hợp thì 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w:t>
      </w:r>
    </w:p>
    <w:p>
      <w:pPr>
        <w:pStyle w:val="Normal"/>
      </w:pPr>
      <w:r>
        <w:t>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hoặc học kỳ 1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hoặc học kỳ 1 lớp 12 đạt từ 8,0 trở lên và có hạnh kiểm Khá trở lên.</w:t>
      </w:r>
    </w:p>
    <w:p>
      <w:pPr>
        <w:pStyle w:val="Normal"/>
      </w:pPr>
      <w:r>
        <w:t>d) 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