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1.1.1.1.Điều kiện về văn bằng</w:t>
      </w:r>
    </w:p>
    <w:p>
      <w:pPr>
        <w:pStyle w:val="ListParagraph"/>
      </w:pPr>
      <w:r>
        <w:t xml:space="preserve">Đã tốt nghiệp trình độ thạc sĩ chuyên ngành phù hợp hoặc gần với chuyên ngành đăng ký dự tuyển đào tạo trình độ tiến sĩ ;  </w:t>
      </w:r>
    </w:p>
    <w:p>
      <w:pPr>
        <w:pStyle w:val="ListParagraph"/>
      </w:pPr>
      <w:r>
        <w:t xml:space="preserve">(Danh mục các ngành, chuyên ngành phù hợp, ngành gần với chuyên ngành dự tuyển trình độ tiến sĩ - Phụ lục I - xem tại website  https://tuyensinh.ptit.edu.vn ) </w:t>
      </w:r>
    </w:p>
    <w:p>
      <w:pPr>
        <w:pStyle w:val="ListParagraph"/>
      </w:pPr>
      <w:r>
        <w:t xml:space="preserve">Những người có bằng tốt nghiệp do các cơ s ở đào tạo nước ngoài cấp phải được công nhận bằng văn bản theo quy định của Bộ Giáo dục và Đào tạo (đăng ký tại Cục Quản lý chất lượng giáo dục - Bộ Giáo dục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