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1.1.1.2. Có kinh nghiệm nghiên cứu </w:t>
      </w:r>
    </w:p>
    <w:p>
      <w:pPr>
        <w:pStyle w:val="ListParagraph"/>
      </w:pPr>
      <w:r>
        <w:t xml:space="preserve">Thể hiện qua luận văn thạc sĩ của chương trình đào tạo định hướng nghiên cứu; hoặc bài báo, </w:t>
      </w:r>
    </w:p>
    <w:p>
      <w:pPr>
        <w:pStyle w:val="ListParagraph"/>
      </w:pPr>
      <w:r>
        <w:t xml:space="preserve">cáo cáo khoa học đã công bố; hoặc có thời gian công tác từ 02 năm (24 tháng) trở lên là giảng viên, nghiên cứu viên của các cơ sở đào tạo, tổ chức khoa học và công nghệ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